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000-23211</w:t>
      </w:r>
    </w:p>
    <w:p>
      <w:pPr>
        <w:pStyle w:val="TextBody"/>
        <w:bidi w:val="0"/>
        <w:spacing w:lineRule="auto" w:line="288" w:before="0" w:after="6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w:t>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CASELLA WASTE SYSTEMS, INC.</w:t>
      </w:r>
    </w:p>
    <w:p>
      <w:pPr>
        <w:pStyle w:val="TextBody"/>
        <w:bidi w:val="0"/>
        <w:spacing w:lineRule="auto" w:line="288" w:before="0" w:after="0"/>
        <w:jc w:val="center"/>
        <w:rPr/>
      </w:pPr>
      <w:r>
        <w:rPr>
          <w:rFonts w:ascii="Times New Roman;sans-serif" w:hAnsi="Times New Roman;sans-serif"/>
          <w:b/>
          <w:color w:val="000000"/>
          <w:sz w:val="16"/>
        </w:rPr>
        <w:t>(Exact name of registrant as specified in its charter)</w:t>
      </w:r>
      <w:r>
        <w:rPr>
          <w:color w:val="000000"/>
        </w:rPr>
        <w:t>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w:t>
      </w:r>
    </w:p>
    <w:tbl>
      <w:tblPr>
        <w:tblW w:w="473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03-0338873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25 Greens Hill Lane, Rutland, VT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05701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(802) 775-0325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342" w:type="dxa"/>
        <w:jc w:val="center"/>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w:t>
      </w:r>
    </w:p>
    <w:p>
      <w:pPr>
        <w:pStyle w:val="TextBody"/>
        <w:bidi w:val="0"/>
        <w:spacing w:lineRule="auto" w:line="288" w:before="0" w:after="0"/>
        <w:jc w:val="center"/>
        <w:rPr/>
      </w:pPr>
      <w:r>
        <w:rPr>
          <w:rFonts w:ascii="Times New Roman;sans-serif" w:hAnsi="Times New Roman;sans-serif"/>
          <w:b/>
          <w:color w:val="000000"/>
          <w:sz w:val="16"/>
        </w:rPr>
        <w:t>None.</w:t>
      </w:r>
      <w:r>
        <w:rPr>
          <w:color w:val="000000"/>
        </w:rPr>
        <w:t> </w:t>
      </w:r>
    </w:p>
    <w:p>
      <w:pPr>
        <w:pStyle w:val="TextBody"/>
        <w:bidi w:val="0"/>
        <w:spacing w:lineRule="auto" w:line="288" w:before="30" w:after="283"/>
        <w:ind w:left="0" w:right="0" w:firstLine="18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30" w:after="283"/>
        <w:ind w:left="0" w:right="0" w:firstLine="18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30" w:after="283"/>
        <w:ind w:left="0" w:right="0" w:firstLine="180"/>
        <w:jc w:val="left"/>
        <w:rPr/>
      </w:pPr>
      <w:r>
        <w:rPr>
          <w:rFonts w:ascii="Times New Roman;sans-serif" w:hAnsi="Times New Roman;sans-serif"/>
          <w:b w:val="false"/>
          <w:color w:val="000000"/>
          <w:sz w:val="16"/>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30" w:after="283"/>
        <w:ind w:left="0" w:right="0" w:firstLine="18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30" w:after="283"/>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36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69"/>
        <w:gridCol w:w="669"/>
        <w:gridCol w:w="673"/>
        <w:gridCol w:w="109"/>
        <w:gridCol w:w="109"/>
        <w:gridCol w:w="109"/>
        <w:gridCol w:w="109"/>
        <w:gridCol w:w="109"/>
        <w:gridCol w:w="109"/>
        <w:gridCol w:w="109"/>
        <w:gridCol w:w="109"/>
        <w:gridCol w:w="109"/>
        <w:gridCol w:w="674"/>
        <w:gridCol w:w="674"/>
        <w:gridCol w:w="676"/>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 w:after="283"/>
        <w:ind w:left="0" w:right="0" w:firstLine="18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Act. </w:t>
      </w:r>
      <w:r>
        <w:rPr>
          <w:color w:val="000000"/>
        </w:rPr>
        <w:t>☐</w:t>
      </w:r>
    </w:p>
    <w:p>
      <w:pPr>
        <w:pStyle w:val="TextBody"/>
        <w:bidi w:val="0"/>
        <w:spacing w:lineRule="auto" w:line="288" w:before="30" w:after="283"/>
        <w:ind w:left="0" w:right="0" w:firstLine="180"/>
        <w:jc w:val="left"/>
        <w:rPr/>
      </w:pPr>
      <w:r>
        <w:rPr>
          <w:rFonts w:ascii="Times New Roman;sans-serif" w:hAnsi="Times New Roman;sans-serif"/>
          <w:b w:val="false"/>
          <w:color w:val="000000"/>
          <w:sz w:val="16"/>
        </w:rPr>
        <w:t xml:space="preserve">Indicate by check mark whether the registrant has filed a report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30" w:after="283"/>
        <w:ind w:left="0" w:right="0" w:firstLine="18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68" w:before="0" w:after="0"/>
        <w:ind w:left="0" w:right="0" w:firstLine="18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lineRule="auto" w:line="268" w:before="30" w:after="283"/>
        <w:ind w:left="0" w:right="0" w:firstLine="18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30" w:after="283"/>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common equity held by non-affiliates of the registrant, based on the last reported sale price of the registrant’s Class A common stock on the Nasdaq Stock Market at the close of business on June 28, 2024 was approximately $5.6 billion. The registrant does not have any non-voting common stock outstanding.</w:t>
      </w:r>
    </w:p>
    <w:p>
      <w:pPr>
        <w:pStyle w:val="TextBody"/>
        <w:bidi w:val="0"/>
        <w:spacing w:lineRule="auto" w:line="288" w:before="30" w:after="283"/>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There were 62,370,275 shares of Class A common stock, $0.01 par value per share, of the registrant outstanding at January 31, 2025. There were 988,200 shares of Class B common stock, $0.01 par value per share, of the registrant outstanding at January 31, 2025.</w:t>
      </w:r>
    </w:p>
    <w:p>
      <w:pPr>
        <w:pStyle w:val="TextBody"/>
        <w:bidi w:val="0"/>
        <w:spacing w:lineRule="auto" w:line="288" w:before="3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60" w:after="283"/>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Part III of this Annual Report on Form 10-K incorporates by reference information from the definitive Proxy Statement for the registrant’s 2025 Annual Meeting of Stockholders or a Form10-K/A to be filed with the Securities and Exchange Commission not later than 120 days after the registrant’s fiscal year ended December 31, 2024.</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6"/>
        <w:gridCol w:w="296"/>
        <w:gridCol w:w="299"/>
        <w:gridCol w:w="3023"/>
        <w:gridCol w:w="2897"/>
        <w:gridCol w:w="2886"/>
        <w:gridCol w:w="136"/>
        <w:gridCol w:w="136"/>
        <w:gridCol w:w="196"/>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10">
              <w:r>
                <w:rPr>
                  <w:rStyle w:val="InternetLink"/>
                  <w:rFonts w:ascii="Times New Roman;sans-serif" w:hAnsi="Times New Roman;sans-serif"/>
                  <w:b w:val="false"/>
                  <w:color w:val="0000FF"/>
                  <w:sz w:val="20"/>
                  <w:u w:val="single"/>
                </w:rPr>
                <w:t>PART I.</w:t>
              </w:r>
            </w:hyperlink>
          </w:p>
        </w:tc>
        <w:tc>
          <w:tcPr>
            <w:tcW w:w="8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16">
              <w:r>
                <w:rPr>
                  <w:rStyle w:val="InternetLink"/>
                  <w:rFonts w:ascii="Times New Roman;sans-serif" w:hAnsi="Times New Roman;sans-serif"/>
                  <w:b w:val="false"/>
                  <w:color w:val="0000FF"/>
                  <w:sz w:val="20"/>
                  <w:u w:val="single"/>
                </w:rPr>
                <w:t>BUSINESS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16">
              <w:r>
                <w:rPr>
                  <w:rStyle w:val="InternetLink"/>
                  <w:rFonts w:ascii="Times New Roman;sans-serif" w:hAnsi="Times New Roman;sans-serif"/>
                  <w:b w:val="false"/>
                  <w:strike w:val="false"/>
                  <w:dstrike w:val="false"/>
                  <w:color w:val="0000FF"/>
                  <w:sz w:val="20"/>
                  <w:u w:val="none"/>
                  <w:effect w:val="none"/>
                </w:rPr>
                <w:t>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5">
              <w:r>
                <w:rPr>
                  <w:rStyle w:val="InternetLink"/>
                  <w:rFonts w:ascii="Times New Roman;sans-serif" w:hAnsi="Times New Roman;sans-serif"/>
                  <w:b w:val="false"/>
                  <w:color w:val="0000FF"/>
                  <w:sz w:val="20"/>
                  <w:u w:val="single"/>
                </w:rPr>
                <w:t>RISK FACTORS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5">
              <w:r>
                <w:rPr>
                  <w:rStyle w:val="InternetLink"/>
                  <w:rFonts w:ascii="Times New Roman;sans-serif" w:hAnsi="Times New Roman;sans-serif"/>
                  <w:b w:val="false"/>
                  <w:strike w:val="false"/>
                  <w:dstrike w:val="false"/>
                  <w:color w:val="0000FF"/>
                  <w:sz w:val="20"/>
                  <w:u w:val="none"/>
                  <w:effect w:val="none"/>
                </w:rPr>
                <w:t>20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8">
              <w:r>
                <w:rPr>
                  <w:rStyle w:val="InternetLink"/>
                  <w:rFonts w:ascii="Times New Roman;sans-serif" w:hAnsi="Times New Roman;sans-serif"/>
                  <w:b w:val="false"/>
                  <w:color w:val="0000FF"/>
                  <w:sz w:val="20"/>
                  <w:u w:val="single"/>
                </w:rPr>
                <w:t>UNRESOLVED STAFF COMMENTS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8">
              <w:r>
                <w:rPr>
                  <w:rStyle w:val="InternetLink"/>
                  <w:rFonts w:ascii="Times New Roman;sans-serif" w:hAnsi="Times New Roman;sans-serif"/>
                  <w:b w:val="false"/>
                  <w:strike w:val="false"/>
                  <w:dstrike w:val="false"/>
                  <w:color w:val="0000FF"/>
                  <w:sz w:val="20"/>
                  <w:u w:val="none"/>
                  <w:effect w:val="none"/>
                </w:rPr>
                <w:t>29</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61">
              <w:r>
                <w:rPr>
                  <w:rStyle w:val="InternetLink"/>
                  <w:rFonts w:ascii="Times New Roman;sans-serif" w:hAnsi="Times New Roman;sans-serif"/>
                  <w:b w:val="false"/>
                  <w:color w:val="0000FF"/>
                  <w:sz w:val="20"/>
                  <w:u w:val="single"/>
                </w:rPr>
                <w:t>CYBERSECURITY</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61">
              <w:r>
                <w:rPr>
                  <w:rStyle w:val="InternetLink"/>
                  <w:rFonts w:ascii="Times New Roman;sans-serif" w:hAnsi="Times New Roman;sans-serif"/>
                  <w:b w:val="false"/>
                  <w:strike w:val="false"/>
                  <w:dstrike w:val="false"/>
                  <w:color w:val="0000FF"/>
                  <w:sz w:val="20"/>
                  <w:u w:val="none"/>
                  <w:effect w:val="none"/>
                </w:rPr>
                <w:t>30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64">
              <w:r>
                <w:rPr>
                  <w:rStyle w:val="InternetLink"/>
                  <w:rFonts w:ascii="Times New Roman;sans-serif" w:hAnsi="Times New Roman;sans-serif"/>
                  <w:b w:val="false"/>
                  <w:color w:val="0000FF"/>
                  <w:sz w:val="20"/>
                  <w:u w:val="single"/>
                </w:rPr>
                <w:t>PROPERTIES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64">
              <w:r>
                <w:rPr>
                  <w:rStyle w:val="InternetLink"/>
                  <w:rFonts w:ascii="Times New Roman;sans-serif" w:hAnsi="Times New Roman;sans-serif"/>
                  <w:b w:val="false"/>
                  <w:strike w:val="false"/>
                  <w:dstrike w:val="false"/>
                  <w:color w:val="0000FF"/>
                  <w:sz w:val="20"/>
                  <w:u w:val="none"/>
                  <w:effect w:val="none"/>
                </w:rPr>
                <w:t>30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67">
              <w:r>
                <w:rPr>
                  <w:rStyle w:val="InternetLink"/>
                  <w:rFonts w:ascii="Times New Roman;sans-serif" w:hAnsi="Times New Roman;sans-serif"/>
                  <w:b w:val="false"/>
                  <w:color w:val="0000FF"/>
                  <w:sz w:val="20"/>
                  <w:u w:val="single"/>
                </w:rPr>
                <w:t>LEGAL PROCEEDINGS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67">
              <w:r>
                <w:rPr>
                  <w:rStyle w:val="InternetLink"/>
                  <w:rFonts w:ascii="Times New Roman;sans-serif" w:hAnsi="Times New Roman;sans-serif"/>
                  <w:b w:val="false"/>
                  <w:strike w:val="false"/>
                  <w:dstrike w:val="false"/>
                  <w:color w:val="0000FF"/>
                  <w:sz w:val="20"/>
                  <w:u w:val="none"/>
                  <w:effect w:val="none"/>
                </w:rPr>
                <w:t>31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70">
              <w:r>
                <w:rPr>
                  <w:rStyle w:val="InternetLink"/>
                  <w:rFonts w:ascii="Times New Roman;sans-serif" w:hAnsi="Times New Roman;sans-serif"/>
                  <w:b w:val="false"/>
                  <w:color w:val="0000FF"/>
                  <w:sz w:val="20"/>
                  <w:u w:val="single"/>
                </w:rPr>
                <w:t>MINE SAFETY DISCLOSURES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70">
              <w:r>
                <w:rPr>
                  <w:rStyle w:val="InternetLink"/>
                  <w:rFonts w:ascii="Times New Roman;sans-serif" w:hAnsi="Times New Roman;sans-serif"/>
                  <w:b w:val="false"/>
                  <w:strike w:val="false"/>
                  <w:dstrike w:val="false"/>
                  <w:color w:val="0000FF"/>
                  <w:sz w:val="20"/>
                  <w:u w:val="none"/>
                  <w:effect w:val="none"/>
                </w:rPr>
                <w:t>31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73">
              <w:r>
                <w:rPr>
                  <w:rStyle w:val="InternetLink"/>
                  <w:rFonts w:ascii="Times New Roman;sans-serif" w:hAnsi="Times New Roman;sans-serif"/>
                  <w:b w:val="false"/>
                  <w:color w:val="0000FF"/>
                  <w:sz w:val="20"/>
                  <w:u w:val="single"/>
                </w:rPr>
                <w:t>PART II.</w:t>
              </w:r>
            </w:hyperlink>
          </w:p>
        </w:tc>
        <w:tc>
          <w:tcPr>
            <w:tcW w:w="8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76">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76">
              <w:r>
                <w:rPr>
                  <w:rStyle w:val="InternetLink"/>
                  <w:rFonts w:ascii="Times New Roman;sans-serif" w:hAnsi="Times New Roman;sans-serif"/>
                  <w:b w:val="false"/>
                  <w:strike w:val="false"/>
                  <w:dstrike w:val="false"/>
                  <w:color w:val="0000FF"/>
                  <w:sz w:val="20"/>
                  <w:u w:val="none"/>
                  <w:effect w:val="none"/>
                </w:rPr>
                <w:t>32</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79">
              <w:r>
                <w:rPr>
                  <w:rStyle w:val="InternetLink"/>
                  <w:rFonts w:ascii="Times New Roman;sans-serif" w:hAnsi="Times New Roman;sans-serif"/>
                  <w:b w:val="false"/>
                  <w:color w:val="0000FF"/>
                  <w:sz w:val="20"/>
                  <w:u w:val="single"/>
                </w:rPr>
                <w:t>[RESERVED]</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79">
              <w:r>
                <w:rPr>
                  <w:rStyle w:val="InternetLink"/>
                  <w:rFonts w:ascii="Times New Roman;sans-serif" w:hAnsi="Times New Roman;sans-serif"/>
                  <w:b w:val="false"/>
                  <w:strike w:val="false"/>
                  <w:dstrike w:val="false"/>
                  <w:color w:val="0000FF"/>
                  <w:sz w:val="20"/>
                  <w:u w:val="none"/>
                  <w:effect w:val="none"/>
                </w:rPr>
                <w:t>33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82">
              <w:r>
                <w:rPr>
                  <w:rStyle w:val="InternetLink"/>
                  <w:rFonts w:ascii="Times New Roman;sans-serif" w:hAnsi="Times New Roman;sans-serif"/>
                  <w:b w:val="false"/>
                  <w:strike w:val="false"/>
                  <w:dstrike w:val="false"/>
                  <w:color w:val="0000FF"/>
                  <w:sz w:val="20"/>
                  <w:u w:val="none"/>
                  <w:effect w:val="none"/>
                </w:rPr>
                <w:t>33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376">
              <w:r>
                <w:rPr>
                  <w:rStyle w:val="InternetLink"/>
                  <w:rFonts w:ascii="Times New Roman;sans-serif" w:hAnsi="Times New Roman;sans-serif"/>
                  <w:b w:val="false"/>
                  <w:color w:val="0000FF"/>
                  <w:sz w:val="20"/>
                  <w:u w:val="single"/>
                </w:rPr>
                <w:t>QUANTITATIVE AND QUALITATIVE DISCLOSURES ABOUT MARKET RISK</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376">
              <w:r>
                <w:rPr>
                  <w:rStyle w:val="InternetLink"/>
                  <w:rFonts w:ascii="Times New Roman;sans-serif" w:hAnsi="Times New Roman;sans-serif"/>
                  <w:b w:val="false"/>
                  <w:strike w:val="false"/>
                  <w:dstrike w:val="false"/>
                  <w:color w:val="0000FF"/>
                  <w:sz w:val="20"/>
                  <w:u w:val="none"/>
                  <w:effect w:val="none"/>
                </w:rPr>
                <w:t>55</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379">
              <w:r>
                <w:rPr>
                  <w:rStyle w:val="InternetLink"/>
                  <w:rFonts w:ascii="Times New Roman;sans-serif" w:hAnsi="Times New Roman;sans-serif"/>
                  <w:b w:val="false"/>
                  <w:color w:val="0000FF"/>
                  <w:sz w:val="20"/>
                  <w:u w:val="single"/>
                </w:rPr>
                <w:t>FINANCIAL STATEMENTS AND SUPPLEMENTARY DATA</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379">
              <w:r>
                <w:rPr>
                  <w:rStyle w:val="InternetLink"/>
                  <w:rFonts w:ascii="Times New Roman;sans-serif" w:hAnsi="Times New Roman;sans-serif"/>
                  <w:b w:val="false"/>
                  <w:strike w:val="false"/>
                  <w:dstrike w:val="false"/>
                  <w:color w:val="0000FF"/>
                  <w:sz w:val="20"/>
                  <w:u w:val="none"/>
                  <w:effect w:val="none"/>
                </w:rPr>
                <w:t>57</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49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493">
              <w:r>
                <w:rPr>
                  <w:rStyle w:val="InternetLink"/>
                  <w:rFonts w:ascii="Times New Roman;sans-serif" w:hAnsi="Times New Roman;sans-serif"/>
                  <w:b w:val="false"/>
                  <w:strike w:val="false"/>
                  <w:dstrike w:val="false"/>
                  <w:color w:val="0000FF"/>
                  <w:sz w:val="20"/>
                  <w:u w:val="none"/>
                  <w:effect w:val="none"/>
                </w:rPr>
                <w:t>107</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496">
              <w:r>
                <w:rPr>
                  <w:rStyle w:val="InternetLink"/>
                  <w:rFonts w:ascii="Times New Roman;sans-serif" w:hAnsi="Times New Roman;sans-serif"/>
                  <w:b w:val="false"/>
                  <w:color w:val="0000FF"/>
                  <w:sz w:val="20"/>
                  <w:u w:val="single"/>
                </w:rPr>
                <w:t>CONTROLS AND PROCEDURES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496">
              <w:r>
                <w:rPr>
                  <w:rStyle w:val="InternetLink"/>
                  <w:rFonts w:ascii="Times New Roman;sans-serif" w:hAnsi="Times New Roman;sans-serif"/>
                  <w:b w:val="false"/>
                  <w:strike w:val="false"/>
                  <w:dstrike w:val="false"/>
                  <w:color w:val="0000FF"/>
                  <w:sz w:val="20"/>
                  <w:u w:val="none"/>
                  <w:effect w:val="none"/>
                </w:rPr>
                <w:t>108</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02">
              <w:r>
                <w:rPr>
                  <w:rStyle w:val="InternetLink"/>
                  <w:rFonts w:ascii="Times New Roman;sans-serif" w:hAnsi="Times New Roman;sans-serif"/>
                  <w:b w:val="false"/>
                  <w:color w:val="0000FF"/>
                  <w:sz w:val="20"/>
                  <w:u w:val="single"/>
                </w:rPr>
                <w:t>OTHER INFORMATION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02">
              <w:r>
                <w:rPr>
                  <w:rStyle w:val="InternetLink"/>
                  <w:rFonts w:ascii="Times New Roman;sans-serif" w:hAnsi="Times New Roman;sans-serif"/>
                  <w:b w:val="false"/>
                  <w:strike w:val="false"/>
                  <w:dstrike w:val="false"/>
                  <w:color w:val="0000FF"/>
                  <w:sz w:val="20"/>
                  <w:u w:val="none"/>
                  <w:effect w:val="none"/>
                </w:rPr>
                <w:t>108</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11">
              <w:r>
                <w:rPr>
                  <w:rStyle w:val="InternetLink"/>
                  <w:rFonts w:ascii="Times New Roman;sans-serif" w:hAnsi="Times New Roman;sans-serif"/>
                  <w:b w:val="false"/>
                  <w:color w:val="0000FF"/>
                  <w:sz w:val="20"/>
                  <w:u w:val="single"/>
                </w:rPr>
                <w:t>DISCLOSURE REGARDING FOREIGN JURISDICTIONS THAT PREVENT INSPECTIONS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11">
              <w:r>
                <w:rPr>
                  <w:rStyle w:val="InternetLink"/>
                  <w:rFonts w:ascii="Times New Roman;sans-serif" w:hAnsi="Times New Roman;sans-serif"/>
                  <w:b w:val="false"/>
                  <w:strike w:val="false"/>
                  <w:dstrike w:val="false"/>
                  <w:color w:val="0000FF"/>
                  <w:sz w:val="20"/>
                  <w:u w:val="none"/>
                  <w:effect w:val="none"/>
                </w:rPr>
                <w:t>109</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14">
              <w:r>
                <w:rPr>
                  <w:rStyle w:val="InternetLink"/>
                  <w:rFonts w:ascii="Times New Roman;sans-serif" w:hAnsi="Times New Roman;sans-serif"/>
                  <w:b w:val="false"/>
                  <w:color w:val="0000FF"/>
                  <w:sz w:val="20"/>
                  <w:u w:val="single"/>
                </w:rPr>
                <w:t>PART III.</w:t>
              </w:r>
            </w:hyperlink>
          </w:p>
        </w:tc>
        <w:tc>
          <w:tcPr>
            <w:tcW w:w="8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17">
              <w:r>
                <w:rPr>
                  <w:rStyle w:val="InternetLink"/>
                  <w:rFonts w:ascii="Times New Roman;sans-serif" w:hAnsi="Times New Roman;sans-serif"/>
                  <w:b w:val="false"/>
                  <w:color w:val="0000FF"/>
                  <w:sz w:val="20"/>
                  <w:u w:val="single"/>
                </w:rPr>
                <w:t>DIRECTORS, EXECUTIVE OFFICERS AND CORPORATE GOVERNANCE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17">
              <w:r>
                <w:rPr>
                  <w:rStyle w:val="InternetLink"/>
                  <w:rFonts w:ascii="Times New Roman;sans-serif" w:hAnsi="Times New Roman;sans-serif"/>
                  <w:b w:val="false"/>
                  <w:strike w:val="false"/>
                  <w:dstrike w:val="false"/>
                  <w:color w:val="0000FF"/>
                  <w:sz w:val="20"/>
                  <w:u w:val="none"/>
                  <w:effect w:val="none"/>
                </w:rPr>
                <w:t>110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20">
              <w:r>
                <w:rPr>
                  <w:rStyle w:val="InternetLink"/>
                  <w:rFonts w:ascii="Times New Roman;sans-serif" w:hAnsi="Times New Roman;sans-serif"/>
                  <w:b w:val="false"/>
                  <w:color w:val="0000FF"/>
                  <w:sz w:val="20"/>
                  <w:u w:val="single"/>
                </w:rPr>
                <w:t>EXECUTIVE COMPENSATION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20">
              <w:r>
                <w:rPr>
                  <w:rStyle w:val="InternetLink"/>
                  <w:rFonts w:ascii="Times New Roman;sans-serif" w:hAnsi="Times New Roman;sans-serif"/>
                  <w:b w:val="false"/>
                  <w:strike w:val="false"/>
                  <w:dstrike w:val="false"/>
                  <w:color w:val="0000FF"/>
                  <w:sz w:val="20"/>
                  <w:u w:val="none"/>
                  <w:effect w:val="none"/>
                </w:rPr>
                <w:t>110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2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23">
              <w:r>
                <w:rPr>
                  <w:rStyle w:val="InternetLink"/>
                  <w:rFonts w:ascii="Times New Roman;sans-serif" w:hAnsi="Times New Roman;sans-serif"/>
                  <w:b w:val="false"/>
                  <w:strike w:val="false"/>
                  <w:dstrike w:val="false"/>
                  <w:color w:val="0000FF"/>
                  <w:sz w:val="20"/>
                  <w:u w:val="none"/>
                  <w:effect w:val="none"/>
                </w:rPr>
                <w:t>110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2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26">
              <w:r>
                <w:rPr>
                  <w:rStyle w:val="InternetLink"/>
                  <w:rFonts w:ascii="Times New Roman;sans-serif" w:hAnsi="Times New Roman;sans-serif"/>
                  <w:b w:val="false"/>
                  <w:strike w:val="false"/>
                  <w:dstrike w:val="false"/>
                  <w:color w:val="0000FF"/>
                  <w:sz w:val="20"/>
                  <w:u w:val="none"/>
                  <w:effect w:val="none"/>
                </w:rPr>
                <w:t>110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29">
              <w:r>
                <w:rPr>
                  <w:rStyle w:val="InternetLink"/>
                  <w:rFonts w:ascii="Times New Roman;sans-serif" w:hAnsi="Times New Roman;sans-serif"/>
                  <w:b w:val="false"/>
                  <w:color w:val="0000FF"/>
                  <w:sz w:val="20"/>
                  <w:u w:val="single"/>
                </w:rPr>
                <w:t>PRINCIPAL ACCOUNTING FEES AND SERVICES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29">
              <w:r>
                <w:rPr>
                  <w:rStyle w:val="InternetLink"/>
                  <w:rFonts w:ascii="Times New Roman;sans-serif" w:hAnsi="Times New Roman;sans-serif"/>
                  <w:b w:val="false"/>
                  <w:strike w:val="false"/>
                  <w:dstrike w:val="false"/>
                  <w:color w:val="0000FF"/>
                  <w:sz w:val="20"/>
                  <w:u w:val="none"/>
                  <w:effect w:val="none"/>
                </w:rPr>
                <w:t>110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32">
              <w:r>
                <w:rPr>
                  <w:rStyle w:val="InternetLink"/>
                  <w:rFonts w:ascii="Times New Roman;sans-serif" w:hAnsi="Times New Roman;sans-serif"/>
                  <w:b w:val="false"/>
                  <w:color w:val="0000FF"/>
                  <w:sz w:val="20"/>
                  <w:u w:val="single"/>
                </w:rPr>
                <w:t>PART IV.</w:t>
              </w:r>
            </w:hyperlink>
          </w:p>
        </w:tc>
        <w:tc>
          <w:tcPr>
            <w:tcW w:w="8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35">
              <w:r>
                <w:rPr>
                  <w:rStyle w:val="InternetLink"/>
                  <w:rFonts w:ascii="Times New Roman;sans-serif" w:hAnsi="Times New Roman;sans-serif"/>
                  <w:b w:val="false"/>
                  <w:color w:val="0000FF"/>
                  <w:sz w:val="20"/>
                  <w:u w:val="single"/>
                </w:rPr>
                <w:t>EXHIBITS AND FINANCIAL STATEMENT SCHEDULE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35">
              <w:r>
                <w:rPr>
                  <w:rStyle w:val="InternetLink"/>
                  <w:rFonts w:ascii="Times New Roman;sans-serif" w:hAnsi="Times New Roman;sans-serif"/>
                  <w:b w:val="false"/>
                  <w:strike w:val="false"/>
                  <w:dstrike w:val="false"/>
                  <w:color w:val="0000FF"/>
                  <w:sz w:val="20"/>
                  <w:u w:val="none"/>
                  <w:effect w:val="none"/>
                </w:rPr>
                <w:t>111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38">
              <w:r>
                <w:rPr>
                  <w:rStyle w:val="InternetLink"/>
                  <w:rFonts w:ascii="Times New Roman;sans-serif" w:hAnsi="Times New Roman;sans-serif"/>
                  <w:b w:val="false"/>
                  <w:color w:val="0000FF"/>
                  <w:sz w:val="20"/>
                  <w:u w:val="single"/>
                </w:rPr>
                <w:t>FORM 10-K SUMMARY</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38">
              <w:r>
                <w:rPr>
                  <w:rStyle w:val="InternetLink"/>
                  <w:rFonts w:ascii="Times New Roman;sans-serif" w:hAnsi="Times New Roman;sans-serif"/>
                  <w:b w:val="false"/>
                  <w:strike w:val="false"/>
                  <w:dstrike w:val="false"/>
                  <w:color w:val="0000FF"/>
                  <w:sz w:val="20"/>
                  <w:u w:val="none"/>
                  <w:effect w:val="none"/>
                </w:rPr>
                <w:t>117</w:t>
              </w:r>
            </w:hyperlink>
          </w:p>
        </w:tc>
      </w:tr>
      <w:tr>
        <w:trPr/>
        <w:tc>
          <w:tcPr>
            <w:tcW w:w="973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c865e41821b49f48d5488c091e793d0_541">
              <w:r>
                <w:rPr>
                  <w:rStyle w:val="InternetLink"/>
                  <w:rFonts w:ascii="Times New Roman;sans-serif" w:hAnsi="Times New Roman;sans-serif"/>
                  <w:b w:val="false"/>
                  <w:color w:val="0000FF"/>
                  <w:sz w:val="20"/>
                  <w:u w:val="single"/>
                </w:rPr>
                <w:t>SIGNATURES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541">
              <w:r>
                <w:rPr>
                  <w:rStyle w:val="InternetLink"/>
                  <w:rFonts w:ascii="Times New Roman;sans-serif" w:hAnsi="Times New Roman;sans-serif"/>
                  <w:b w:val="false"/>
                  <w:strike w:val="false"/>
                  <w:dstrike w:val="false"/>
                  <w:color w:val="0000FF"/>
                  <w:sz w:val="20"/>
                  <w:u w:val="none"/>
                  <w:effect w:val="none"/>
                </w:rPr>
                <w:t>118</w:t>
              </w:r>
            </w:hyperlink>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8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8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all references in this Annual Report on Form 10-K to “Casella Waste Systems, Inc.”, “Casella”, the “Company”, “we”, “us” or “our” refer to Casella Waste Systems, Inc. and its consolidated subsidiaries.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or incorporates a number of forward-looking statements within the meaning of Section 27A of the Securities Act of 1933, as amended, and Section 21E of the Exchange Act of 1934, as amended.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 The forward-looking statements in this Annual Report on Form 10-K include, among other things, statements about: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consummate acquisitions, integrate acquired businesses and operations and achieve the expected benefits, including the expected annualized revenues from such acquired businesses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achieve the key strategies of our long-term strategic plan;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projected development of additional disposal capacity or expectations regarding permits for existing capacity;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outcome of any legal or regulatory matter;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expected liquidity and financing plans;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expected future revenues, operations, expenditures and cash needs;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whether our pricing programs and operational initiatives will outpace higher operating and construction costs from inflation and regulatory changes;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fluctuations in recycling commodity pricing, increases in landfill tipping fees and fuel costs and general economic and weather conditions;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projected future obligations related to final capping, closure and post-closure costs of our existing landfills and any disposal facilities which we may own or operate in the future;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use our net operating losses and tax positions;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service our debt obligations;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recoverability or impairment of any of our assets or goodwill;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estimates of the potential markets for our products and services, including the anticipated drivers for future growth;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sales and marketing plans or price and volume assumptions;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business combinations or divestitures;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projected improvements to our infrastructure and the impact of such improvements on our business and operations;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pStyle w:val="TextBody"/>
        <w:bidi w:val="0"/>
        <w:spacing w:lineRule="auto" w:line="288" w:before="120" w:after="283"/>
        <w:jc w:val="left"/>
        <w:rPr/>
      </w:pPr>
      <w:r>
        <w:rPr>
          <w:rFonts w:ascii="Times New Roman;sans-serif" w:hAnsi="Times New Roman;sans-serif"/>
          <w:b w:val="false"/>
          <w:color w:val="000000"/>
          <w:sz w:val="20"/>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this Annual Report on Form 10-K. We explicitly disclaim any obligation to update any forward-looking statements whether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Casella Waste Systems, Inc.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integrated solid waste services in ten states: Vermont, New Hampshire, New York, Massachusetts, Connecticut, Maine, Pennsylvania, Delaware, New Jersey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283"/>
        <w:jc w:val="left"/>
        <w:rPr/>
      </w:pPr>
      <w:r>
        <w:rPr>
          <w:rFonts w:ascii="Times New Roman;sans-serif" w:hAnsi="Times New Roman;sans-serif"/>
          <w:b w:val="false"/>
          <w:color w:val="000000"/>
          <w:sz w:val="20"/>
        </w:rPr>
        <w:t>For more information about our reportable operating segments, please see “</w:t>
      </w:r>
      <w:r>
        <w:rPr>
          <w:rFonts w:ascii="Times New Roman;sans-serif" w:hAnsi="Times New Roman;sans-serif"/>
          <w:b w:val="false"/>
          <w:i/>
          <w:color w:val="000000"/>
          <w:sz w:val="20"/>
        </w:rPr>
        <w:t>Operational Overview</w:t>
      </w:r>
      <w:r>
        <w:rPr>
          <w:rFonts w:ascii="Times New Roman;sans-serif" w:hAnsi="Times New Roman;sans-serif"/>
          <w:b w:val="false"/>
          <w:color w:val="000000"/>
          <w:sz w:val="20"/>
        </w:rPr>
        <w:t xml:space="preserve">.” For financial information concerning our reportable operating segments refer to “Item 7. </w:t>
      </w:r>
      <w:r>
        <w:rPr>
          <w:rFonts w:ascii="Times New Roman;sans-serif" w:hAnsi="Times New Roman;sans-serif"/>
          <w:b w:val="false"/>
          <w:i/>
          <w:color w:val="000000"/>
          <w:sz w:val="20"/>
        </w:rPr>
        <w:t>Management’s Discussion and Analysis of Results of Operations and Financial Condition</w:t>
      </w:r>
      <w:r>
        <w:rPr>
          <w:color w:val="000000"/>
        </w:rPr>
        <w:t xml:space="preserve">” </w:t>
      </w:r>
      <w:r>
        <w:rPr>
          <w:rFonts w:ascii="Times New Roman;sans-serif" w:hAnsi="Times New Roman;sans-serif"/>
          <w:b w:val="false"/>
          <w:color w:val="000000"/>
          <w:sz w:val="20"/>
        </w:rPr>
        <w:t xml:space="preserve">and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120" w:after="283"/>
        <w:jc w:val="left"/>
        <w:rPr/>
      </w:pPr>
      <w:r>
        <w:rPr>
          <w:rFonts w:ascii="Times New Roman;sans-serif" w:hAnsi="Times New Roman;sans-serif"/>
          <w:b w:val="false"/>
          <w:color w:val="000000"/>
          <w:sz w:val="20"/>
        </w:rPr>
        <w:t xml:space="preserve">Our website is </w:t>
      </w:r>
      <w:r>
        <w:rPr>
          <w:rFonts w:ascii="Times New Roman;sans-serif" w:hAnsi="Times New Roman;sans-serif"/>
          <w:b w:val="false"/>
          <w:i/>
          <w:color w:val="000000"/>
          <w:sz w:val="20"/>
        </w:rPr>
        <w:t>www.casella.com</w:t>
      </w:r>
      <w:r>
        <w:rPr>
          <w:rFonts w:ascii="Times New Roman;sans-serif" w:hAnsi="Times New Roman;sans-serif"/>
          <w:b w:val="false"/>
          <w:color w:val="000000"/>
          <w:sz w:val="20"/>
        </w:rPr>
        <w:t>. We make available, free of charge through our website, our Annual Reports on Form 10-K,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objective is to maximize long-term shareholder value through a combination of financial performance, acquisition and organic growth, and strategic asset positioning, while operating in a safe and environmentally sound manner. Throughout our history we have worked with many of our key customers to improve their environmental footprint and to help meet sustainability goals by increasing their recycling rates, diverting organic materials out of the waste stream into beneficial use processes, and partnering to develop resource solutions within their organizations or communities. Since we first began operating in Vermont in 1975, 50 years ago, our business strategy has been firmly tied to creating a sustainable resource management model, and we continue to be rooted in these same tenets today.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resources (team, technology, facilities, and capital) to further develop this important long-term strategy that we believe differentiates our service offerings to our customers, makes us an employer of choice for our people, and improves our economic returns. We strive to create long-term value for all of our stakeholders, including customers, employees, communities and shareholders.</w:t>
      </w:r>
    </w:p>
    <w:p>
      <w:pPr>
        <w:pStyle w:val="TextBody"/>
        <w:bidi w:val="0"/>
        <w:spacing w:lineRule="auto" w:line="288" w:before="120" w:after="283"/>
        <w:jc w:val="left"/>
        <w:rPr/>
      </w:pPr>
      <w:r>
        <w:rPr>
          <w:rFonts w:ascii="Times New Roman;sans-serif" w:hAnsi="Times New Roman;sans-serif"/>
          <w:b w:val="false"/>
          <w:color w:val="000000"/>
          <w:sz w:val="20"/>
        </w:rPr>
        <w:t xml:space="preserve">We closed on eight acquisitions in the fiscal year ended December 31, 2024 (“ fiscal year 2024”), which further densified our Mid-Atlantic platform, expanded our operations into New Jersey as well as New York’s middle and lower Hudson Valley, and closed on several tuck-in acquisitions within our existing footprint. We believe that we are well-positioned to explore and capitalize on future growth opportunities. For information regarding our business acquisitions, see Note 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key strategies, set forth below, reflect our continued focus on creating shareholder value through execution against our core competencies, disciplined growth strategy and strengthening foundational pillars. </w:t>
      </w:r>
    </w:p>
    <w:p>
      <w:pPr>
        <w:pStyle w:val="TextBody"/>
        <w:bidi w:val="0"/>
        <w:spacing w:lineRule="auto" w:line="288" w:before="60" w:after="283"/>
        <w:ind w:left="0" w:right="0" w:hanging="36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Increasing landfill returns;</w:t>
      </w:r>
    </w:p>
    <w:p>
      <w:pPr>
        <w:pStyle w:val="TextBody"/>
        <w:bidi w:val="0"/>
        <w:spacing w:lineRule="auto" w:line="288" w:before="60" w:after="283"/>
        <w:ind w:left="0" w:right="0" w:hanging="360"/>
        <w:jc w:val="left"/>
        <w:rPr/>
      </w:pPr>
      <w:r>
        <w:rPr>
          <w:rFonts w:ascii="Times New Roman;sans-serif" w:hAnsi="Times New Roman;sans-serif"/>
          <w:b w:val="false"/>
          <w:color w:val="000000"/>
          <w:sz w:val="18"/>
        </w:rPr>
        <w:t>(2)</w:t>
      </w:r>
      <w:r>
        <w:rPr>
          <w:rFonts w:ascii="Times New Roman;sans-serif" w:hAnsi="Times New Roman;sans-serif"/>
          <w:b w:val="false"/>
          <w:color w:val="000000"/>
          <w:sz w:val="20"/>
        </w:rPr>
        <w:t>Driving additional profitability in collection operations;</w:t>
      </w:r>
    </w:p>
    <w:p>
      <w:pPr>
        <w:pStyle w:val="TextBody"/>
        <w:bidi w:val="0"/>
        <w:spacing w:lineRule="auto" w:line="288" w:before="60" w:after="283"/>
        <w:ind w:left="0" w:right="0" w:hanging="360"/>
        <w:jc w:val="left"/>
        <w:rPr/>
      </w:pPr>
      <w:r>
        <w:rPr>
          <w:rFonts w:ascii="Times New Roman;sans-serif" w:hAnsi="Times New Roman;sans-serif"/>
          <w:b w:val="false"/>
          <w:color w:val="000000"/>
          <w:sz w:val="18"/>
        </w:rPr>
        <w:t>(3)</w:t>
      </w:r>
      <w:r>
        <w:rPr>
          <w:rFonts w:ascii="Times New Roman;sans-serif" w:hAnsi="Times New Roman;sans-serif"/>
          <w:b w:val="false"/>
          <w:color w:val="000000"/>
          <w:sz w:val="20"/>
        </w:rPr>
        <w:t xml:space="preserve">Creating incremental value through Resource Solutions; </w:t>
      </w:r>
    </w:p>
    <w:p>
      <w:pPr>
        <w:pStyle w:val="TextBody"/>
        <w:bidi w:val="0"/>
        <w:spacing w:lineRule="auto" w:line="288" w:before="60" w:after="283"/>
        <w:ind w:left="0" w:right="0" w:hanging="360"/>
        <w:jc w:val="left"/>
        <w:rPr/>
      </w:pPr>
      <w:r>
        <w:rPr>
          <w:rFonts w:ascii="Times New Roman;sans-serif" w:hAnsi="Times New Roman;sans-serif"/>
          <w:b w:val="false"/>
          <w:color w:val="000000"/>
          <w:sz w:val="18"/>
        </w:rPr>
        <w:t>(4)</w:t>
      </w:r>
      <w:r>
        <w:rPr>
          <w:rFonts w:ascii="Times New Roman;sans-serif" w:hAnsi="Times New Roman;sans-serif"/>
          <w:b w:val="false"/>
          <w:color w:val="000000"/>
          <w:sz w:val="20"/>
        </w:rPr>
        <w:t>Allocating capital to return driven growth; and</w:t>
      </w:r>
    </w:p>
    <w:p>
      <w:pPr>
        <w:pStyle w:val="TextBody"/>
        <w:bidi w:val="0"/>
        <w:spacing w:lineRule="auto" w:line="288" w:before="60" w:after="283"/>
        <w:ind w:left="0" w:right="0" w:hanging="360"/>
        <w:jc w:val="left"/>
        <w:rPr/>
      </w:pPr>
      <w:r>
        <w:rPr>
          <w:rFonts w:ascii="Times New Roman;sans-serif" w:hAnsi="Times New Roman;sans-serif"/>
          <w:b w:val="false"/>
          <w:color w:val="000000"/>
          <w:sz w:val="18"/>
        </w:rPr>
        <w:t>(5)</w:t>
      </w:r>
      <w:r>
        <w:rPr>
          <w:rFonts w:ascii="Times New Roman;sans-serif" w:hAnsi="Times New Roman;sans-serif"/>
          <w:b w:val="false"/>
          <w:color w:val="000000"/>
          <w:sz w:val="20"/>
        </w:rPr>
        <w:t>Strengthening four key foundational pillars: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People: Developing a safe, engaged, ready workforce to support growth.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Sustainable Growth: Driving profitable growth through an integrated resource solutions approach.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Technology: Driving profitable growth and efficiencies through technology.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Facilities: Developing necessary long-term infrastructure through facilities planning.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Landfill Returns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the last 10 years, disposal capacity has tightened in the Northeast market as permanent site closures have reduced capacity and greater volumes are leaving the market via rail to out-of-state disposal sites. Given this backdrop and the positioning of our assets, and in response to persistent cost inflation, we advanced landfill pricing by 4.4% for fiscal year 2024, as compared to the fiscal year ended December 31, 2023 (“fiscal year 2023”). We believe that a positive pricing backdrop will continue, as additional site closures may occur over the next several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active in seeking to develop additional landfill capacity, and in fiscal year 2024, our rail-served operations commenced at our Subtitle D landfill located in Mount Jewett, Pennsylvania (“McKean Landfill”). While the initial volumes have been modest, as expected, we believe this facility has the potential to provide further disposal certainty to our customers and to the Northeast market over time. Over the years, we have been successful in advancing key permitting activities at select sites across our footprint, resulting in increased annual capacity limits and expanded total permitted capacity. Since early 2016, we have advanced permit increases at our Subtitle D landfills, cumulatively adding approximately 0.5 million tons per year of permitted capacity and approximately 50.9 million cubic yards of total permitted airspace.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continue to focus on improving our landfill returns and operations through various initiatives related to internalization opportunities, sourcing of profitable volumes, enhanced safety, improved compliance, consistent operating practices, and capital efficiency programs.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Driving Additional Profitability in Collection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pricing was up 6.5% for fiscal year 2024, as compared to fiscal year 2023, with sustained execution against our strategic pricing programs, which helped to offset cost inflation. We also continue to advance several key operational initiatives, including route optimization and automation, acquisition integration and maintenance programs to further reduce our operating costs and improve safety in our collection operations. Our comprehensive fleet plan is designed to optimize our fleet and target truck replacements in order to maximize returns, reduce our operating expenses through lower maintenance costs, improve our service levels through reduced down times, and increase automation and optimization of trucks and service types.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a technology perspective, we continue to advance business intelligence tools that provide our teams with actionable data as well as investment and deployment of on-board-computers and cameras designed to enhance safety and service and modernize our fleet. We also remain focused on acquisition integration as we work diligently to onboard new customers and employees, while enhancing service accuracy, increasing operating efficiencies, and optimizing the internalization of solid waste and recycling volumes into our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combination of these operating advancements and pricing programs are driving improved results in our collection operations. In addition, we remain focused on mitigating fuel cost exposure through our floating fuel cost recovery fee program.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Creating Incremental Value Through Resource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Resource Solutions operating segment's business strategy is focused on driving value-added resource management and sustainability-oriented solutions to our customers. These solutions range from professional services to large industrial, institutional or multi-site retail customers, our organics business, which provides organics processing and disposal, and our large scale, technology-driven recycling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our core competencies in materials processing, industrial recycling, organics and resource management service offerings to deliver a comprehensive solution for our larger commercial, municipal, institutional, and industrial customers with more diverse waste and recycling needs. Our processing operations consist of our recycling and biosolids facilities where we receive inbound materials, process the volume, and sell the resulting products into end markets.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focus of our recycling business model is to reduce exposure to recycling commodity price volatility and drive adequate returns in all market cycles. We have accomplished this by: (1) restructuring most third-party processing contracts to limit downside risk through processing fees; (2) implementing our sustainability recycling adjustment fee (“SRA Fee(s)”) that floats inversely to changes in recycling commodity prices; (3) investing in processing infrastructure to reduce operating costs and improve the quality of post-sorted commodities, such as the replacement and upgrade of the processing equipment at select materials recovery facilities (“MRF”); and (4) developing strong partnerships with industrial consumers of recycled materials to ensure circularity. Where implemented, our risk mitigation programs offset most recycling commodity price decline and allow us to return value to our customers with higher recycling commodity prices through lower tipping fees and a lower SRA Fee. Given our growth strategy, at times, the businesses we acquire may not have sufficient risk mitigation programs and thus may temporarily increase our recycling commodity risk exposure. Over time, we strive to mitigate recycling commodity risk exposure and improve returns.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National Accounts business consists of brokerage and resource management services provided to large customers with broad sustainability needs. This professional services business drove positive sales growth in fiscal year 2024 as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volumes increased 4.3% as compared to fiscal year 2023. This volume growth reflects our sales expertise coupled with increased demand for resource management services from select larger customers. We remain focused on helping large industrial and institutional customers develop and achieve actionable resource management and sustainability goals.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Allocating Capital to Return-Driven Growth</w:t>
      </w:r>
    </w:p>
    <w:p>
      <w:pPr>
        <w:pStyle w:val="TextBody"/>
        <w:bidi w:val="0"/>
        <w:spacing w:lineRule="auto" w:line="288" w:before="120" w:after="283"/>
        <w:jc w:val="left"/>
        <w:rPr/>
      </w:pPr>
      <w:r>
        <w:rPr>
          <w:rFonts w:ascii="Times New Roman;sans-serif" w:hAnsi="Times New Roman;sans-serif"/>
          <w:b w:val="false"/>
          <w:color w:val="000000"/>
          <w:sz w:val="20"/>
        </w:rPr>
        <w:t>We have focused on a balanced growth strategy through a combination of acquisitions, development projects, and new contracts while adhering to strict capital discipline standards, with the objective of maximizing risk-adjusted returns on capital invested and maintaining prudent capitalization. Consistent with this strategy, we have grown our business and maintained conservative debt levels with a consolidated net leverage ratio of 2.54x as of December 31, 2024. See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of this Annual Report on Form 10-K for more disclosure about our consolidated net leverage ratio. We believe the strength of our balance sheet coupled with a robust acquisition pipeline positions us well for continued execution against our growth strategy.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acquired 68 solid waste collection, transfer and recycling businesses since the beginning of 2018 through fiscal year 2024 with over $800 million of total annualized revenues. This includes eight solid waste, collection, transfer and recycling businesses acquired in fiscal year 2024 with over $200 million in total annualized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adhere to our disciplined capital return hurdles and rigorous review and risk management process in executing against our acquisition and development opportunities. We are focused on acquiring well-run businesses in strategic markets across our footprint and in markets that will drive additional operating synergies and provide opportunities to grow profitably, and further our potential to expand into new market areas over time.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Strengthening Foundational Pillars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execution is supported by strengthening our foundational pillars: people, sustainable growth, technology, and facilities. We believe that it is important to continue to invest in and strengthen our foundational pillars to support growth and further differentiate our business strategy.</w:t>
      </w:r>
    </w:p>
    <w:p>
      <w:pPr>
        <w:pStyle w:val="TextBody"/>
        <w:bidi w:val="0"/>
        <w:spacing w:lineRule="auto" w:line="288" w:before="120" w:after="283"/>
        <w:jc w:val="left"/>
        <w:rPr/>
      </w:pPr>
      <w:r>
        <w:rPr>
          <w:rFonts w:ascii="Times New Roman;sans-serif" w:hAnsi="Times New Roman;sans-serif"/>
          <w:b w:val="false"/>
          <w:i/>
          <w:color w:val="000000"/>
          <w:sz w:val="20"/>
        </w:rPr>
        <w:t xml:space="preserve">People. </w:t>
      </w:r>
      <w:r>
        <w:rPr>
          <w:rFonts w:ascii="Times New Roman;sans-serif" w:hAnsi="Times New Roman;sans-serif"/>
          <w:b w:val="false"/>
          <w:color w:val="000000"/>
          <w:sz w:val="20"/>
        </w:rPr>
        <w:t>We continue to invest in our people through leadership development, our career paths program, technical training for key roles such as drivers and mechanics, and incentive compensation structures that seek to align our employees’ incentives with our long-term goal to improve cash flows and returns on invested capital. As a result of our acquisition activity in fiscal year 2024, which included entry into new markets, we have grown our workforce by over 20% as compared to fiscal year 2023, to over 5,000 employees. Our integration process has focused on welcoming and introducing our culture to new team members as well as providing the necessary resources across all operations. We believe investing in our team and culture, and creating a safe, engaged, and ready workforce is key to our continued success.</w:t>
      </w:r>
    </w:p>
    <w:p>
      <w:pPr>
        <w:pStyle w:val="TextBody"/>
        <w:bidi w:val="0"/>
        <w:spacing w:lineRule="auto" w:line="288" w:before="120" w:after="283"/>
        <w:jc w:val="left"/>
        <w:rPr/>
      </w:pPr>
      <w:r>
        <w:rPr>
          <w:rFonts w:ascii="Times New Roman;sans-serif" w:hAnsi="Times New Roman;sans-serif"/>
          <w:b w:val="false"/>
          <w:i/>
          <w:color w:val="000000"/>
          <w:sz w:val="20"/>
        </w:rPr>
        <w:t xml:space="preserve">Sustainable Growth. </w:t>
      </w:r>
      <w:r>
        <w:rPr>
          <w:rFonts w:ascii="Times New Roman;sans-serif" w:hAnsi="Times New Roman;sans-serif"/>
          <w:b w:val="false"/>
          <w:color w:val="000000"/>
          <w:sz w:val="20"/>
        </w:rPr>
        <w:t xml:space="preserve">We are focused on driving further value through profitable new customer growth and the expansion of services with existing customers. Through an integrated effort across our sales, marketing, engagement, customer care, communications, and sustainability functions, we seek to enhance customer profitability and sustainability, improve key customer retention, and further growth within targeted markets.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in sales training and have developed centralized processes to support and enhance field sales performance that can help advance profitable, scalable growth across the sales organization, while helping to reduce overall sales expenses. We have consistent sales metrics and our compensation programs enhance accountability and alignment across our organization. Our sustainable growth initiatives shape how we interact with our customers and with the communities we serve. </w:t>
      </w:r>
    </w:p>
    <w:p>
      <w:pPr>
        <w:pStyle w:val="TextBody"/>
        <w:bidi w:val="0"/>
        <w:spacing w:lineRule="auto" w:line="288" w:before="120" w:after="283"/>
        <w:jc w:val="left"/>
        <w:rPr/>
      </w:pPr>
      <w:r>
        <w:rPr>
          <w:rFonts w:ascii="Times New Roman;sans-serif" w:hAnsi="Times New Roman;sans-serif"/>
          <w:b w:val="false"/>
          <w:i/>
          <w:color w:val="000000"/>
          <w:sz w:val="20"/>
        </w:rPr>
        <w:t xml:space="preserve">Technology. </w:t>
      </w:r>
      <w:r>
        <w:rPr>
          <w:rFonts w:ascii="Times New Roman;sans-serif" w:hAnsi="Times New Roman;sans-serif"/>
          <w:b w:val="false"/>
          <w:color w:val="000000"/>
          <w:sz w:val="20"/>
        </w:rPr>
        <w:t>We</w:t>
      </w:r>
      <w:r>
        <w:rPr>
          <w:color w:val="000000"/>
        </w:rPr>
        <w:t xml:space="preserve"> </w:t>
      </w:r>
      <w:r>
        <w:rPr>
          <w:rFonts w:ascii="Times New Roman;sans-serif" w:hAnsi="Times New Roman;sans-serif"/>
          <w:b w:val="false"/>
          <w:color w:val="000000"/>
          <w:sz w:val="20"/>
        </w:rPr>
        <w:t xml:space="preserve">continue to execute a multi-year technology strategy, which includes business systems standardization, post-acquisition integration and a multi-faceted digital customer engagement transformation. We have launched an initiative to consolidate and standardize our core revenue, billing and operational systems (our “Lead to Cash” project), successfully completing a pilot in fiscal year 2024 and transitioning to a planned enterprise rollout in 2025 and 2026. We believe that each milestone in this initiative will create significant business value by streamlining middle and back-office operations, eliminating legacy and acquired technologies, and modernizing our overall capabilities.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our measured approach to technology transformation, with capital investment in select technologies that are expected to be long-term strategic fits, drive operational efficiencies, and yield measurable business value. </w:t>
      </w:r>
    </w:p>
    <w:p>
      <w:pPr>
        <w:pStyle w:val="TextBody"/>
        <w:bidi w:val="0"/>
        <w:spacing w:lineRule="auto" w:line="288" w:before="120" w:after="283"/>
        <w:jc w:val="left"/>
        <w:rPr/>
      </w:pPr>
      <w:r>
        <w:rPr>
          <w:rFonts w:ascii="Times New Roman;sans-serif" w:hAnsi="Times New Roman;sans-serif"/>
          <w:b w:val="false"/>
          <w:i/>
          <w:color w:val="000000"/>
          <w:sz w:val="20"/>
        </w:rPr>
        <w:t xml:space="preserve">Facilities. </w:t>
      </w:r>
      <w:r>
        <w:rPr>
          <w:rFonts w:ascii="Times New Roman;sans-serif" w:hAnsi="Times New Roman;sans-serif"/>
          <w:b w:val="false"/>
          <w:color w:val="000000"/>
          <w:sz w:val="20"/>
        </w:rPr>
        <w:t xml:space="preserve">We believe prioritizing and allocating capital to meet our long-term facility needs will help to improve employee safety, operating efficiencies, acquisition integration, and employee engagement. Our facility strategy helps to guide decisions related to facility expansions, consolidations, and relocations as well as key property or facility acquisitions. We are focused on facility standards that create a welcoming and accommodating experience for our employees, customers, vendors, and site visitors. These attributes coupled with improved functional design aim to increase the attraction and retention of key roles across our organization.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Human Capital </w:t>
      </w:r>
    </w:p>
    <w:p>
      <w:pPr>
        <w:pStyle w:val="TextBody"/>
        <w:bidi w:val="0"/>
        <w:spacing w:lineRule="auto" w:line="288" w:before="120" w:after="283"/>
        <w:jc w:val="left"/>
        <w:rPr/>
      </w:pPr>
      <w:r>
        <w:rPr>
          <w:rFonts w:ascii="Times New Roman;sans-serif" w:hAnsi="Times New Roman;sans-serif"/>
          <w:b w:val="false"/>
          <w:color w:val="000000"/>
          <w:sz w:val="20"/>
        </w:rPr>
        <w:t>We believe that one of the most important factors in achieving our long-term strategies is to hire, develop, and retain employees who adhere to our c</w:t>
      </w:r>
      <w:r>
        <w:rPr>
          <w:rFonts w:ascii="Times New Roman;sans-serif" w:hAnsi="Times New Roman;sans-serif"/>
          <w:b w:val="false"/>
          <w:i/>
          <w:color w:val="000000"/>
          <w:sz w:val="20"/>
        </w:rPr>
        <w:t xml:space="preserve">ore values </w:t>
      </w:r>
      <w:r>
        <w:rPr>
          <w:rFonts w:ascii="Times New Roman;sans-serif" w:hAnsi="Times New Roman;sans-serif"/>
          <w:b w:val="false"/>
          <w:color w:val="000000"/>
          <w:sz w:val="20"/>
        </w:rPr>
        <w:t xml:space="preserve">of service, trust, responsibility, integrity, continuous improvement and teamwork (“Core Values”). Our team consists of drivers, vehicle technicians, equipment operators, recycling facility sorters, engineers, accountants, customer care specialists, and many other key roles.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employed approximately 5,100 employees, including approximately 900 managerial, sales, clerical, information systems or other administrative employees and approximately 4,200 employees involved in collection, transfer, disposal, recycling, organics or other operations. Approximately 170 of our employees are covered by collective bargaining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Health, Safety and Wellness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top priority across all of our operations is to protect the health and safety of our team and the communities that we serve. At the heart of our safety program are our safety and operations teams, who are dedicated to ensuring that every employee has a safe operating environment and the necessary training and personal protective equipment to safely conduct their role. Both the success of our safety programs and the performance of our health and safety and operations teams is measured by our total recordable incident rate, a measure of accidents and injuries compared to hours worked. Our extensive focus on new hire and ongoing training programs also helps us to manage and reduce operational risks for our front-line employees.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Compensation and Benefit Programs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provide the necessary resources to support the physical and mental health of our employees and the overall well-being of their families and the communities that we serve. We aim to achieve this through our benefit programs, caring attitude towards our employees, deep engagement in our communities, and adherence to our Core Values. We are committed to offering high quality benefits at affordable rates, competitive compensation based on role, experience and performance, and a career path program to encourage members of our team to advance throughout their employment with us. We conduct market-based surveys to ensure that our employees continue to be paid competitively, and we perform annual reviews to provide feedback and support the growth and development of members of our team.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offer our employees access to enhanced benefits such as a concierge surgery service, telemedicine options, access to a certified clinical pharmacist to support employees in managing their medications and healthcare budget, and online psychology appointments. We understand the importance of work-life balance for our employees and offer eight weeks maternity leave as well as maintain a robust employee assistance program designed to provide support and guidance related to personal life challenges and events. Further, our Employee Life Navigator program is focused on employee retention, career development, and financial stability for at risk employees. Through comprehensive compensation and benefits, ongoing employee development, tuition reimbursement and a focus on health, safety and employee well-being, we seek to help our employees in all aspects of their lives so they can realize their value and do their best work.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People, Culture &amp; Belonging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commitment to an inclusive workplace is rooted in our Core Values and our People, Culture &amp; Belonging initiatives. Our vision is to draw on our Core Values to promote inclusion through the following: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directing recruiting efforts to new talent pools, promoting inclusion in our training and development programs, and ensuring equal opportunity within our process for advancing our next cohort of leaders;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focusing on ongoing training programs for managers that emphasize people, culture and belonging;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incorporating inclusive practices as part of our ongoing efforts to upgrade our procurement system and practices.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Engagement, Training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building people and cultivating engagement by investing in our career path program in order to provide a clear and measurable development pathway for career growth, including the following training initiatives and programs. </w:t>
      </w:r>
    </w:p>
    <w:p>
      <w:pPr>
        <w:pStyle w:val="TextBody"/>
        <w:bidi w:val="0"/>
        <w:spacing w:lineRule="auto" w:line="288" w:before="120" w:after="283"/>
        <w:jc w:val="left"/>
        <w:rPr/>
      </w:pPr>
      <w:r>
        <w:rPr>
          <w:rFonts w:ascii="Times New Roman;sans-serif" w:hAnsi="Times New Roman;sans-serif"/>
          <w:b w:val="false"/>
          <w:i/>
          <w:color w:val="000000"/>
          <w:sz w:val="20"/>
        </w:rPr>
        <w:t>Apprenticeships.</w:t>
      </w:r>
      <w:r>
        <w:rPr>
          <w:color w:val="000000"/>
        </w:rPr>
        <w:t xml:space="preserve"> </w:t>
      </w:r>
      <w:r>
        <w:rPr>
          <w:rFonts w:ascii="Times New Roman;sans-serif" w:hAnsi="Times New Roman;sans-serif"/>
          <w:b w:val="false"/>
          <w:color w:val="000000"/>
          <w:sz w:val="20"/>
        </w:rPr>
        <w:t xml:space="preserve">We have developed an apprenticeship program for drivers and technicians, where we recruit new employees with a broad range of experiences, perspectives, and backgrounds, and help them build the skills they need to thrive in our organization. </w:t>
      </w:r>
    </w:p>
    <w:p>
      <w:pPr>
        <w:pStyle w:val="TextBody"/>
        <w:bidi w:val="0"/>
        <w:spacing w:lineRule="auto" w:line="288" w:before="120" w:after="283"/>
        <w:jc w:val="left"/>
        <w:rPr/>
      </w:pPr>
      <w:r>
        <w:rPr>
          <w:rFonts w:ascii="Times New Roman;sans-serif" w:hAnsi="Times New Roman;sans-serif"/>
          <w:b w:val="false"/>
          <w:i/>
          <w:color w:val="000000"/>
          <w:sz w:val="20"/>
        </w:rPr>
        <w:t xml:space="preserve">Commercial Driver's License Training. </w:t>
      </w:r>
      <w:r>
        <w:rPr>
          <w:rFonts w:ascii="Times New Roman;sans-serif" w:hAnsi="Times New Roman;sans-serif"/>
          <w:b w:val="false"/>
          <w:color w:val="000000"/>
          <w:sz w:val="20"/>
        </w:rPr>
        <w:t xml:space="preserve">We have developed a commercial driver's license (“CDL”) training school and have partnered with several additional training schools across our operating footprint to help develop skilled drivers for our team. Since opening the training school in 2021, we have supported over 300 drivers in securing their CDL, which has unlocked new opportunities for them within our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i/>
          <w:color w:val="000000"/>
          <w:sz w:val="20"/>
        </w:rPr>
        <w:t>Operations Trainee Program.</w:t>
      </w:r>
      <w:r>
        <w:rPr>
          <w:color w:val="000000"/>
        </w:rPr>
        <w:t xml:space="preserve"> </w:t>
      </w:r>
      <w:r>
        <w:rPr>
          <w:rFonts w:ascii="Times New Roman;sans-serif" w:hAnsi="Times New Roman;sans-serif"/>
          <w:b w:val="false"/>
          <w:color w:val="000000"/>
          <w:sz w:val="20"/>
        </w:rPr>
        <w:t xml:space="preserve">Our operations trainee program develops individuals into frontline management roles. Through on-the-job training, participants learn the technical and leadership skills required to lead our operations. This program has become a strong pipeline for our operating managers across our company. We continue to expand our management development programs across the organization. </w:t>
      </w:r>
    </w:p>
    <w:p>
      <w:pPr>
        <w:pStyle w:val="TextBody"/>
        <w:bidi w:val="0"/>
        <w:spacing w:lineRule="auto" w:line="288" w:before="120" w:after="283"/>
        <w:jc w:val="left"/>
        <w:rPr/>
      </w:pPr>
      <w:r>
        <w:rPr>
          <w:rFonts w:ascii="Times New Roman;sans-serif" w:hAnsi="Times New Roman;sans-serif"/>
          <w:b w:val="false"/>
          <w:i/>
          <w:color w:val="000000"/>
          <w:sz w:val="20"/>
        </w:rPr>
        <w:t>Diesel Mechanic Training.</w:t>
      </w:r>
      <w:r>
        <w:rPr>
          <w:color w:val="000000"/>
        </w:rPr>
        <w:t xml:space="preserve"> </w:t>
      </w:r>
      <w:r>
        <w:rPr>
          <w:rFonts w:ascii="Times New Roman;sans-serif" w:hAnsi="Times New Roman;sans-serif"/>
          <w:b w:val="false"/>
          <w:color w:val="000000"/>
          <w:sz w:val="20"/>
        </w:rPr>
        <w:t>Since the launch of our in house Diesel Technician school in fiscal year 2023, we have trained and certified over 200 diesel technicians throughout our organization. We continue to collaborate with technical schools as well as enhance our training infrastructure and resources to attract, develop, and retain skilled diesel mechanics.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increased our focus on Core Values training to support the continued growth of our workforce and ensure that new employees understand our culture and values. This training highlights our commitment to integrating new employees and ensuring that there is continuity in our message about culture within our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Operational 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solid waste operations, which are vertically integrated and include a full range of solid waste services, on a geographic basis through three regional operating segments, which we designate as the Eastern, Western and Mid-Atlantic regions. Within each geographic region, we organize our solid waste services around smaller market areas that we also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market area, or wasteshed, each of which provides a particular service, such as collection, recycling, disposal or transfer. Each division operates interdependently with the other divisions within the market area. Each market area generally operates autonomously from adjoining market areas.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Eastern region consists of wastesheds located in Maine, northern, central and southeastern New Hampshire, central and eastern Massachusetts, and eastern Connecticut. We entered into these wastesheds beginning in 1996 and have expanded primarily through acquisitions and organic growth since that time. Our Western region consists of wastesheds located in Vermont, southwestern New Hampshire, western and upstate New York, western Massachusetts, and in Pennsylvania around our McKean Landfill. We began entering into these wastesheds in 1997 and have expanded primarily through tuck-in acquisitions and organic growth since then. We remain focused on increasing our vertical integration in our Western region through extension of our reach into new markets. Our Mid-Atlantic region consists of wastesheds located in eastern Pennsylvania, western New Jersey, Delaware and Maryland. We began entering into these wastesheds in fiscal year 2023 with the completion of the GFL Acquisition.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The Resource Solutions operating segment is not specific to a geography and is organized to leverage our core competencies across our entire business footprint.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each reportable segment (as of January 31, 2025 except revenue information, which is for fiscal year 2024): </w:t>
      </w:r>
    </w:p>
    <w:tbl>
      <w:tblPr>
        <w:tblW w:w="9090" w:type="dxa"/>
        <w:jc w:val="left"/>
        <w:tblInd w:w="0" w:type="dxa"/>
        <w:tblLayout w:type="fixed"/>
        <w:tblCellMar>
          <w:top w:w="28" w:type="dxa"/>
          <w:left w:w="28" w:type="dxa"/>
          <w:bottom w:w="28" w:type="dxa"/>
          <w:right w:w="28" w:type="dxa"/>
        </w:tblCellMar>
      </w:tblPr>
      <w:tblGrid>
        <w:gridCol w:w="1436"/>
        <w:gridCol w:w="1257"/>
        <w:gridCol w:w="1266"/>
        <w:gridCol w:w="224"/>
        <w:gridCol w:w="224"/>
        <w:gridCol w:w="228"/>
        <w:gridCol w:w="109"/>
        <w:gridCol w:w="109"/>
        <w:gridCol w:w="109"/>
        <w:gridCol w:w="235"/>
        <w:gridCol w:w="235"/>
        <w:gridCol w:w="236"/>
        <w:gridCol w:w="109"/>
        <w:gridCol w:w="109"/>
        <w:gridCol w:w="109"/>
        <w:gridCol w:w="345"/>
        <w:gridCol w:w="345"/>
        <w:gridCol w:w="346"/>
        <w:gridCol w:w="109"/>
        <w:gridCol w:w="109"/>
        <w:gridCol w:w="109"/>
        <w:gridCol w:w="489"/>
        <w:gridCol w:w="489"/>
        <w:gridCol w:w="491"/>
        <w:gridCol w:w="109"/>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(in millions)</w:t>
            </w:r>
          </w:p>
        </w:tc>
        <w:tc>
          <w:tcPr>
            <w:tcW w:w="6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$591.2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Properties:</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collection facilities</w:t>
            </w:r>
          </w:p>
        </w:tc>
        <w:tc>
          <w:tcPr>
            <w:tcW w:w="6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Recycling and processing facilities</w:t>
            </w:r>
          </w:p>
        </w:tc>
        <w:tc>
          <w:tcPr>
            <w:tcW w:w="6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Subtitle D landfills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 facilities</w:t>
            </w:r>
          </w:p>
        </w:tc>
        <w:tc>
          <w:tcPr>
            <w:tcW w:w="6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demolition (“C&amp;D”) landfills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For financial information concerning our reportable segments, refer to “Item 7. </w:t>
      </w:r>
      <w:r>
        <w:rPr>
          <w:rFonts w:ascii="Times New Roman;sans-serif" w:hAnsi="Times New Roman;sans-serif"/>
          <w:b w:val="false"/>
          <w:i/>
          <w:color w:val="000000"/>
          <w:sz w:val="20"/>
        </w:rPr>
        <w:t>Management’s Discussion and Analysis of Results of Operations and Financial Condition</w:t>
      </w:r>
      <w:r>
        <w:rPr>
          <w:color w:val="000000"/>
        </w:rPr>
        <w:t xml:space="preserve">” </w:t>
      </w:r>
      <w:r>
        <w:rPr>
          <w:rFonts w:ascii="Times New Roman;sans-serif" w:hAnsi="Times New Roman;sans-serif"/>
          <w:b w:val="false"/>
          <w:color w:val="000000"/>
          <w:sz w:val="20"/>
        </w:rPr>
        <w:t xml:space="preserve">and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Solid Waste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Solid waste operations within our Eastern, Western and Mid-Atlantic regions consist of a comprehensive range of solid waste services. Our Eastern and Western regions are comprised primarily of solid waste collection, transfer station, and disposal facilities. Revenues derived from our solid waste operations in our Eastern and Western regions consist primarily of fees charged to customers for solid waste collection and disposal services, including landfill, transfer station and transportation, while also providing landfill gas-to-energy and processing services. Our Mid-Atlantic region is comprised of collection facilities and a transfer station facility. Revenues in our Mid-Atlantic region consist primarily of fees charged to customers for solid waste collection and transfer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renewable energy credits, and energy capacity payments at certain of our landfill facilities. </w:t>
      </w:r>
    </w:p>
    <w:p>
      <w:pPr>
        <w:pStyle w:val="TextBody"/>
        <w:bidi w:val="0"/>
        <w:spacing w:lineRule="auto" w:line="288" w:before="120" w:after="283"/>
        <w:jc w:val="left"/>
        <w:rPr/>
      </w:pPr>
      <w:r>
        <w:rPr>
          <w:rFonts w:ascii="Times New Roman;sans-serif" w:hAnsi="Times New Roman;sans-serif"/>
          <w:b w:val="false"/>
          <w:i/>
          <w:color w:val="000000"/>
          <w:sz w:val="20"/>
        </w:rPr>
        <w:t>Collection.</w:t>
      </w:r>
      <w:r>
        <w:rPr>
          <w:color w:val="000000"/>
        </w:rPr>
        <w:t xml:space="preserve"> </w:t>
      </w:r>
      <w:r>
        <w:rPr>
          <w:rFonts w:ascii="Times New Roman;sans-serif" w:hAnsi="Times New Roman;sans-serif"/>
          <w:b w:val="false"/>
          <w:color w:val="000000"/>
          <w:sz w:val="20"/>
        </w:rPr>
        <w:t>A majority of our commercial and industrial collection services are performed under one-to-five year service agreements, with prices and fees determined by such factors as: collection frequency; type of equipment and containers furnished; type, volume and weight of solid waste collected; distance to the disposal or processing facility; and cost of disposal or processing. Our residential collection services are performed either on a subscription basis (with no underlying contract) with individuals, or through contracts with municipalities, homeowner associations, apartment building owners or mobile home park operators.</w:t>
      </w:r>
    </w:p>
    <w:p>
      <w:pPr>
        <w:pStyle w:val="TextBody"/>
        <w:bidi w:val="0"/>
        <w:spacing w:lineRule="auto" w:line="288" w:before="120" w:after="283"/>
        <w:jc w:val="left"/>
        <w:rPr/>
      </w:pPr>
      <w:r>
        <w:rPr>
          <w:rFonts w:ascii="Times New Roman;sans-serif" w:hAnsi="Times New Roman;sans-serif"/>
          <w:b w:val="false"/>
          <w:i/>
          <w:color w:val="000000"/>
          <w:sz w:val="20"/>
        </w:rPr>
        <w:t>Transfer Stations.</w:t>
      </w:r>
      <w:r>
        <w:rPr>
          <w:color w:val="000000"/>
        </w:rPr>
        <w:t xml:space="preserve"> </w:t>
      </w:r>
      <w:r>
        <w:rPr>
          <w:rFonts w:ascii="Times New Roman;sans-serif" w:hAnsi="Times New Roman;sans-serif"/>
          <w:b w:val="false"/>
          <w:color w:val="000000"/>
          <w:sz w:val="20"/>
        </w:rPr>
        <w:t xml:space="preserve">Our transfer stations receive, process and transfer solid waste, collected by our various residential and commercial collection operations along with volumes from various third-party service providers, for transport to disposal facilities by larger vehicles. We believe that transfer stations benefit us by: </w:t>
      </w:r>
      <w:r>
        <w:rPr>
          <w:rFonts w:ascii="Times New Roman;sans-serif" w:hAnsi="Times New Roman;sans-serif"/>
          <w:b w:val="false"/>
          <w:color w:val="000000"/>
          <w:sz w:val="18"/>
        </w:rPr>
        <w:t>(1)</w:t>
      </w:r>
      <w:r>
        <w:rPr>
          <w:color w:val="000000"/>
        </w:rPr>
        <w:t> </w:t>
      </w:r>
      <w:r>
        <w:rPr>
          <w:rFonts w:ascii="Times New Roman;sans-serif" w:hAnsi="Times New Roman;sans-serif"/>
          <w:b w:val="false"/>
          <w:color w:val="000000"/>
          <w:sz w:val="20"/>
        </w:rPr>
        <w:t xml:space="preserve">increasing the size of the wastesheds which have access to our landfills or third-party disposal facilities; </w:t>
      </w: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20"/>
        </w:rPr>
        <w:t xml:space="preserve">reducing costs by improving utilization of collection personnel and equipment; and </w:t>
      </w:r>
      <w:r>
        <w:rPr>
          <w:rFonts w:ascii="Times New Roman;sans-serif" w:hAnsi="Times New Roman;sans-serif"/>
          <w:b w:val="false"/>
          <w:color w:val="000000"/>
          <w:sz w:val="18"/>
        </w:rPr>
        <w:t>(3)</w:t>
      </w:r>
      <w:r>
        <w:rPr>
          <w:color w:val="000000"/>
        </w:rPr>
        <w:t> </w:t>
      </w:r>
      <w:r>
        <w:rPr>
          <w:rFonts w:ascii="Times New Roman;sans-serif" w:hAnsi="Times New Roman;sans-serif"/>
          <w:b w:val="false"/>
          <w:color w:val="000000"/>
          <w:sz w:val="20"/>
        </w:rPr>
        <w:t>helping us build relationships with municipalities and other customers by providing a local physical presence and enhanced local service capabilities.</w:t>
      </w:r>
    </w:p>
    <w:p>
      <w:pPr>
        <w:pStyle w:val="TextBody"/>
        <w:bidi w:val="0"/>
        <w:spacing w:lineRule="auto" w:line="288" w:before="120" w:after="283"/>
        <w:jc w:val="left"/>
        <w:rPr/>
      </w:pPr>
      <w:r>
        <w:rPr>
          <w:rFonts w:ascii="Times New Roman;sans-serif" w:hAnsi="Times New Roman;sans-serif"/>
          <w:b w:val="false"/>
          <w:i/>
          <w:color w:val="000000"/>
          <w:sz w:val="20"/>
        </w:rPr>
        <w:t>Landfills.</w:t>
      </w:r>
      <w:r>
        <w:rPr>
          <w:color w:val="000000"/>
        </w:rPr>
        <w:t xml:space="preserve"> </w:t>
      </w:r>
      <w:r>
        <w:rPr>
          <w:rFonts w:ascii="Times New Roman;sans-serif" w:hAnsi="Times New Roman;sans-serif"/>
          <w:b w:val="false"/>
          <w:color w:val="000000"/>
          <w:sz w:val="20"/>
        </w:rPr>
        <w:t xml:space="preserve">We operate eight solid waste Subtitle D landfills and one landfill permitted to accept C&amp;D materials. Revenues are received from municipalities 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 thousands) reflects the aggregate landfill capacity and airspace changes, in tons, for landfills we operated during fiscal year 2024, fiscal year 2023 and the fiscal year ended December 31, 2022, (“fiscal year 2022”):</w:t>
      </w:r>
    </w:p>
    <w:tbl>
      <w:tblPr>
        <w:tblW w:w="12850" w:type="dxa"/>
        <w:jc w:val="left"/>
        <w:tblInd w:w="0" w:type="dxa"/>
        <w:tblLayout w:type="fixed"/>
        <w:tblCellMar>
          <w:top w:w="28" w:type="dxa"/>
          <w:left w:w="28" w:type="dxa"/>
          <w:bottom w:w="28" w:type="dxa"/>
          <w:right w:w="28" w:type="dxa"/>
        </w:tblCellMar>
      </w:tblPr>
      <w:tblGrid>
        <w:gridCol w:w="569"/>
        <w:gridCol w:w="263"/>
        <w:gridCol w:w="264"/>
        <w:gridCol w:w="360"/>
        <w:gridCol w:w="361"/>
        <w:gridCol w:w="251"/>
        <w:gridCol w:w="109"/>
        <w:gridCol w:w="109"/>
        <w:gridCol w:w="109"/>
        <w:gridCol w:w="360"/>
        <w:gridCol w:w="361"/>
        <w:gridCol w:w="266"/>
        <w:gridCol w:w="109"/>
        <w:gridCol w:w="109"/>
        <w:gridCol w:w="109"/>
        <w:gridCol w:w="413"/>
        <w:gridCol w:w="413"/>
        <w:gridCol w:w="236"/>
        <w:gridCol w:w="109"/>
        <w:gridCol w:w="109"/>
        <w:gridCol w:w="109"/>
        <w:gridCol w:w="360"/>
        <w:gridCol w:w="361"/>
        <w:gridCol w:w="251"/>
        <w:gridCol w:w="109"/>
        <w:gridCol w:w="109"/>
        <w:gridCol w:w="109"/>
        <w:gridCol w:w="360"/>
        <w:gridCol w:w="361"/>
        <w:gridCol w:w="266"/>
        <w:gridCol w:w="109"/>
        <w:gridCol w:w="109"/>
        <w:gridCol w:w="109"/>
        <w:gridCol w:w="413"/>
        <w:gridCol w:w="413"/>
        <w:gridCol w:w="236"/>
        <w:gridCol w:w="109"/>
        <w:gridCol w:w="109"/>
        <w:gridCol w:w="109"/>
        <w:gridCol w:w="360"/>
        <w:gridCol w:w="361"/>
        <w:gridCol w:w="251"/>
        <w:gridCol w:w="109"/>
        <w:gridCol w:w="109"/>
        <w:gridCol w:w="109"/>
        <w:gridCol w:w="360"/>
        <w:gridCol w:w="361"/>
        <w:gridCol w:w="266"/>
        <w:gridCol w:w="109"/>
        <w:gridCol w:w="109"/>
        <w:gridCol w:w="109"/>
        <w:gridCol w:w="413"/>
        <w:gridCol w:w="413"/>
        <w:gridCol w:w="311"/>
      </w:tblGrid>
      <w:tr>
        <w:trPr/>
        <w:tc>
          <w:tcPr>
            <w:tcW w:w="5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2022</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Remaining</w:t>
              <w:br/>
              <w:t>Permitted</w:t>
              <w:br/>
              <w:t>Capacity</w:t>
              <w:b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Additional</w:t>
              <w:br/>
              <w:t>Permittable</w:t>
              <w:br/>
              <w:t>Capacity</w:t>
              <w:b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Total</w:t>
              <w:b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Remaining</w:t>
              <w:br/>
              <w:t>Permitted</w:t>
              <w:br/>
              <w:t>Capacity</w:t>
              <w:b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Additional</w:t>
              <w:br/>
              <w:t>Permittable</w:t>
              <w:br/>
              <w:t>Capacity</w:t>
              <w:b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Total</w:t>
              <w:b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Remaining</w:t>
              <w:br/>
              <w:t>Permitted</w:t>
              <w:br/>
              <w:t>Capacity</w:t>
              <w:b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Additional</w:t>
              <w:br/>
              <w:t>Permittable</w:t>
              <w:br/>
              <w:t>Capacity</w:t>
              <w:b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Total</w:t>
              <w:br/>
              <w:t>Capacity</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New expansions pursued </w:t>
            </w:r>
            <w:r>
              <w:rPr>
                <w:rFonts w:ascii="Times New Roman;sans-serif" w:hAnsi="Times New Roman;sans-serif"/>
                <w:b w:val="false"/>
                <w:color w:val="000000"/>
                <w:sz w:val="16"/>
              </w:rPr>
              <w:t>(3)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Airspace consumed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Changes in engineering estimates </w:t>
            </w:r>
            <w:r>
              <w:rPr>
                <w:rFonts w:ascii="Times New Roman;sans-serif" w:hAnsi="Times New Roman;sans-serif"/>
                <w:b w:val="false"/>
                <w:color w:val="000000"/>
                <w:sz w:val="16"/>
              </w:rPr>
              <w:t>(4)</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102,145 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50,415 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105,050 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49,632 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We convert estimated remaining permitted capacity and estimated additional permittable capacity from cubic yards to tons by assuming a compaction factor derived from historical average compaction factors, with modification for future anticipated changes. In addition to a total capacity limit, certain permits place a daily and/or annual limit on capacity.</w:t>
      </w:r>
    </w:p>
    <w:p>
      <w:pPr>
        <w:pStyle w:val="TextBody"/>
        <w:bidi w:val="0"/>
        <w:spacing w:lineRule="auto" w:line="288" w:before="60" w:after="283"/>
        <w:ind w:left="0" w:right="0" w:hanging="360"/>
        <w:jc w:val="left"/>
        <w:rPr/>
      </w:pPr>
      <w:r>
        <w:rPr>
          <w:rFonts w:ascii="Times New Roman;sans-serif" w:hAnsi="Times New Roman;sans-serif"/>
          <w:b w:val="false"/>
          <w:color w:val="000000"/>
          <w:sz w:val="16"/>
        </w:rPr>
        <w:t>(2)</w:t>
      </w:r>
      <w:r>
        <w:rPr>
          <w:rFonts w:ascii="Times New Roman;sans-serif" w:hAnsi="Times New Roman;sans-serif"/>
          <w:b w:val="false"/>
          <w:color w:val="000000"/>
          <w:sz w:val="20"/>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 based on a review of the engineering design and determination that the financial return profile meets our investment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360"/>
        <w:jc w:val="left"/>
        <w:rPr/>
      </w:pPr>
      <w:r>
        <w:rPr>
          <w:rFonts w:ascii="Times New Roman;sans-serif" w:hAnsi="Times New Roman;sans-serif"/>
          <w:b w:val="false"/>
          <w:color w:val="000000"/>
          <w:sz w:val="16"/>
        </w:rPr>
        <w:t>(3)</w:t>
      </w:r>
      <w:r>
        <w:rPr>
          <w:rFonts w:ascii="Times New Roman;sans-serif" w:hAnsi="Times New Roman;sans-serif"/>
          <w:b w:val="false"/>
          <w:color w:val="000000"/>
          <w:sz w:val="20"/>
        </w:rPr>
        <w:t>The increase in capacity associated with new expansion pursued at our Hakes Landfill (defined below) in our Western region in fiscal year 2022.</w:t>
      </w:r>
    </w:p>
    <w:p>
      <w:pPr>
        <w:pStyle w:val="TextBody"/>
        <w:bidi w:val="0"/>
        <w:spacing w:lineRule="auto" w:line="288" w:before="60" w:after="283"/>
        <w:ind w:left="0" w:right="0" w:hanging="360"/>
        <w:jc w:val="left"/>
        <w:rPr/>
      </w:pPr>
      <w:r>
        <w:rPr>
          <w:rFonts w:ascii="Times New Roman;sans-serif" w:hAnsi="Times New Roman;sans-serif"/>
          <w:b w:val="false"/>
          <w:color w:val="000000"/>
          <w:sz w:val="16"/>
        </w:rPr>
        <w:t>(4)</w:t>
      </w:r>
      <w:r>
        <w:rPr>
          <w:rFonts w:ascii="Times New Roman;sans-serif" w:hAnsi="Times New Roman;sans-serif"/>
          <w:b w:val="false"/>
          <w:color w:val="000000"/>
          <w:sz w:val="20"/>
        </w:rPr>
        <w:t>The variation in changes in airspace capacity associated with engineering estimates are primarily the result of changes in compaction at our landfills and estimated airspace changes associated with design changes at certain of our landfills.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Eastern region consists of the following Subtitle D landfills located in Bethlehem, New Hampshire (“NCES Landfill”) and West Old Town, Maine (“Juniper Ridge Landfill”):</w:t>
      </w:r>
    </w:p>
    <w:p>
      <w:pPr>
        <w:pStyle w:val="TextBody"/>
        <w:bidi w:val="0"/>
        <w:spacing w:lineRule="auto" w:line="288" w:before="120" w:after="283"/>
        <w:jc w:val="left"/>
        <w:rPr/>
      </w:pPr>
      <w:r>
        <w:rPr>
          <w:rFonts w:ascii="Times New Roman;sans-serif" w:hAnsi="Times New Roman;sans-serif"/>
          <w:b w:val="false"/>
          <w:i/>
          <w:color w:val="000000"/>
          <w:sz w:val="20"/>
        </w:rPr>
        <w:t>NCES Landfill.</w:t>
      </w:r>
      <w:r>
        <w:rPr>
          <w:color w:val="000000"/>
        </w:rPr>
        <w:t xml:space="preserve"> </w:t>
      </w:r>
      <w:r>
        <w:rPr>
          <w:rFonts w:ascii="Times New Roman;sans-serif" w:hAnsi="Times New Roman;sans-serif"/>
          <w:b w:val="false"/>
          <w:color w:val="000000"/>
          <w:sz w:val="20"/>
        </w:rPr>
        <w:t>The NCES Landfill is a Subtitle D landfill located in Bethlehem, New Hampshire that we purchased in 1994. The NCES Landfill currently consists of approximately 52 acres of permitted or permittable landfill area, and is permitted to accept 0.23 million cubic yards of municipal solid waste, C&amp;D material and certain pre-approved special wastes annually. Based on capacity remaining under its existing permit, we expect the NCES Landfill to stop accepting waste by the end of 2027. We are party to an agreement for the construction of a landfill renewable natural gas (“RNG”) facility, which will be constructed, owned and operated by a third party.</w:t>
      </w:r>
    </w:p>
    <w:p>
      <w:pPr>
        <w:pStyle w:val="TextBody"/>
        <w:bidi w:val="0"/>
        <w:spacing w:lineRule="auto" w:line="288" w:before="120" w:after="283"/>
        <w:jc w:val="left"/>
        <w:rPr/>
      </w:pPr>
      <w:r>
        <w:rPr>
          <w:rFonts w:ascii="Times New Roman;sans-serif" w:hAnsi="Times New Roman;sans-serif"/>
          <w:b w:val="false"/>
          <w:i/>
          <w:color w:val="000000"/>
          <w:sz w:val="20"/>
        </w:rPr>
        <w:t>Juniper Ridge Landfill.</w:t>
      </w:r>
      <w:r>
        <w:rPr>
          <w:color w:val="000000"/>
        </w:rPr>
        <w:t xml:space="preserve"> </w:t>
      </w:r>
      <w:r>
        <w:rPr>
          <w:rFonts w:ascii="Times New Roman;sans-serif" w:hAnsi="Times New Roman;sans-serif"/>
          <w:b w:val="false"/>
          <w:color w:val="000000"/>
          <w:sz w:val="20"/>
        </w:rPr>
        <w:t>The Juniper Ridge Landfill is a Subtitle D landfill located in West Old Town, Maine. In 2004, we completed transactions with the State of Maine and Georgia-Pacific Corporation (“Georgia Pacific”), pursuant to which the State of Maine took ownership of the Juniper Ridge Landfill, formerly owned by Georgia Pacific, and we became the operator under a 30-year operating and services agreement between us and the State of Maine. The Juniper Ridge Landfill currently consists of approximately 150 acres of permitted or permittable landfill area, which is sufficient to permit the additional airspace required for the term of the 30-year operating and services agreement, and is permitted to accept the following waste originating from the State of Maine: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the Juniper Ridge Landfill. We are party to an agreement for the construction of a landfill RNG facility plant at the Juniper Ridge Landfill, which was constructed, and now owned and operated by a third party.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Western region consists of the following Subtitle D landfills located in Coventry, Vermont (“Waste USA Landfill”), Morrisonville, New York (“Clinton County Landfill”), Angelica, New York (“Hyland Landfill”), Seneca, New York (“Ontario County Landfill”), Chemung, New York (“Chemung County Landfill”) and the McKean Landfill, and a C&amp;D landfill located in Campbell, New York (“Hakes Landfill”):</w:t>
      </w:r>
    </w:p>
    <w:p>
      <w:pPr>
        <w:pStyle w:val="TextBody"/>
        <w:bidi w:val="0"/>
        <w:spacing w:lineRule="auto" w:line="288" w:before="120" w:after="283"/>
        <w:jc w:val="left"/>
        <w:rPr/>
      </w:pPr>
      <w:r>
        <w:rPr>
          <w:rFonts w:ascii="Times New Roman;sans-serif" w:hAnsi="Times New Roman;sans-serif"/>
          <w:b w:val="false"/>
          <w:i/>
          <w:color w:val="000000"/>
          <w:sz w:val="20"/>
        </w:rPr>
        <w:t>Waste USA Landfill.</w:t>
      </w:r>
      <w:r>
        <w:rPr>
          <w:color w:val="000000"/>
        </w:rPr>
        <w:t xml:space="preserve"> </w:t>
      </w:r>
      <w:r>
        <w:rPr>
          <w:rFonts w:ascii="Times New Roman;sans-serif" w:hAnsi="Times New Roman;sans-serif"/>
          <w:b w:val="false"/>
          <w:color w:val="000000"/>
          <w:sz w:val="20"/>
        </w:rPr>
        <w:t>The Waste USA Landfill is a Subtitle D landfill located in Coventry, Vermont that we purchased in 1995, and is the only operating permitted Subtitle D landfill in the State of Vermont. The Waste USA Landfill consists of approximately 144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 party, that has the capacity to generate 8.0 MW of energy.</w:t>
      </w:r>
    </w:p>
    <w:p>
      <w:pPr>
        <w:pStyle w:val="TextBody"/>
        <w:bidi w:val="0"/>
        <w:spacing w:lineRule="auto" w:line="288" w:before="120" w:after="283"/>
        <w:jc w:val="left"/>
        <w:rPr/>
      </w:pPr>
      <w:r>
        <w:rPr>
          <w:rFonts w:ascii="Times New Roman;sans-serif" w:hAnsi="Times New Roman;sans-serif"/>
          <w:b w:val="false"/>
          <w:i/>
          <w:color w:val="000000"/>
          <w:sz w:val="20"/>
        </w:rPr>
        <w:t>Clinton County Landfill.</w:t>
      </w:r>
      <w:r>
        <w:rPr>
          <w:color w:val="000000"/>
        </w:rPr>
        <w:t xml:space="preserve"> </w:t>
      </w:r>
      <w:r>
        <w:rPr>
          <w:rFonts w:ascii="Times New Roman;sans-serif" w:hAnsi="Times New Roman;sans-serif"/>
          <w:b w:val="false"/>
          <w:color w:val="000000"/>
          <w:sz w:val="20"/>
        </w:rPr>
        <w:t xml:space="preserve">The Clinton County Landfill is a Subtitle D landfill located in Morrisonville, New York that we have operated under an operating, management and lease agreement since 1996. The Clinton County Landfill currently consists of approximately 197 acres of permitted or permittable landfill area, portions of which are leased from Clinton County, and other portions owned by us, is permitted to accept up to approximately 0.3 million tons of municipal solid waste, C&amp;D material and certain pre-approved special waste annually. The Clinton County Landfill site houses a landfill gas-to-energy facility, which we own, but is operated by a third party, that has the capacity to generate 6.4 MW of energy. </w:t>
      </w:r>
    </w:p>
    <w:p>
      <w:pPr>
        <w:pStyle w:val="TextBody"/>
        <w:bidi w:val="0"/>
        <w:spacing w:lineRule="auto" w:line="288" w:before="120" w:after="283"/>
        <w:jc w:val="left"/>
        <w:rPr/>
      </w:pPr>
      <w:r>
        <w:rPr>
          <w:rFonts w:ascii="Times New Roman;sans-serif" w:hAnsi="Times New Roman;sans-serif"/>
          <w:b w:val="false"/>
          <w:i/>
          <w:color w:val="000000"/>
          <w:sz w:val="20"/>
        </w:rPr>
        <w:t>Hyland Landfill.</w:t>
      </w:r>
      <w:r>
        <w:rPr>
          <w:color w:val="000000"/>
        </w:rPr>
        <w:t xml:space="preserve"> </w:t>
      </w:r>
      <w:r>
        <w:rPr>
          <w:rFonts w:ascii="Times New Roman;sans-serif" w:hAnsi="Times New Roman;sans-serif"/>
          <w:b w:val="false"/>
          <w:color w:val="000000"/>
          <w:sz w:val="20"/>
        </w:rPr>
        <w:t>The Hyland Landfill is a Subtitle D landfill located in Angelica, New York that we own, and that began accepting waste in 1998. The Hyland Landfill currently consists of approximately 178 acres of permitted or permittable landfill area and is permitted to accept up to 0.5 million tons of municipal solid waste, C&amp;D material and certain pre-approved special waste annually. The Hyland Landfill site houses a landfill gas-to-energy facility, which we own, but is operated by a third party, that has the capacity to generate 4.8 MW of energy. We are party to an agreement for the construction of a RNG facility at the Hyland Landfill, which will be constructed, owned and operated by a third party.</w:t>
      </w:r>
      <w:r>
        <w:rPr>
          <w:color w:val="000000"/>
        </w:rPr>
        <w:t xml:space="preserve"> </w:t>
      </w:r>
      <w:r>
        <w:rPr>
          <w:rFonts w:ascii="Times New Roman;sans-serif" w:hAnsi="Times New Roman;sans-serif"/>
          <w:b w:val="false"/>
          <w:color w:val="000000"/>
          <w:sz w:val="20"/>
        </w:rPr>
        <w:t>Once operational, the RNG facility will replace the operations of our landfill gas-to-energy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i/>
          <w:color w:val="000000"/>
          <w:sz w:val="20"/>
        </w:rPr>
        <w:t>Ontario County Landfill.</w:t>
      </w:r>
      <w:r>
        <w:rPr>
          <w:color w:val="000000"/>
        </w:rPr>
        <w:t xml:space="preserve"> </w:t>
      </w:r>
      <w:r>
        <w:rPr>
          <w:rFonts w:ascii="Times New Roman;sans-serif" w:hAnsi="Times New Roman;sans-serif"/>
          <w:b w:val="false"/>
          <w:color w:val="000000"/>
          <w:sz w:val="20"/>
        </w:rPr>
        <w:t>The Ontario County Landfill is a Subtitle D landfill located in Seneca, New York. In 2003, we entered into a 25-year operation, management and lease agreement for the Ontario County Landfill (“OMLA”) with the Ontario County Board of Supervisors. The Ontario County Landfill currently consists of approximately 171 acres of permitted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MRF, which is operated by us, and a landfill gas-to-energy facility, which is owned and operated by a third party, that has the capacity to generate 11.2 MW of energy. On December 5, 2024, the Board of Supervisors of Ontario County, New York approved a motion to close the Ontario County Landfill at the end of 2028 upon the expiration of the 25-year OMLA.</w:t>
      </w:r>
    </w:p>
    <w:p>
      <w:pPr>
        <w:pStyle w:val="TextBody"/>
        <w:bidi w:val="0"/>
        <w:spacing w:lineRule="auto" w:line="288" w:before="120" w:after="283"/>
        <w:jc w:val="left"/>
        <w:rPr/>
      </w:pPr>
      <w:r>
        <w:rPr>
          <w:rFonts w:ascii="Times New Roman;sans-serif" w:hAnsi="Times New Roman;sans-serif"/>
          <w:b w:val="false"/>
          <w:i/>
          <w:color w:val="000000"/>
          <w:sz w:val="20"/>
        </w:rPr>
        <w:t>Hakes Landfill.</w:t>
      </w:r>
      <w:r>
        <w:rPr>
          <w:color w:val="000000"/>
        </w:rPr>
        <w:t xml:space="preserve"> </w:t>
      </w:r>
      <w:r>
        <w:rPr>
          <w:rFonts w:ascii="Times New Roman;sans-serif" w:hAnsi="Times New Roman;sans-serif"/>
          <w:b w:val="false"/>
          <w:color w:val="000000"/>
          <w:sz w:val="20"/>
        </w:rPr>
        <w:t xml:space="preserve">The Hakes Landfill is a C&amp;D landfill located in Campbell, New York that we purchased in 1998. The Hakes Landfill currently consists of approximately 122 acres of permitted and permittable landfill area and is permitted to accept up to 0.5 million tons of C&amp;D material annually. </w:t>
      </w:r>
    </w:p>
    <w:p>
      <w:pPr>
        <w:pStyle w:val="TextBody"/>
        <w:bidi w:val="0"/>
        <w:spacing w:lineRule="auto" w:line="288" w:before="120" w:after="283"/>
        <w:jc w:val="left"/>
        <w:rPr/>
      </w:pPr>
      <w:r>
        <w:rPr>
          <w:rFonts w:ascii="Times New Roman;sans-serif" w:hAnsi="Times New Roman;sans-serif"/>
          <w:b w:val="false"/>
          <w:i/>
          <w:color w:val="000000"/>
          <w:sz w:val="20"/>
        </w:rPr>
        <w:t>Chemung County Landfill.</w:t>
      </w:r>
      <w:r>
        <w:rPr>
          <w:color w:val="000000"/>
        </w:rPr>
        <w:t xml:space="preserve"> </w:t>
      </w:r>
      <w:r>
        <w:rPr>
          <w:rFonts w:ascii="Times New Roman;sans-serif" w:hAnsi="Times New Roman;sans-serif"/>
          <w:b w:val="false"/>
          <w:color w:val="000000"/>
          <w:sz w:val="20"/>
        </w:rPr>
        <w:t>The Chemung County Landfill is a Subtitle D landfill located in Chemung, New York. In 2005, we entered into a 25-year operation, management and lease agreement for the Chemung County Landfill and certain other facilities with Chemung County. Chemung County Landfill currently consists of approximately 132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2016, we received an expansion permit at the Chemung County Landfill, which is sufficient to permit the additional airspace required for the remaining term of the 25-year operation, management and lease agreement. In 2019, we exercised an option to extend the remaining term of the operation, management and lease agreement for up to five years through 2035. We are party to an agreement for the construction of a landfill RNG facility plant at the Chemung County Landfill, which will be constructed, owned and operated by a third party.</w:t>
      </w:r>
    </w:p>
    <w:p>
      <w:pPr>
        <w:pStyle w:val="TextBody"/>
        <w:bidi w:val="0"/>
        <w:spacing w:lineRule="auto" w:line="288" w:before="120" w:after="283"/>
        <w:jc w:val="left"/>
        <w:rPr/>
      </w:pPr>
      <w:r>
        <w:rPr>
          <w:rFonts w:ascii="Times New Roman;sans-serif" w:hAnsi="Times New Roman;sans-serif"/>
          <w:b w:val="false"/>
          <w:i/>
          <w:color w:val="000000"/>
          <w:sz w:val="20"/>
        </w:rPr>
        <w:t>McKean Landfill.</w:t>
      </w:r>
      <w:r>
        <w:rPr>
          <w:color w:val="000000"/>
        </w:rPr>
        <w:t xml:space="preserve"> </w:t>
      </w:r>
      <w:r>
        <w:rPr>
          <w:rFonts w:ascii="Times New Roman;sans-serif" w:hAnsi="Times New Roman;sans-serif"/>
          <w:b w:val="false"/>
          <w:color w:val="000000"/>
          <w:sz w:val="20"/>
        </w:rPr>
        <w:t>The McKean Landfill is a Subtitle D landfill located in Mount Jewett, Pennsylvania that we purchased in 2011. The McKean Landfill currently consists of approximately 256 acres of permitted or permittable landfill area and is permitted to accept up to approximately 1.6 million tons of municipal solid waste, C&amp;D material and certain pre-approved special waste annually. We have invested capital in the development of rail infrastructure to expand the market reach for the landfill to rail capable transfer facilities, and began accepting waste deliveries by rail in fiscal year 2024. We are party to an agreement for the construction of a landfill RNG facility plant at the McKean Landfill, which will be constructed, owned and operated by a third party.</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closed landfills consist of the following landfills: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2017, we initiated a plan to cease operations of the Town of Southbridge, Massachusetts landfill (“Southbridge Landfill”) and decided to not proceed with expansion efforts and to close the Southbridge Landfill once the remaining capacity had been exhausted, which occurred in 2018. As of August 2024, the landfill is fully closed and has entered into its post-closure period. The site houses a landfill gas-to-energy facility, which we own, but is operated by a third party, that has the capacity to generate 1.6 MW of energy.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Southbridge Landfill, we own and/or manage five unlined landfills and three lined landfills that are not currently in operation. We have closed and capped all of these landfills according to applicable environmental regulatory standards.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Resource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Resource Solutions operating segment was formed to leverage our core competencies in materials processing, industrial recycling, organics and resource management service offerings in order to generate additional value from the waste stream for larger commercial, municipal, institutional and industrial customers with more diverse needs. Resource Solutions services are comprised of processing services and our National Accounts business. We also work to develop and/or partner with firms that have developed innovative approaches to deriving incremental value from the organic portion of the waste stream.</w:t>
      </w:r>
    </w:p>
    <w:p>
      <w:pPr>
        <w:pStyle w:val="TextBody"/>
        <w:bidi w:val="0"/>
        <w:spacing w:lineRule="auto" w:line="288" w:before="120" w:after="283"/>
        <w:jc w:val="left"/>
        <w:rPr/>
      </w:pPr>
      <w:r>
        <w:rPr>
          <w:rFonts w:ascii="Times New Roman;sans-serif" w:hAnsi="Times New Roman;sans-serif"/>
          <w:b w:val="false"/>
          <w:i/>
          <w:color w:val="000000"/>
          <w:sz w:val="20"/>
        </w:rPr>
        <w:t>Processing.</w:t>
      </w:r>
      <w:r>
        <w:rPr>
          <w:color w:val="000000"/>
        </w:rPr>
        <w:t xml:space="preserve"> </w:t>
      </w:r>
      <w:r>
        <w:rPr>
          <w:rFonts w:ascii="Times New Roman;sans-serif" w:hAnsi="Times New Roman;sans-serif"/>
          <w:b w:val="false"/>
          <w:color w:val="000000"/>
          <w:sz w:val="20"/>
        </w:rPr>
        <w:t>Processing services consist of the receipt of recycled, sludge or other organic materials at one of our materials recovery, processing or disposal facilities, where it is then sorted, mixed and/or processed, and then repurposed, disposed of or sold. Revenues from processing services are derived from municipalities and customers in the form of processing fees, tipping fees, and commodity sales, primarily comprised of newspaper, corrugated containers, plastics, ferrous and aluminum, and organic materials such as our earthlife</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20"/>
        </w:rPr>
        <w:t xml:space="preserve">soils products including fertilizers, composts and mulches.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one of the largest processors and marketers of recycled materials in the northeastern United States with facilities located in Vermont, New York, Maine, Connecticut, Massachusetts, and Pennsylvania, including our eight large-scale, high volume MRFs, which utilize sophisticated processing operations, two of which are located in New York, two of which are located in Vermont, two of which are located in Massachusetts, one of which is located in Connecticut and one of which is located in Maine. Three of the eight MRFs are leased, four are owned, and one is operated by us under a contract with a municipal third party. Our MRFs receive, sort, bale and sell recyclable materials originating from the municipal solid waste stream, including newsprint, cardboard, office paper, glass, plastic, steel or aluminum containers and bottles. We also operate smaller MRFs, which generally process recyclables collected from our various residential and commercial collection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the recyclable materials provided is delivered pursuant to multiple long-term anchor contracts. The terms of the recycling contracts vary, but all of the contracts provide that the municipality or a third party delivers the recycled materials to our facility. These contracts may include a minimum volume guarantee by the municipality. We also have service agreements with individual towns and cities and commercial customers, including small solid waste companies and major competitors, which do not have processing capacity within a specific geographic region. Under the recycling contracts, we charge the municipality a fee for each ton of material delivered to us. Some contracts contain revenue sharing arrangements under which the municipality receives a specified percentage of our revenues from the sale of the recovered materials if certain economic thresholds are met. In fiscal year 2024, we processed and/or marketed over 1.1 million tons of recyclable materials, including tons marketed through our National Accounts business commodity brokerage division and our baling facilities located throughout our footprint.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pricing for recyclable materials can fluctuate based upon market conditions. We have actively worked to reduce our risk exposure to commodity pricing volatility through our efforts to shift customers to a processing fee model and other risk management programs. We effectively manage commodity pricing volatility through our long-term revenue sharing (or processing fee) contracts with customers. Under such contracts, we obtain a guaranteed minimum price for recyclable materials through the receipt of a tipping or processing fee when commodity prices fall below agreed upon thresholds. Conversely, when prices for recyclable materials rise above agreed upon thresholds, we provide the counterparty with a portion of the related revenues above such threshold. Also, we mitigate the impact from commodity price fluctuations through the use of a floating SRA Fee charged to collection customers to reduce recycling commodity risk. Further, we work to manage commodity pricing risk through commodity sales contracts with large domestic companies that use the recyclable materials in their manufacturing process, such as paper, packaging and consumer goods companies. </w:t>
      </w:r>
    </w:p>
    <w:p>
      <w:pPr>
        <w:pStyle w:val="TextBody"/>
        <w:bidi w:val="0"/>
        <w:spacing w:lineRule="auto" w:line="288" w:before="120" w:after="283"/>
        <w:jc w:val="left"/>
        <w:rPr/>
      </w:pPr>
      <w:r>
        <w:rPr>
          <w:rFonts w:ascii="Times New Roman;sans-serif" w:hAnsi="Times New Roman;sans-serif"/>
          <w:b w:val="false"/>
          <w:color w:val="000000"/>
          <w:sz w:val="20"/>
        </w:rPr>
        <w:t>The global recycling market experiences volatility due to changes in economic conditions and numerous other factors beyond our control. Recycling commodity price volatility resulted in near record highs in the second quarter of fiscal year 2022 followed by near record lows in the fourth quarter of fiscal year 2022. See Item 7A. “</w:t>
      </w:r>
      <w:r>
        <w:rPr>
          <w:rFonts w:ascii="Times New Roman;sans-serif" w:hAnsi="Times New Roman;sans-serif"/>
          <w:b w:val="false"/>
          <w:i/>
          <w:color w:val="000000"/>
          <w:sz w:val="20"/>
        </w:rPr>
        <w:t>Quantitative and Qualitative Disclosure About Market Risk</w:t>
      </w:r>
      <w:r>
        <w:rPr>
          <w:color w:val="000000"/>
        </w:rPr>
        <w:t xml:space="preserve">” </w:t>
      </w:r>
      <w:r>
        <w:rPr>
          <w:rFonts w:ascii="Times New Roman;sans-serif" w:hAnsi="Times New Roman;sans-serif"/>
          <w:b w:val="false"/>
          <w:color w:val="000000"/>
          <w:sz w:val="20"/>
        </w:rPr>
        <w:t>of this Annual Report on Form 10-K for further discussion over commodity price volatility.</w:t>
      </w:r>
    </w:p>
    <w:p>
      <w:pPr>
        <w:pStyle w:val="TextBody"/>
        <w:bidi w:val="0"/>
        <w:spacing w:lineRule="auto" w:line="288" w:before="120" w:after="283"/>
        <w:jc w:val="left"/>
        <w:rPr/>
      </w:pPr>
      <w:r>
        <w:rPr>
          <w:rFonts w:ascii="Times New Roman;sans-serif" w:hAnsi="Times New Roman;sans-serif"/>
          <w:b w:val="false"/>
          <w:i/>
          <w:color w:val="000000"/>
          <w:sz w:val="20"/>
        </w:rPr>
        <w:t>National Accounts.</w:t>
      </w:r>
      <w:r>
        <w:rPr>
          <w:color w:val="000000"/>
        </w:rPr>
        <w:t xml:space="preserve"> </w:t>
      </w:r>
      <w:r>
        <w:rPr>
          <w:rFonts w:ascii="Times New Roman;sans-serif" w:hAnsi="Times New Roman;sans-serif"/>
          <w:b w:val="false"/>
          <w:color w:val="000000"/>
          <w:sz w:val="20"/>
        </w:rPr>
        <w:t xml:space="preserve">Our National Accounts business consists of brokerage services and overall resource management services, which provide a wide range of 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and organic materials between an inbound customer and an outbound customer. Revenues from the brokerage of recycled materials are recognized on a net basis at the time of shipment. In general, these fees are variable in nature. In overall resource management services, we work with larger scale commercial or industrial organizations (including multi-location customers, colleges and universities, municipalities, and industrial customers) to develop customized solid waste and recycling solutions. The focus of this business is to help these large-scale organizations achieve their economic and environmental objectives related to waste and residual management. We strive to differentiate our services from our competitors by providing customized and comprehensive resource solutions, which enables us to win new business, including traditional solid waste collection and disposal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solid waste services industry is competitive and requires substantial labor and capital resources. Our business strategy generally focuses on operating in secondary or tertiary markets where we often have a strong market presence. However, in the larger, more densely populated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We compete primarily on the basis of the quality, breadth and price of our services. This includes our Resource Solutions operating segment, from which we strive to leverage our core competencies in materials processing, industrial recycling, organics, and resource management service offerings to deliver a comprehensive solution for our larger commercial, municipal, institutional and industrial customers that have more diverse solid waste and recycling needs. In addition, we compete with operators of alternative disposal facilities, including incinerators; with certain municipalities, counties and districts that operate their own solid waste collection and disposal facilities; and with rail-serviced transfer stations that use rail to transport waste to disposal sites primarily located outside of our operational footprint. Public sector facilities may have certain advantages over us due to the availability of user fees, charges or tax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competitors may reduce the price of their services to attract additional customers or to win a competitively bid solid waste or recycling contract. These practices may also lead to reduced pricing for our services or the loss of business. In addition, competition exists within the industry for potential acquisition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aligned our sales and marketing strategies with our customer-facing teams - Customer Care, Business Development, Sales Operations, Marketing, Community Engagement, and Sustainability - to better serve our customers while delivering on several key strategic initiatives for sustainable growth.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part of our resource management offering, we serve customers with multiple locations and are focused on growing our number of municipal, institutional, commercial and industrial customers. We leverage broader service offerings of the Resource Solutions operating segment to provide customers with a full set of solutions to augment our regional and divisional service capabilities.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provide traditional waste and recycling services locally, our differentiated sustainable resource management approach aims to meet our customers’ unique needs and strives to deliver value beyond competitors in local markets. We value and embrace the uniqueness of our local communities above the homogeneity of corporate process, while encouraging and supporting our local managers to engage with local government, non-profits, and business organizations.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Deep community engagement, supported by modern corporate brand governance and strategy gives us the flexibility needed to serve today’s customers and support communities. A combination of enterprise sustainability goals and efforts, strong brand placements, and marketing tactics are designed to unify and humanize our company while retaining existing customers and attracting new 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Management, Insurance and Performance or Surety Bonds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across all of our operations are intended to reduce the possibility of environmental contamination, enforcement actions and litigation. We also maintain a worker safety program, which focuses on safe practices in the workplace.</w:t>
      </w:r>
    </w:p>
    <w:p>
      <w:pPr>
        <w:pStyle w:val="TextBody"/>
        <w:bidi w:val="0"/>
        <w:spacing w:lineRule="auto" w:line="288" w:before="120" w:after="283"/>
        <w:jc w:val="left"/>
        <w:rPr/>
      </w:pPr>
      <w:r>
        <w:rPr>
          <w:rFonts w:ascii="Times New Roman;sans-serif" w:hAnsi="Times New Roman;sans-serif"/>
          <w:b w:val="false"/>
          <w:color w:val="000000"/>
          <w:sz w:val="20"/>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Due primarily to market factors beyond our control, the insurance market is increasingly restrictive, potentially limiting our ability to obtain adequate coverage at reasonable prices, if at all. Any future difficulty in obtaining insurance could also impair our ability to secure future contracts, which may be conditioned upon the availability of adequate insurance coverage. See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of this Annual Report on Form 10-K for further disclosure.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self-insure for automobile and workers’ compensation coverage with reinsurance coverage limiting our maximum exposure. In fiscal year 2024, our maximum exposure per individual event under the workers’ compensation plan was $1.50 million. In fiscal year 2024, our minimum and maximum exposure per individual event under the automobile plan were up to $2.00 million and $4.20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solid waste and recycling services to commercial, municipal, institutional, industrial and residential customers. A majority of our commercial and industrial collection and disposal services are performed under one-to-five year service agreements. Our residential collection and disposal services are performed either on a subscription basis (with no underlying contract) with individuals, or through contracts with municipalities, homeowners' associations, apartment owners or mobile home park operators. Our price for the services performed is determined by such factors as: professional or management services required; collection frequency and the related operational costs; type of equipment and containers furnished; the type, volume and weight of the solid waste, recyclables or organics collected; the distance to the disposal or processing facility; and the cost of disposal or processing.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collection and disposal services, through our Resource Solution segment we provide recycling processing services to municipalities, commercial haulers and commercial waste generators within the geographic proximity of the processing facilities. We also provide brokerage services and overall resource management services, through a wide range of environmental service offerings, to large and complex organizations, as well as traditional collection, disposal and recycling services to large account multi-site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Seasonality and Severe Weather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eastern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Introduction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and operations are subject to a variety of federal, state and local requirements that regulate, among other things, the environment, public health, safety, zoning and land use. 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 We are subject to extensive federal, state and local laws and regulations. The laws and regulations affecting us are administered by the United States Environmental Protection Agency (“EPA”) and other federal, state and local environmental, zoning, financial, health and safety agencies.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comply with these regulations, we must incur substantial capital expenditures relating to our vehicles, landfills, transfer stations, and recycling processing centers, and in connection with our final capping, closure, post-closure and environmental remediation activities. 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could increase our costs to operate or require additional capital expenditures. Failure to comply with such requirements could result in substantial costs or penalties, including civil and criminal fines and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Citations and notices may be issued in the future, notwithstanding our strong regulatory compliance efforts.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federal statutes and regulations applicable to our operations are as follows: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Resource Conservation and Recovery Act of 1976, as amended (“RCRA”)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Among the wastes that are specifically designated as non-hazardous are household waste and “special” waste, including items such as petroleum contaminated soils, asbestos, foundry sand, shredder fluff and most non-hazardous industrial waste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Leachate generated at our landfills and transfer stations is tested on a regular basis, and generally is not regulated as a hazardous waste under federal law. However, there is no guarantee that leachate generated from our facilities in the future will not be classified as hazardous waste.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Federal Water Pollution Control Act of 1972, as amended (“Clean Water 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Clean Water Act regulates the discharge of pollutants into “navigable waters” or “waters of the United States” from a variety of sources, including solid waste disposal sites and transfer stations, processing facilities and waste-to-energy facilities (collectively, “solid waste management facilities”). If pollutants from our solid waste management facilities are discharged into streams, rivers or other surface waters, or if there is a functional equivalent of a direct discharge into navigable waters, the Clean Water Act would require us to apply for and obtain a discharge permit, conduct sampling and monitoring and, under certain circumstances, reduce the quantity of pollutants in such discharge. A permit also may be required if run-off or leachate from our solid waste management facilities is discharged to an offsite treatment facility. Almost all solid waste management facilities must comply with the EPA’s storm water regulations, which govern the discharge of regulated storm water to surface waters.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plan to prevent petroleum release to waters of the United States due to a spill, rupture or leak.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Comprehensive Environmental Response, Compensation, and Liability Act of 1980, as amended (“CERCLA”)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approximately 800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In April 2024, the EPA designated two PFAS -- perfluorooctanoic acid (“PFOA”) and perfluorooctanesulfonic acid (“PFOS”), and their salts and structural isomers -- as hazardous substances under CERCLA.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Clean Air Act of 1970, as amended (“Clean Air 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is also focusing on the emissions of greenhouse gases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2010, the EPA issued the so-called “GHG Tailoring Rule”, which described how certain sources that emit GHG would be subject to heightened Clean Air Act Prevention of Significant Deterioration (“PSD”) / Title V regulation. In June 2014, the U.S. Supreme Court issued a decision partially invalidating the GHG Tailoring Rule and in 2015, the D.C. Circuit directed the EPA to consider further revisions to its regulations. In August 2016, the EPA proposed revisions to PSD and Title V regulations to clarify when sources would require permits based on GHG thresholds. We do not know whether or when the EPA will finalize regulations, or what obligations such regulations will impose on our operations.</w:t>
      </w:r>
    </w:p>
    <w:p>
      <w:pPr>
        <w:pStyle w:val="TextBody"/>
        <w:bidi w:val="0"/>
        <w:spacing w:lineRule="auto" w:line="288" w:before="120" w:after="283"/>
        <w:jc w:val="left"/>
        <w:rPr/>
      </w:pPr>
      <w:r>
        <w:rPr>
          <w:rFonts w:ascii="Times New Roman;sans-serif" w:hAnsi="Times New Roman;sans-serif"/>
          <w:b w:val="false"/>
          <w:color w:val="000000"/>
          <w:sz w:val="20"/>
        </w:rPr>
        <w:t>In July 2024, the EPA announced that it will issue a proposed rule in 2025 to update its Clean Air Act emission standards for new and existing municipal solid waste landfills in order to cut methane and certain other landfill gas emissions.</w:t>
      </w:r>
      <w:r>
        <w:rPr>
          <w:color w:val="000000"/>
        </w:rPr>
        <w:t xml:space="preserve"> </w:t>
      </w:r>
      <w:r>
        <w:rPr>
          <w:rFonts w:ascii="Times New Roman;sans-serif" w:hAnsi="Times New Roman;sans-serif"/>
          <w:b w:val="false"/>
          <w:color w:val="000000"/>
          <w:sz w:val="20"/>
        </w:rPr>
        <w:t>We do not know whether or when the EPA will propose this rule, or what obligations such a rule will impose on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of other laws and regulations, which may include the imposition of fees or taxes, could adversely affect our collection and disposal operations. Additionally, certain of the states in which we operate are implementing air pollution control regulations, including regional cap and trade systems, relating to GHG that may be more stringent than regulations the EPA may promulgate. Several states have passed Climate Protection or Global Warming Acts intended to achieve statewide goals in reduction of GHG emissions. Changing environmental regulations could require us to take any number of actions, including purchasing emission allowances, developing mitigation strategies, or installing additional pollution control technology, and could make some operations less profitable, which could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Occupational Safety and Health Act of 1970, as amended (“OSHA”)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Public Utility Regulatory Policies Act of 1978, As Amended (“PURPA”)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landfill gas-to-energy facilities are self-certified as “qualifying facilities”.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State and Local Regulations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the EPA under CERCLA.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occasionally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solid waste management facilities within those states that receive a significant portion of waste originating from out-of-state.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2022, new waste ban regulations took effect in Massachusetts, adding mattresses and textiles as materials banned from disposal or transport for disposal in Massachusetts, and lowering the threshold on commercial organic/food waste to facilities generating more than one-half ton of these materials per week.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 New York has also enacted the Food Donation and Food Scraps Recycling Law, requiring certain generators to separate and donate or recycle food scraps as of January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there is no federal law governing extended producer responsibility (“EPR”) regulations, many states have implemented or are contemplating EPR regulations for certain products. EPR regulations are intended to place responsibility on manufacturers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In 2021, the Maine Legislature passed EPR legislation for packaging, and rulemaking commenced in 2022. If broad EPR laws or regulations continue to be adopted, and are managed under a manufacturer implemented program, it could have an impact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EPA and environmental agencies within individual states in which we operate continue to consider and promulgate changes to water quality standards, action levels, remediation goals, and other federal or state regulatory standards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compounds or classes of compounds. These changes include the development of new or more stringent standards for “Emerging Contaminants”, including PFAS, pharmaceutical compounds, and a variety of synthetic chemical compounds used in manufacturing and industrial processes. In December 2016, the EPA designated ten chemical substances for risk evaluations under TSCA, and in December 2019, the EPA designated an additional 20 chemical substances for risk evaluation, based on the requirements of the June 2016 Frank R. Lautenberg Chemical Safety for the 21st Century Act. In April 2024, the EPA set legally enforceable levels, called Maximum Contaminant Levels (MCLs), for six PFAS in drinking water. Also in April 2024, the EPA designated two PFAS -- PFOA and PFOS, and their salts and structural isomers -- as hazardous substances under CERCLA. Changes in regulatory standards for existing or emerging contaminants can result in higher levels of cost and effort associated with the performance of environmental investigations and ongoing compliance at our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and their respective ages are as follows:</w:t>
      </w:r>
    </w:p>
    <w:tbl>
      <w:tblPr>
        <w:tblW w:w="9624" w:type="dxa"/>
        <w:jc w:val="left"/>
        <w:tblInd w:w="0" w:type="dxa"/>
        <w:tblLayout w:type="fixed"/>
        <w:tblCellMar>
          <w:top w:w="28" w:type="dxa"/>
          <w:left w:w="28" w:type="dxa"/>
          <w:bottom w:w="28" w:type="dxa"/>
          <w:right w:w="28" w:type="dxa"/>
        </w:tblCellMar>
      </w:tblPr>
      <w:tblGrid>
        <w:gridCol w:w="810"/>
        <w:gridCol w:w="709"/>
        <w:gridCol w:w="716"/>
        <w:gridCol w:w="109"/>
        <w:gridCol w:w="109"/>
        <w:gridCol w:w="109"/>
        <w:gridCol w:w="130"/>
        <w:gridCol w:w="130"/>
        <w:gridCol w:w="131"/>
        <w:gridCol w:w="109"/>
        <w:gridCol w:w="109"/>
        <w:gridCol w:w="109"/>
        <w:gridCol w:w="1852"/>
        <w:gridCol w:w="1852"/>
        <w:gridCol w:w="2640"/>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 Chief Executive Officer and Secretary</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Edmond “Ned” R. Coletta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Shelley E. Sayward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General Counsel</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 Steves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Operating Officer of Solid Waste Operations</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J. Drohan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Ligon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Sustainable Growth</w:t>
            </w:r>
          </w:p>
        </w:tc>
      </w:tr>
    </w:tbl>
    <w:p>
      <w:pPr>
        <w:pStyle w:val="TextBody"/>
        <w:bidi w:val="0"/>
        <w:spacing w:lineRule="auto" w:line="288" w:before="120" w:after="283"/>
        <w:jc w:val="left"/>
        <w:rPr/>
      </w:pPr>
      <w:r>
        <w:rPr>
          <w:rFonts w:ascii="Times New Roman;sans-serif" w:hAnsi="Times New Roman;sans-serif"/>
          <w:b w:val="false"/>
          <w:i/>
          <w:color w:val="000000"/>
          <w:sz w:val="20"/>
        </w:rPr>
        <w:t>John W. Casella</w:t>
      </w:r>
      <w:r>
        <w:rPr>
          <w:color w:val="000000"/>
        </w:rPr>
        <w:t xml:space="preserve"> </w:t>
      </w:r>
      <w:r>
        <w:rPr>
          <w:rFonts w:ascii="Times New Roman;sans-serif" w:hAnsi="Times New Roman;sans-serif"/>
          <w:b w:val="false"/>
          <w:color w:val="000000"/>
          <w:sz w:val="20"/>
        </w:rPr>
        <w:t>has served as Chairman of our Board of Directors since July 2001 and as our Chief Executive Officer since 1993. Mr. Casella also served as our President from 1993 to July 2001 and as Chairman of our Board of Directors from 1993 to December 1999. In addition, Mr. Casella has served as Chairman of the Board of Directors of Casella Waste Management, Inc., a wholly 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local, and national boards and commissions, including the Board of Directors of the Associated Industries of Vermont, the Association of Vermont Recyclers, the Vermont State Chamber of Commerce, the Rutland Industrial Development Corporation, the Rutland Regional Medical Center, the National Recycling Coalition, the Detachable Container Association and the Environmental Research &amp; Education Foundation. Mr. Casella has also served on various state task forces, serving in an advisory capacity to the Governors of Vermont, New York, and New Hampshire on solid waste issues. Mr. Casella holds an Associate of Science degree in Business Management from Bryant &amp; Stratton College and a Bachelor of Science degree in Business Education from Vermont State University.</w:t>
      </w:r>
    </w:p>
    <w:p>
      <w:pPr>
        <w:pStyle w:val="TextBody"/>
        <w:bidi w:val="0"/>
        <w:spacing w:lineRule="auto" w:line="288" w:before="120" w:after="283"/>
        <w:jc w:val="left"/>
        <w:rPr/>
      </w:pPr>
      <w:r>
        <w:rPr>
          <w:rFonts w:ascii="Times New Roman;sans-serif" w:hAnsi="Times New Roman;sans-serif"/>
          <w:b w:val="false"/>
          <w:i/>
          <w:color w:val="000000"/>
          <w:sz w:val="20"/>
        </w:rPr>
        <w:t xml:space="preserve">Edmond “Ned” R. Coletta </w:t>
      </w:r>
      <w:r>
        <w:rPr>
          <w:rFonts w:ascii="Times New Roman;sans-serif" w:hAnsi="Times New Roman;sans-serif"/>
          <w:b w:val="false"/>
          <w:color w:val="000000"/>
          <w:sz w:val="20"/>
        </w:rPr>
        <w:t>has served as our President since July 2022. Mr. Coletta joined us in December 2004, and has previously served as our President and Chief Financial Officer from July 2022 to November 2023, Senior Vice President, Chief Financial Officer and Treasurer from December 2012 to July 2022, Vice President of Finance and Investor Relations from January 2011 to December 2012 and Director of Finance and Investor Relations from August 2005 to January 2011. From 2002 until he joined us, Mr. Coletta served as the Chief Financial Officer and was a member of the Board of Directors of Avedro, Inc. (FKA ThermalVision, Inc.), an early-stage medical device company that he co-founded. From 1997 to 2001, he served as a research and development engineer for Lockheed Martin Michoud Space Systems. Mr. Coletta has served on the Board of Trustees for Killington Mountain School since May 2020. Mr. Coletta holds an MBA from the Tuck School of Business at Dartmouth College and a Bachelor of Science degree from Brown University in Materials Science Engineering.</w:t>
      </w:r>
    </w:p>
    <w:p>
      <w:pPr>
        <w:pStyle w:val="TextBody"/>
        <w:bidi w:val="0"/>
        <w:spacing w:lineRule="auto" w:line="288" w:before="120" w:after="283"/>
        <w:jc w:val="left"/>
        <w:rPr/>
      </w:pPr>
      <w:r>
        <w:rPr>
          <w:rFonts w:ascii="Times New Roman;sans-serif" w:hAnsi="Times New Roman;sans-serif"/>
          <w:b w:val="false"/>
          <w:i/>
          <w:color w:val="000000"/>
          <w:sz w:val="20"/>
        </w:rPr>
        <w:t>Bradford J. Helgeson</w:t>
      </w:r>
      <w:r>
        <w:rPr>
          <w:color w:val="000000"/>
        </w:rPr>
        <w:t xml:space="preserve"> </w:t>
      </w:r>
      <w:r>
        <w:rPr>
          <w:rFonts w:ascii="Times New Roman;sans-serif" w:hAnsi="Times New Roman;sans-serif"/>
          <w:b w:val="false"/>
          <w:color w:val="000000"/>
          <w:sz w:val="20"/>
        </w:rPr>
        <w:t>has served as our Executive Vice President and Chief Financial Officer since November 2023. From November 2013 to June 2022, Mr. Helgeson was the Executive Vice President and Chief Financial Officer of Covanta Holding Corporation (“Covanta”), a publicly-traded materials management and energy services company. Previously, he served as Vice President and Treasurer of Covanta from May 2007 to November 2013. Mr. Helgeson started in the environmental services industry as the Vice President of Finance and Treasurer at Waste Services, Inc. from 2004 to 2007 after an investment banking career at Lehman Brothers and Donaldson, Lufkin &amp; Jenrette from 1998 to 2004. Mr. Helgeson holds a Bachelor of Arts degree in Economics and History from Bowdoin College.</w:t>
      </w:r>
    </w:p>
    <w:p>
      <w:pPr>
        <w:pStyle w:val="TextBody"/>
        <w:bidi w:val="0"/>
        <w:spacing w:lineRule="auto" w:line="288" w:before="120" w:after="283"/>
        <w:jc w:val="left"/>
        <w:rPr/>
      </w:pPr>
      <w:r>
        <w:rPr>
          <w:rFonts w:ascii="Times New Roman;sans-serif" w:hAnsi="Times New Roman;sans-serif"/>
          <w:b w:val="false"/>
          <w:i/>
          <w:color w:val="000000"/>
          <w:sz w:val="20"/>
        </w:rPr>
        <w:t>Shelley E. Sayward</w:t>
      </w:r>
      <w:r>
        <w:rPr>
          <w:color w:val="000000"/>
        </w:rPr>
        <w:t xml:space="preserve"> </w:t>
      </w:r>
      <w:r>
        <w:rPr>
          <w:rFonts w:ascii="Times New Roman;sans-serif" w:hAnsi="Times New Roman;sans-serif"/>
          <w:b w:val="false"/>
          <w:color w:val="000000"/>
          <w:sz w:val="20"/>
        </w:rPr>
        <w:t xml:space="preserve">has served as our Senior Vice President and General Counsel since January 2021, and prior to that in various roles in our legal department since November 2006. She was previously our Vice President and Assistant General Counsel from September 2014 until January 2021 and Associate General Counsel from September 2008 to September 2014. Prior to joining us, Ms. Sayward held sales and marketing roles with GlaxoSmithKline and Abbott Laboratories, as well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managerial position with First American Financial Corporation. Ms. Sayward holds a Bachelor of Arts degree from Middlebury College, completed a four-year law clerkship program, and is licensed to practice law in the State of Vermont.</w:t>
      </w:r>
    </w:p>
    <w:p>
      <w:pPr>
        <w:pStyle w:val="TextBody"/>
        <w:bidi w:val="0"/>
        <w:spacing w:lineRule="auto" w:line="288" w:before="120" w:after="283"/>
        <w:jc w:val="left"/>
        <w:rPr/>
      </w:pPr>
      <w:r>
        <w:rPr>
          <w:rFonts w:ascii="Times New Roman;sans-serif" w:hAnsi="Times New Roman;sans-serif"/>
          <w:b w:val="false"/>
          <w:i/>
          <w:color w:val="000000"/>
          <w:sz w:val="20"/>
        </w:rPr>
        <w:t>Sean M. Steves</w:t>
      </w:r>
      <w:r>
        <w:rPr>
          <w:color w:val="000000"/>
        </w:rPr>
        <w:t xml:space="preserve"> </w:t>
      </w:r>
      <w:r>
        <w:rPr>
          <w:rFonts w:ascii="Times New Roman;sans-serif" w:hAnsi="Times New Roman;sans-serif"/>
          <w:b w:val="false"/>
          <w:color w:val="000000"/>
          <w:sz w:val="20"/>
        </w:rPr>
        <w:t>has served as our Senior Vice President and Chief Operating Officer of Solid Waste Operations since July 2022. He is responsible for our Operations Support, Fleet Management, Landfill Operations and Service Excellence functions. Mr. Steves most recently served as our Senior Vice President of Operations from April 2019 to July 2022. Mr. Steves joined us in April 2018 as our Vice President of Operational Initiatives. From 2016 until he joined us in April 2018, he was the Director of Operations Support for Republic Services, Inc. a provider of U.S. environmental services. Mr. Steves has extensive operations experience in the waste industry starting as a transfer station scale operator and has held roles of increasing responsibility, including Operations Supervisor, Operations Manager, and General Manager. Mr. Steves holds a Bachelor of Arts degree from DePaul University with a concentration in Sustainable Management.</w:t>
      </w:r>
    </w:p>
    <w:p>
      <w:pPr>
        <w:pStyle w:val="TextBody"/>
        <w:bidi w:val="0"/>
        <w:spacing w:lineRule="auto" w:line="288" w:before="120" w:after="283"/>
        <w:jc w:val="left"/>
        <w:rPr/>
      </w:pPr>
      <w:r>
        <w:rPr>
          <w:rFonts w:ascii="Times New Roman;sans-serif" w:hAnsi="Times New Roman;sans-serif"/>
          <w:b w:val="false"/>
          <w:i/>
          <w:color w:val="000000"/>
          <w:sz w:val="20"/>
        </w:rPr>
        <w:t>Kevin J. Drohan</w:t>
      </w:r>
      <w:r>
        <w:rPr>
          <w:color w:val="000000"/>
        </w:rPr>
        <w:t xml:space="preserve"> </w:t>
      </w:r>
      <w:r>
        <w:rPr>
          <w:rFonts w:ascii="Times New Roman;sans-serif" w:hAnsi="Times New Roman;sans-serif"/>
          <w:b w:val="false"/>
          <w:color w:val="000000"/>
          <w:sz w:val="20"/>
        </w:rPr>
        <w:t>has served as our Vice President and Chief Accounting Officer since April 2022. Mr. Drohan joined us in August 2021 as our Corporate Controller. Prior to that, from 2015 until he joined Casella, Mr. Drohan served as the Corporate Controller for Sprague Resources, LP (“Sprague”), then a publicly-traded regional provider of industrial, commercial, and residual energy products. From 2007 through 2015, Mr. Drohan held various finance and accounting roles of increasing responsibility at Sprague. Prior to Sprague, Mr. Drohan held accounting and audit roles at Stanley Black &amp; Decker, EY, and BerryDunn. Mr. Drohan is a Certified Public Accountant and holds an MBA and a Bachelor of Science degree in Business Administration from the University of New Hampshire.</w:t>
      </w:r>
    </w:p>
    <w:p>
      <w:pPr>
        <w:pStyle w:val="TextBody"/>
        <w:bidi w:val="0"/>
        <w:spacing w:lineRule="auto" w:line="288" w:before="120" w:after="283"/>
        <w:jc w:val="left"/>
        <w:rPr/>
      </w:pPr>
      <w:r>
        <w:rPr>
          <w:rFonts w:ascii="Times New Roman;sans-serif" w:hAnsi="Times New Roman;sans-serif"/>
          <w:b w:val="false"/>
          <w:i/>
          <w:color w:val="000000"/>
          <w:sz w:val="20"/>
        </w:rPr>
        <w:t>Paul J. Ligon</w:t>
      </w:r>
      <w:r>
        <w:rPr>
          <w:color w:val="000000"/>
        </w:rPr>
        <w:t xml:space="preserve"> </w:t>
      </w:r>
      <w:r>
        <w:rPr>
          <w:rFonts w:ascii="Times New Roman;sans-serif" w:hAnsi="Times New Roman;sans-serif"/>
          <w:b w:val="false"/>
          <w:color w:val="000000"/>
          <w:sz w:val="20"/>
        </w:rPr>
        <w:t>has served as our Senior Vice President of Sustainable Growth since December 2019 and oversees our Sustainable Growth teams including sales, marketing, customer care, sustainability, and community engagement teams. From 2012 to December 2019, Mr. Ligon led the development of our Resource Solutions business focused on delivering sustainable services to commercial, industrial, and municipal customers. Prior to joining us, Mr. Ligon was a managing director for Waste Management’s Organic Growth Unit in Houston from 2003 through 2011 and a Senior Scientist with the Tellus Institute for Resource and Environmental Strategies from 1990 to 2001. Mr. Ligon holds an MBA from the Tuck School of Business at Dartmouth College and a Bachelor of Science degree in Environmental Science from the University of Vermont.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 on a quarterly and annual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general macroeconomic risks in the waste industry that are impacted by economic factors outside of our control, which, if realized, may adversely affect our business, operating results and financial performance.</w:t>
      </w:r>
    </w:p>
    <w:p>
      <w:pPr>
        <w:pStyle w:val="TextBody"/>
        <w:bidi w:val="0"/>
        <w:spacing w:lineRule="auto" w:line="288" w:before="120" w:after="283"/>
        <w:jc w:val="left"/>
        <w:rPr/>
      </w:pPr>
      <w:r>
        <w:rPr>
          <w:rFonts w:ascii="Times New Roman;sans-serif" w:hAnsi="Times New Roman;sans-serif"/>
          <w:b w:val="false"/>
          <w:color w:val="000000"/>
          <w:sz w:val="20"/>
        </w:rPr>
        <w:t>Our business is directly affected by general macroeconomic risks in the waste industry that are impacted by economic factors outside of our control, which if realized may negatively impact our business, results of operations, and financial performance. These risks include those with respect to consumer confidence, global supply chain disruptions, uncertainty associated with public policy changes at the federal and state levels, inflation, labor supply, fuel prices, interest rates and access to capital markets. Economic factors, such as ongoing or potential geopolitical conflict, pandemics, recessions, or similar national or global events, have caused and may continue to cause, economic disruption across our geographic footprint resulting in reductions in business, consumers and construction activity. Negative economic conditions can result in decreased consumer spending and decreases in solid waste volumes generated in the collection and disposal businesses, which negatively impacts our ability to grow through new business or service upgrades and the sales price of commodities in our recycling business, and may result in customer turnover and reduction in customers’ waste service needs. Furthermore, residual macroeconomic effects associated with these economic factors have negatively impacted, and may continue to negatively impact, the global supply chain, labor markets and distribution networks leading to heightened inflation across labor, select services and goods, and capital investments. Inflationary increases in costs, including current inflationary pressures associated primarily with labor, certain other cost categories and capital items, have materially affected, and may continue to materially affect, our operating margins and cash flows. In addition, fuel cost increases may materially impact our operating margins and cash flows. Significant components of our operating expenses, including labor, fuel and third-party services, have been impacted by sustained inflation. To the extent these economic factors increase macroeconomic risks and adversely affect our business and financial results, it may also have the effect of heightening many other risks described in this section, any of which could materially and adversely affect our business, results of operations and financial condition. See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of this Annual Report on Form 10-K for further discussion.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significant competition to hire and retain individuals for certain front-line positions, such as commercial truck drivers, from within and outside our industry. This competition comes from other waste management companies as well as other employers who hire drivers and maintain fleets, such as companies that provide courier delivery services, including United Parcel Service, Inc., FedEx Corporation and Amazon, as well as from a tightening labor market. As a result, certain positions currently experience, have historically experienced, and may experience in the future, high turnover rates or labor shortages, which can lead to increased recruiting, training and retention costs. If we are unable to hire and retain sufficient numbers of drivers to service our collection and disposal routes, mechanics to maintain our trucks, and front line workers for our recycling facilities, our financial condition and operating results could be materially impacted. We also compete to attract skilled business leaders, and our own key team members are sought after by our competitors and other companies. We make significant investments, and engage in extensive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 Further, as we grow, we face the risk of having poorly documented and/or insufficient policies and procedures, conducting inadequate training, and lacking the necessary structure to effectively scale with growth. These deficiencies could lead to operational inefficiencies, regulatory non-compliance, and an inability to meet the demands of an expanding business, adversely impacting our financial performance 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Significant shortages in diesel fuel supply or increases in diesel fuel prices could affect our operating expenses and results.</w:t>
      </w:r>
    </w:p>
    <w:p>
      <w:pPr>
        <w:pStyle w:val="TextBody"/>
        <w:bidi w:val="0"/>
        <w:spacing w:lineRule="auto" w:line="288" w:before="120" w:after="283"/>
        <w:jc w:val="left"/>
        <w:rPr/>
      </w:pPr>
      <w:r>
        <w:rPr>
          <w:rFonts w:ascii="Times New Roman;sans-serif" w:hAnsi="Times New Roman;sans-serif"/>
          <w:b w:val="false"/>
          <w:color w:val="000000"/>
          <w:sz w:val="20"/>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including our reliance on various third-party transporters and service providers. Price escalations of fuel increase our operating expenses. In fiscal year 2024, we consumed approximately 14 million gallons of diesel fuel in our solid waste operations. Although we have fuel cost recovery programs, primarily the energy component of our energy and environmental fee program that floats monthly based on reported diesel fuel prices, contractual restrictions and competitive conditions may impact our opportunity to pass this fee on to our customers in all circumstances. See Item 7A. “</w:t>
      </w:r>
      <w:r>
        <w:rPr>
          <w:rFonts w:ascii="Times New Roman;sans-serif" w:hAnsi="Times New Roman;sans-serif"/>
          <w:b w:val="false"/>
          <w:i/>
          <w:color w:val="000000"/>
          <w:sz w:val="20"/>
        </w:rPr>
        <w:t>Quantitative and Qualitative Disclosure About Market Risk”</w:t>
      </w:r>
      <w:r>
        <w:rPr>
          <w:color w:val="000000"/>
        </w:rPr>
        <w:t xml:space="preserve"> </w:t>
      </w:r>
      <w:r>
        <w:rPr>
          <w:rFonts w:ascii="Times New Roman;sans-serif" w:hAnsi="Times New Roman;sans-serif"/>
          <w:b w:val="false"/>
          <w:color w:val="000000"/>
          <w:sz w:val="20"/>
        </w:rPr>
        <w:t xml:space="preserve">of this Annual Report on Form 10-K for further discussion over the impacts of fuel prices on our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in the solid waste services industry, and if we cannot successfully compete in the marketplace, our business, financial condition and results of operations may be materially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 or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solid waste disposal markets, we also compete with operators of alternative disposal and recycling facilities and with counties, municipalities and solid waste districts that maintain their own solid waste collection, recycling and disposal operations. We also face increased competition from companies which seek to use parts of the waste stream as feedstock for renewable energy supplies. Public entities may have financial advantages because of their ability to charge user fees or similar charges, impose taxes and apply resulting revenues, access tax-exempt financing, transport waste to disposal sites outside of the northeastern markets, and, in some cases, utilize government subsidies.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growth strategy focuses on complementing or expanding our business through the acquisition of companies or assets, or the development of new operations. However, we may be unable to successfully identify, evaluate and complete these transactions and, if completed, we may be unable to successfully integrate and realize the anticipated benefits of acquired businesses. Such acquired businesses may also pose significant risks and could have a negative effect on our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growth strategy includes engaging in acquisitions or developing operations or assets with the goal of complementing or expanding our business. We have made, and we may continue to make in the future, acquisitions to densify existing operations, expand service areas and grow services for our customers.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Furthermore, we may be unable to obtain the necessary regulatory approvals to complete potential acquisitions.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achieve the benefits from acquired businesses,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operations, properties or facilities that we acquire may be subject to unknown liabilities, such as undisclosed environmental contamination, or other environmental liabilities, including off-site disposal liability for which we would have no recourse, or only limited recourse, to the former owners of such operations or properties. As a result, if claims for liabilities were asserted against us based upon ownership of an acquired property, we might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be required to pay significant sums to settle it, which could adversely affect our financial results and cash flows. For information regarding our business acquisitions, see Note 5, </w:t>
      </w:r>
      <w:r>
        <w:rPr>
          <w:rFonts w:ascii="Times New Roman;sans-serif" w:hAnsi="Times New Roman;sans-serif"/>
          <w:b w:val="false"/>
          <w:i/>
          <w:color w:val="000000"/>
          <w:sz w:val="20"/>
        </w:rPr>
        <w:t xml:space="preserve">Business Combinations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to ameliorate the effect of climate change.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In addition, the potential for increased regulation of PFAS and other emerging contaminants could lead to increased compliance and remediation costs, or litigation risks, which could adversely impact our financial condition and results of operations. Future regulation changes may also require us to modify, supplement, or replace equipment or facilities at a substantial cost.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 parties, which could reduce our revenues and/or operating margins.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grown through acquisitions and expect to make additional acquisitions in the future. We have tried and will continue to try to evaluate and limit environmental risks and liabilities presented by businesses to be acquired prior to the acquisition. It is possible that some liabilities may prove to be more difficult or costly to identify or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w:t>
      </w:r>
    </w:p>
    <w:p>
      <w:pPr>
        <w:pStyle w:val="TextBody"/>
        <w:bidi w:val="0"/>
        <w:spacing w:lineRule="auto" w:line="288" w:before="120" w:after="283"/>
        <w:jc w:val="left"/>
        <w:rPr/>
      </w:pPr>
      <w:r>
        <w:rPr>
          <w:rFonts w:ascii="Times New Roman;sans-serif" w:hAnsi="Times New Roman;sans-serif"/>
          <w:b w:val="false"/>
          <w:color w:val="000000"/>
          <w:sz w:val="20"/>
        </w:rPr>
        <w:t xml:space="preserve">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or injunctive relief or overturn or prevent the issuance of an operating permit or authorization, all of which may result in us incurring significant liabilities. For information regarding legal proceedings and environmental remediation matters, see Note 12,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conduct of our businesses is also subject to various other laws and regulations administered by federal, state and local governmental agencies, including tax laws, employment laws, privacy laws and competition laws, among others. New laws, regulations or governmental policy and their related interpretations, or changes in any of the foregoing, including taxes or other limitations on our services, may alter the environment in which we do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certain jurisdictions, we are subject to compliance with specific obligations under competition laws due to our competitive position in those jurisdictions. Failure to comply with these obligations could subject us to enforcement actions or financial penalties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increasing focus on PFAS and other emerging contaminants may lead to increased compliance and remediation costs and litigation risks, which could adversely impact our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for PFAS is rapidly evolving, with increasing demands for enhanced environmental monitoring programs and advanced treatment technologies to mitigate PFAS contamination. Risks to our company relating to PFAS include regulatory risks, including the April 2024 designation by the EPA of two PFAS -- PFOA and PFOS, and their salts and structural isomers -- as hazardous substances, which could create Superfund liabilities under CERCLA for all downstream recipients of PFAS, including passive receivers such as our landfills and transporters of biosolids, the establishment of federal and state drinking water standards and surface water criteria which set low thresholds for impacts to drinking water and surface water, the risk that states in which we operate will require stringent monitoring of PFAS at our landfills, the risk of material increases in landfill leachate treatment costs due to mandatory pre-treatment or otherwise, the risk that existing remedial sites will become more complex and that closed landfills will be under enhanced regulatory scrutiny, the risk that biosolids management will be impacted by restrictions on end uses and the risk that that pre-existing land application sites will be determined to contain PFAS. Any such liability is likely to be uninsurable, with no coverage likely under our pollution or product liability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or maintain required permits or to expand existing permitted capacity of our landfills, which could decrease our revenue and increase our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and regulations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In addition, state laws applicable to certain of our landfills require that the state determine whether acceptance at the landfill of waste not generated within the state provides a substantial public benefit. In addition, the potential for increased regulation of PFAS and other emerging contaminants could also lead to increased financial impacts such as additional capping requirements, increased closure/post-closure care costs and obligations, enhanced leachate treatment requirements, waste disposal limits, and transport limitations.</w:t>
      </w:r>
    </w:p>
    <w:p>
      <w:pPr>
        <w:pStyle w:val="TextBody"/>
        <w:bidi w:val="0"/>
        <w:spacing w:lineRule="auto" w:line="288" w:before="120" w:after="283"/>
        <w:jc w:val="left"/>
        <w:rPr/>
      </w:pPr>
      <w:r>
        <w:rPr>
          <w:rFonts w:ascii="Times New Roman;sans-serif" w:hAnsi="Times New Roman;sans-serif"/>
          <w:b w:val="false"/>
          <w:color w:val="000000"/>
          <w:sz w:val="20"/>
        </w:rPr>
        <w:t xml:space="preserve">Despite our best efforts, we may not be successful in obtaining new landfill or transfer station sites or expanding the permitted capacity of any of our current landfills and transfer stations. If we are unable to develop additional disposal and transfer station capacity, our ability to achieve economies of scale from the internalization of our waste stream will be limited. If we fail to receive new landfill permits or renew existing permits, we may incur landfill asset impairment and other charges associated with accelerated closure. See Note 12,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for disclosure about legal matters impacting our permitting efforts. Given our current expected run rate and remaining available capacity at our NCES Landfill in Bethlehem, New Hampshire, we may consume all remaining permitted capacity at our NCES Landfill during 2027. Based on currently available information, we believe that it is unlikely that the landfill under development by us in Dalton, New Hampshire will be fully permitted, constructed and operational by the end of fiscal year 2027. Also, On December 5, 2024, the Board of Supervisors of Ontario County, New York approved a motion to close the Ontario County Landfill in Seneca, New York at the end of 2028 upon the expiration of the 25-year OMLA, at which time we intend to cease operations at the Ontario County Landfill.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Fluctuations in commodity prices and diminished markets for recyclable materials that we sell to customers may adversely affect our results of operations and cash flows.</w:t>
      </w:r>
    </w:p>
    <w:p>
      <w:pPr>
        <w:pStyle w:val="TextBody"/>
        <w:bidi w:val="0"/>
        <w:spacing w:lineRule="auto" w:line="288" w:before="120" w:after="283"/>
        <w:jc w:val="left"/>
        <w:rPr/>
      </w:pPr>
      <w:r>
        <w:rPr>
          <w:rFonts w:ascii="Times New Roman;sans-serif" w:hAnsi="Times New Roman;sans-serif"/>
          <w:b w:val="false"/>
          <w:color w:val="000000"/>
          <w:sz w:val="20"/>
        </w:rPr>
        <w:t>Our processing business involves the purchase and sale of recyclable materials, some of which are priced on a commodity basis. Our results of operations and cash flows may be adversely affected by falling purchase or resale prices or market requirements for recyclable materials. The resale and purchase prices of, and market demand for, recyclable materials are subject to changes in economic conditions and numerous other factors beyond our control, which may result in decreased demand of recyclable materials and lower commodity prices. Global and domestic factors such as recycling commodity inventory levels, inflation, consumer spending and economic activity levels may result in lower recycling commodity prices. The recycling commodity markets continue to see ongoing price volatility. Significant price fluctuations may adversely affect our results of operations and cash flows in the form of higher operating costs or lower revenues. Although many of our recycling contracts require the respective municipalities to absorb some of the impact of declining commodity prices, these contracts have had the impact of significantly increasing the costs to municipalities for continuing to offer recycling services to their customers. In the event that the costs of such services become excessive, such municipalities could discontinue their recycling programs altogether, which could materially affect our financial results. See Item 7A. “</w:t>
      </w:r>
      <w:r>
        <w:rPr>
          <w:rFonts w:ascii="Times New Roman;sans-serif" w:hAnsi="Times New Roman;sans-serif"/>
          <w:b w:val="false"/>
          <w:i/>
          <w:color w:val="000000"/>
          <w:sz w:val="20"/>
        </w:rPr>
        <w:t>Quantitative and Qualitative Disclosure About Market Risk”</w:t>
      </w:r>
      <w:r>
        <w:rPr>
          <w:color w:val="000000"/>
        </w:rPr>
        <w:t xml:space="preserve"> </w:t>
      </w:r>
      <w:r>
        <w:rPr>
          <w:rFonts w:ascii="Times New Roman;sans-serif" w:hAnsi="Times New Roman;sans-serif"/>
          <w:b w:val="false"/>
          <w:color w:val="000000"/>
          <w:sz w:val="20"/>
        </w:rPr>
        <w:t xml:space="preserve">of this Annual Report on Form 10-K for further discussion over the impacts of commodity prices on our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upgrading our technology infrastructure and there can be no assurance that our efforts will be completed on the projected timetable or that our investment will result in the expected gains.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Upgrades to our technology infrastructure are ongoing and include a comprehensive Lead to Cash solution, on-board computers, dynamic route optimization, procurement optimization, cybersecurity initiatives,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third-party relationships. If we are unable to benefit from new technologies, we may be at a competitive disadvantage to other companies in the waste management industry, in which case our operating results could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Significant disruptions in our information technology systems or cybersecurity incidents could negatively impact our business and our relationships with customers, adversely affecting our financial results and exposing us to litigation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computer technology, including computer and information networks, in substantially all aspects of our business operations. We also use mobile devices, social networking and other online activities to connect with our customers and for our employees to be able to process transactions and provide information that we feel is necessary to manage our business. Our information technology systems may be susceptible to damage, disruptions or shutdowns due to power outages, hardware failures, telecommunication failures, employee malfeasance, user errors, catastrophes or other unforeseen events. If we were to experience a prolonged disruption in the information technology systems that involve our internal communications or our interactions with our customers, it could result in the loss of sales and customers and significant incremental costs, which could adversely affect our business. In addition, the use of our information technology systems give rise to cybersecurity risks, including security breach, computer viruses, sabotage or espionage, ransomware attacks,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and continue to implement measures to prevent security breaches and cyber incidents, our preventive or detection measures and incident response efforts may not be entirely effective, especially as cybersecurity attacks continue to evolve and become more sophisticated, often are not recognized until launched against a target and may be difficult to detect for a long time. We are also exposed to cybersecurity risk with respect to data and other information that may be shared with third parties in connection with our business operations, if such third parties become subject to security breaches or other releases of information. In addition, outside parties may attempt to penetrate our systems or those of our vendors or fraudulently induce our employees or employees of our vendors to disclose sensitive information to gain access to our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company, personal or otherwise protected information is improperly accessed, tampered with or distributed, we may face significant financial exposure, including incurring significant costs to remediate possible injury to the affected parties.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geographically concentrated and is therefore subject to regional economic downturns.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customers are concentrated principally in New England, New York, Pennsylvania and other Mid-Atlantic states.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and financial condition may be negatively affected if we inadequately accrue for final capping, closure and post-closure costs or by the timing of these costs for our waste disposal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pStyle w:val="TextBody"/>
        <w:bidi w:val="0"/>
        <w:spacing w:lineRule="auto" w:line="288" w:before="120" w:after="283"/>
        <w:jc w:val="left"/>
        <w:rPr/>
      </w:pPr>
      <w:r>
        <w:rPr>
          <w:rFonts w:ascii="Times New Roman;sans-serif" w:hAnsi="Times New Roman;sans-serif"/>
          <w:b w:val="false"/>
          <w:color w:val="000000"/>
          <w:sz w:val="20"/>
        </w:rPr>
        <w:t xml:space="preserve">For information regarding our final capping, closure and post-closure obligations, see Note 10, </w:t>
      </w:r>
      <w:r>
        <w:rPr>
          <w:rFonts w:ascii="Times New Roman;sans-serif" w:hAnsi="Times New Roman;sans-serif"/>
          <w:b w:val="false"/>
          <w:i/>
          <w:color w:val="000000"/>
          <w:sz w:val="20"/>
        </w:rPr>
        <w:t xml:space="preserve">Final Capping, Closure and Post-Closure Costs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insurance coverage and self-insurance reserves may be inadequate to cover all significant risk exposures.</w:t>
      </w:r>
    </w:p>
    <w:p>
      <w:pPr>
        <w:pStyle w:val="TextBody"/>
        <w:bidi w:val="0"/>
        <w:spacing w:lineRule="auto" w:line="288" w:before="120" w:after="283"/>
        <w:jc w:val="left"/>
        <w:rPr/>
      </w:pPr>
      <w:r>
        <w:rPr>
          <w:rFonts w:ascii="Times New Roman;sans-serif" w:hAnsi="Times New Roman;sans-serif"/>
          <w:b w:val="false"/>
          <w:color w:val="000000"/>
          <w:sz w:val="20"/>
        </w:rPr>
        <w:t xml:space="preserve">The provision of resource management services, including the operation of landfills, a substantial fleet of trucks and other waste-related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We carry a range of insurance policies intended to protect our assets and operations, including general liability insurance, property damage and environmental risk insurance. While we endeavor to purchase insurance coverage appropriate to our risk assessment, and seek to minimize our exposure to these risks through maintenance, training and compliance programs,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 the United States, insurance companies have incurred substantial losses and accordingly in many cases they have substantially reduced the nature and amount of insurance coverage available to the market, have broadened exclusions, and/or have substantially increased the cost of such coverage. It is likely that the tight insurance markets will continue into the foreseeable future.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we have retained under our self-insurance programs may exceed our recorded reserves, which could negatively impact future earnings. See Note 3,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disclosure about our self-insurance liabilities and related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could be precluded from entering into contracts or obtaining or maintaining permits or certain contracts if we are unable to obtain third-party financial assurance to secure our contractual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required to write-off or impair capitalized costs or intangible assets in the future or we may incur restructuring costs or other charges, each of which could harm our earnings.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generally accepted accounting principles in the United States, we capitalize certain expenditures and advances relating to our acquisitions, landfills, cost method investments and development projects. In addition, we have considerable unamortized assets, including goodwill.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landfill or development project, or growth oriented investment that is not expected to be successfully completed or generate a sufficient return on investment; and (3) any goodwill or other intangible assets that are determined to be impaired.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including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revenues and our operating income experience seasonal fluctuations, which could adversely affect our operational results in certain quarters and cause our results to fluctuate.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transfer and disposal revenues have historically been higher in the late spring, summer and early fall months, which when combined with operating and other fixed costs that remain constant throughout the fiscal year, results in seasonal fluctuations in our operating performance. This seasonality reflects the lower volume of solid waste during the late fall, winter and early spring months primarily because the volume of waste relating to C&amp;D activities decreases substantially during the winter months in the eastern United States where we are geographically located.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Adverse weather conditions, including those brought about by climate change, may limit our operations and increase the costs of collection and disposal.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collection and landfill operations could be adversely impacted by extended periods of inclement weather, or by increased severity of weather, including as a result of climate change.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Efforts by labor unions to organize our employees could divert management attention and increase our 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2025, approximately 3% of our employees were represented by unions.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enterprise risk management process may not be effective in mitigating the risks to which we are subject, or in reducing the potential for losses in connection with such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adversely affected by market responses to our sustainability practices and may not be effective in mitigating the risks associated with sustainability expectations and related emerging regulations, or in reducing the potential for losses in connection with such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risks related to our sustainability activities and disclosures that may adversely affect our market outlook, brand and reputation, and financial performance, which may impact our ability to achieve our long-term business objectives. Our sustainability practices are designed to bring our actions and impacts into alignment with broader societal goals and environmental limits. Although we have developed a framework and perform a reporting initiative to identify, measure, monitor, report, and control our sustainability practices and related exposure to sustainability expectations and regulations, we may not achieve our sustainability goals and commitments, or we may improperly report on our progress toward achieving our sustainability goals and commitments, which could result in negative publicity that could affect our brand and reputation, and accordingly, adversely impact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substantial debt and have the ability to incur additional debt. The principal and interest payment obligations of such debt may restrict our future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$1,148.2 million of outstanding principal indebtedness (excluding $24.6 million of outstanding letters of credit issued under our $800.0 million term loan A facility, and $700.0 million revolving line of credit facility with a $155.0 million sublimit for letters of credit (collectively, the “Credit Facility”)). As of December 31, 2024, we had $675.4 million of unused commitments remaining under the Credit Facility, subject to customary borrowing conditions, and approximately $383.3 million in cash, cash equivalents and restricted cash available to help meet our short-term and long-term liquidity needs. We have the right to request, at our discretion, an increase in the amount of loans under the Credit Facility by an aggregate amount of $200,000, subject to further increase based on the terms and conditions set forth in the Credit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amount of indebtedness, our ability to incur additional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included in the Credit Facility. We may also be subject to higher interest expense based on how we perform against financial and other covenants. Additionally, if we do not comply with financial and other covenants, we may be required to take actions such as reducing or delaying capital expenditures, selling assets, restructuring or refinancing all or part of our existing Credit Facility or seeking additional equity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satisfy our obligations and to reduce our total debt depends on our future operating performance and on economic, financial, competitive and other factors, many of which are beyond our control. If we are unable to service or refinance our debt, we may be required to divert funds that would otherwise be invested in growing our business operations or sell selected assets. 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event of default (or an acceleration of the obligations after an event of default) under any of our debt agreements could permit some of our lenders, including the requisite lenders under the Credit Facility and the requisite holders of our tax exempt bonds in the states of New York, Vermont, Maine and new Hampshire, to declare all amounts borrowed from them to be immediately due and payable, together with accrued and unpaid interest, and in the case of the Credit Facility, terminate the commitment to make further credit extensions thereunder, which could, in turn, trigger cross-defaults under other debt obligations. If we are unable to repay debt to our lenders or are otherwise in default under any provision governing our outstanding debt obligations, our secured lenders could proceed against us and against the collateral securing that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Holders of our Class A common stock are entitled to one vote per share, and holders of our Class B common stock are entitled to ten votes per share. The lower voting power of the Class A common stock may negatively affect the attractiveness of our Class A common stock to investors and, as a result, its market value.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two classes of common stock: Class A common stock, which is entitled to one vote per share, and Class B common stock, which is entitled to ten votes per share. All of the outstanding Class B common stock are beneficially owned by John W. Casella, our Chairman and Chief Executive Officer; certain trusts for the benefit of Mr. John Casella and his spouse; Douglas R. Casella, a member of our Board of Directors who is Mr. John Casella's brother; and certain trusts for the benefit of Mr. Douglas Casella and his spouse. Except for the election of one of our directors and in certain limited circumstances required by applicable law, holders of Class A common stock and Class B common stock vote together as a single class on all matters to be voted on by our stockholders. As of January 31, 2025, an aggregate of 988,200 shares of our Class B common stock, representing 9,882,000 votes, were outstanding. Based on the number of shares of common stock outstanding as of January 31, 2025, the shares of our Class A common stock and Class B common stock beneficially owned by John W. Casella and Douglas R. Casella represented approximately 14.0% of the aggregate voting power of our stockholders. Consequently, John W. Casella and Douglas R. Casella are able to substantially influence all matters for stockholder consideration and constitute, and are expected to continue to constitute, a significant portion of the shares entitled to vote on all matters requiring approval by our stockholders. The difference in the voting power of our Class A common stock and Class B common stock could diminish the market value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have specific processes for assessing, identifying and managing cybersecurity risks, which are built into our information technology function and are designed to help protect our information assets and operations from internal and external cyber threats, protect employee and customer information from unauthorized access or attack, as well as secure our networks and systems. These processes are periodically assessed against the National Institute of Standards and Technology cybersecurity framework and include physical, procedural and technical safeguards, response plans, regular tests on our systems, incident simulations and routine review of our policies and procedures to identify risks and refine our practices. The processes are updated as needed on an annual basis.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engage external parties to supplement our internal capabilities and to assess our cyber maturity and readiness on a periodic basis. This includes being party to a managed services agreement with an external party for incident response; engaging an external party for comprehensive cybersecurity assessment, opportunity prioritization, initiative road mapping and cyber project delivery; and engaging additional external parties to assist with critical cyber-related infrastructure such as firewall maintenance and upgrade initiatives. While utilizing third-party service providers presents risk, we assess all third-party service providers for their qualifications before engaging them and monitor such providers throughout the term of the engagement in order to help protect us from any additional vulnerabilities.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an assessment using the previously described cybersecurity risk management processes, we do not believe that there are currently any risks from cybersecurity threats, including as a result of any prior cybersecurity incidents, that have materially affected or are reasonably likely to materially affect us, including our business strategy, results of operations or financial condition.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of our Board of Directors (“Audit Committee”) provides direct oversight over cybersecurity risk and acts in an advisory capacity to our management team, primarily, as it relates to cybersecurity, our Chief Information Officer (“CIO”), and provides updates to the Board of Directors regarding such oversight. The Audit Committee receives quarterly updates from management regarding cybersecurity matters, and is notified between such updates regarding significant new cybersecurity threats or incidents.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CIO leads the operational oversight of our company-wide cybersecurity strategy, policy, standards and processes and works across relevant departments to assess and help prepare us and our employees to address cybersecurity risks. This includes the utilization of a security operations center which deploys overlapping layers of security technology, monitoring, and staff for incident response. Should an incident arise, we, led by our CIO, follow a documented incident response plan, which includes activating retained third-party incident response specialists. The CIO’s cybersecurity expertise is derived from over 30 years of experience in information technology, consulting, and technology transformation through ever-progressing leadership roles. Our CIO is supported by a dedicated team of cybersecurity professionals in addition to managed services and retained external experts.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an effort to deter and detect cyber threats, we provide key employees with various cybersecurity trainings that cover a range of timely and relevant topics. The trainings function to educate employees on the importance of reporting all incidents immediately. We also use technology-based tools to mitigate cybersecurity risks and to bolster our employee-based cybersecurity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headquarters is located at 25 Greens Hill Lane, Rutland, Vermont 05701, where we currently lease approximately 12,000 square feet of office space.</w:t>
      </w:r>
    </w:p>
    <w:p>
      <w:pPr>
        <w:pStyle w:val="TextBody"/>
        <w:bidi w:val="0"/>
        <w:spacing w:lineRule="auto" w:line="288" w:before="120" w:after="283"/>
        <w:jc w:val="left"/>
        <w:rPr/>
      </w:pPr>
      <w:r>
        <w:rPr>
          <w:rFonts w:ascii="Times New Roman;sans-serif" w:hAnsi="Times New Roman;sans-serif"/>
          <w:b w:val="false"/>
          <w:color w:val="000000"/>
          <w:sz w:val="20"/>
        </w:rPr>
        <w:t>Our principal property and equipment consists of land, landfills, finance lease right-of-use assets, buildings, machinery and equipment, rolling stock and containers. At January 31, 2025, we operated eight subtitle D landfills, four of which we own and four of which we lease; one landfill permitted to accept C&amp;D materials that we own; 71 transfer stations, 39 of which we own, 12 of which we lease and 20 of which we operate under a contract; 71 solid waste collection facilities, 44 of which we own, 26 of which we lease and one of which we operate under a contract; 28 recycling processing facilities, 15 of which we own, 10 of which we lease and three of which we operate under a contract; three landfill gas-to-energy facilities that we own; and 38 corporate office and other administrative facilities, 17 of which we own and 21 of which we lease (See “Operational Overview” in Item 1. “</w:t>
      </w:r>
      <w:r>
        <w:rPr>
          <w:rFonts w:ascii="Times New Roman;sans-serif" w:hAnsi="Times New Roman;sans-serif"/>
          <w:b w:val="false"/>
          <w:i/>
          <w:color w:val="000000"/>
          <w:sz w:val="20"/>
        </w:rPr>
        <w:t>Business</w:t>
      </w:r>
      <w:r>
        <w:rPr>
          <w:color w:val="000000"/>
        </w:rPr>
        <w:t xml:space="preserve">” </w:t>
      </w:r>
      <w:r>
        <w:rPr>
          <w:rFonts w:ascii="Times New Roman;sans-serif" w:hAnsi="Times New Roman;sans-serif"/>
          <w:b w:val="false"/>
          <w:color w:val="000000"/>
          <w:sz w:val="20"/>
        </w:rPr>
        <w:t>of this Annual Report on Form 10-K for property information by operating segment and location). We believe that our property and equipment are adequately maintained and sufficient for our current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jc w:val="left"/>
        <w:rPr/>
      </w:pPr>
      <w:r>
        <w:rPr>
          <w:rFonts w:ascii="Times New Roman;sans-serif" w:hAnsi="Times New Roman;sans-serif"/>
          <w:b w:val="false"/>
          <w:color w:val="000000"/>
          <w:sz w:val="20"/>
        </w:rPr>
        <w:t xml:space="preserve">The information required by this Item is provided in Note 12,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in Part II,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 over Certain Environmental Matters Involving Governmental Authorities with Possible Sanctions of $1,000,000 or More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trades on the Nasdaq Global Select Market (“Nasdaq Stock Market”) under the symbol CWST. There is no established trading market for our Class B common stock. As of January 31, 2025, there were approximately 800 holders of record of our Class A common stock and two holders of record of our Class B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dividends have ever been declared or paid on our common stock and we do not anticipate paying any cash dividends on our common stock in the foreseeable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201(d) of Regulation S-K is included in Part III of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performance graph and related information shall not be deemed “soliciting material” or “filed” with the Securities and Exchange Commission, nor shall such information be incorporated by reference into any future filing under the Securities Act of 1933 or the Securities Exchange Act of 1934, each as amended, except to the extent that we specifically incorporate it by reference into such filing.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stock performance graph below compares the percentage change in cumulative stockholder return on our Class A common stock for the period from December 31, 2019 through December 31, 2024, with the cumulative total return on the Russell 2000 Index and Peer Group. The stock performance graph assumes the investment on December 31, 2019 of $100.00 in our Class A common stock at the closing price on such date, in the Russell 2000 Index and the Peer Group, and that dividends are reinvested. No dividends have been declared or paid on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before="120" w:after="283"/>
        <w:jc w:val="center"/>
        <w:rPr/>
      </w:pPr>
      <w:r>
        <w:rPr/>
        <w:drawing>
          <wp:inline distT="0" distB="0" distL="0" distR="0">
            <wp:extent cx="6515100" cy="541020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6515100" cy="5410200"/>
                    </a:xfrm>
                    <a:prstGeom prst="rect">
                      <a:avLst/>
                    </a:prstGeom>
                  </pic:spPr>
                </pic:pic>
              </a:graphicData>
            </a:graphic>
          </wp:inline>
        </w:drawing>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495"/>
        <w:gridCol w:w="436"/>
        <w:gridCol w:w="438"/>
        <w:gridCol w:w="241"/>
        <w:gridCol w:w="825"/>
        <w:gridCol w:w="124"/>
        <w:gridCol w:w="109"/>
        <w:gridCol w:w="109"/>
        <w:gridCol w:w="109"/>
        <w:gridCol w:w="241"/>
        <w:gridCol w:w="825"/>
        <w:gridCol w:w="124"/>
        <w:gridCol w:w="109"/>
        <w:gridCol w:w="109"/>
        <w:gridCol w:w="109"/>
        <w:gridCol w:w="241"/>
        <w:gridCol w:w="825"/>
        <w:gridCol w:w="124"/>
        <w:gridCol w:w="109"/>
        <w:gridCol w:w="109"/>
        <w:gridCol w:w="109"/>
        <w:gridCol w:w="241"/>
        <w:gridCol w:w="825"/>
        <w:gridCol w:w="124"/>
        <w:gridCol w:w="109"/>
        <w:gridCol w:w="109"/>
        <w:gridCol w:w="109"/>
        <w:gridCol w:w="241"/>
        <w:gridCol w:w="825"/>
        <w:gridCol w:w="124"/>
        <w:gridCol w:w="109"/>
        <w:gridCol w:w="109"/>
        <w:gridCol w:w="109"/>
        <w:gridCol w:w="240"/>
        <w:gridCol w:w="821"/>
        <w:gridCol w:w="190"/>
      </w:tblGrid>
      <w:tr>
        <w:trPr/>
        <w:tc>
          <w:tcPr>
            <w:tcW w:w="49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Casella Waste Systems, Inc.</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Russell 2000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Peer Group</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(1)The Peer Group is comprised of GFL Environmental, Inc., Waste Connections Inc., Waste Management, Inc. and Republic Services,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Discussion and analysis of our financial condition and results of operations for the fiscal year ended December 31, 2023 (“fiscal year 2023”) compared to our financial condition and results of operations for the fiscal year ended December 31, 2022 is included under the heading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 our Annual Report on Form 10-K for the fiscal year ended December 31, 2023 as filed with the Securities and Exchange Commission on February 16,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integrated solid waste services in ten states: Vermont, New Hampshire, New York, Massachusetts, Connecticut, Maine, Pennsylvania, Delaware, New Jersey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283"/>
        <w:jc w:val="left"/>
        <w:rPr/>
      </w:pPr>
      <w:r>
        <w:rPr>
          <w:rFonts w:ascii="Times New Roman;sans-serif" w:hAnsi="Times New Roman;sans-serif"/>
          <w:b w:val="false"/>
          <w:color w:val="000000"/>
          <w:sz w:val="20"/>
        </w:rPr>
        <w:t xml:space="preserve">For financial information concerning our reportable operating segments refer to Note 20. </w:t>
      </w:r>
      <w:r>
        <w:rPr>
          <w:rFonts w:ascii="Times New Roman;sans-serif" w:hAnsi="Times New Roman;sans-serif"/>
          <w:b w:val="false"/>
          <w:i/>
          <w:color w:val="000000"/>
          <w:sz w:val="20"/>
        </w:rPr>
        <w:t xml:space="preserve">Segment Reporting </w:t>
      </w:r>
      <w:r>
        <w:rPr>
          <w:rFonts w:ascii="Times New Roman;sans-serif" w:hAnsi="Times New Roman;sans-serif"/>
          <w:b w:val="false"/>
          <w:color w:val="000000"/>
          <w:sz w:val="20"/>
        </w:rPr>
        <w:t xml:space="preserve">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owned and/or operated 71 solid waste collection operations, 71 transfer stations, 28 recycling and processing facilities, eight Subtitle D landfills, three landfill gas-to-energy facilities and one landfill permitted to accept construction and demolition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Acquisitions and Divestitures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in the past, and we expect to make in the future, acquisitions to densify existing operations, expand service areas, and grow services for our customers.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help to offset this factor.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business development team that identifies acquisition candidates, categorizes the opportunity by strategic fit and financial synergies, establishes contact with the appropriate representative of the acquisition candidate and gathers further information on the acquisition candidate.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fiscal year ended December 31, 2024 (“fiscal year 2024”), we acquired eight businesses: four of which are in our Mid-Atlantic region, including the purchase of all the equity interests of Whitetail Disposal, Inc. and the assets of LMR Disposal, LLC, which together include collection operations in eastern Pennsylvania and western New Jersey; two of which are in our Western region, including the purchase of all equity interests of Royal Carting and Welsh Sanitation and related real estate assets, which consist of collection and transfer operations in the middle and lower Hudson Valley regions of New York as well as western Connecticut; and two of which are tuck-in operations in our Eastern region. Our total consideration for acquisitions completed in fiscal year 2024 was $467.9 million, including $469.2 in cash, $1.7 million in holdbacks and additional consideration owed, partially offset by $(3.0) million of open working capital settlements due from sellers.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we acquired seven businesses: the equity interests of four wholly-owned subsidiaries of GFL Environmental Inc., which include solid waste collection, transfer and recycling operations in Pennsylvania, Maryland and Delaware (the “GFL Acquisition”); the assets of Consolidated Waste Services, LLC and its affiliates (dba Twin Bridges), consisting of a collection, transfer and recycling business in the greater Albany, New York area (the “Twin Bridges Acquisition”); and five additional solid waste collection businesses that provide collection, transfer and recycling services. Our total consideration for acquisitions completed in fiscal year 2023 was $846.6 million, including $846.7 in cash, $2.7 million in holdbacks and additional consideration owed to sellers, partially offset by $(2.8) million of open working capital settlements due from sellers, that has subsequently been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 party. We will continue to look to divest certain activities and investments that no longer enhance or complement our core business if the right opportunity presents itself.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solid waste operations, which include a full range of solid waste services, on a geographic basis through three regional operating segments, which we designate as the Eastern, Western and Mid-Atlantic regions. Revenues associated with our solid waste operations are derived mainly from fees charged to customers for solid waste collection and disposal services, including landfill, transfer station and transportation, while also providing landfill gas-to-energy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services provided by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shows revenue attributable to services provided (dollars in millions and as a percentage of total revenues) for the following periods:</w:t>
      </w:r>
    </w:p>
    <w:tbl>
      <w:tblPr>
        <w:tblW w:w="8830" w:type="dxa"/>
        <w:jc w:val="left"/>
        <w:tblInd w:w="0" w:type="dxa"/>
        <w:tblLayout w:type="fixed"/>
        <w:tblCellMar>
          <w:top w:w="28" w:type="dxa"/>
          <w:left w:w="28" w:type="dxa"/>
          <w:bottom w:w="28" w:type="dxa"/>
          <w:right w:w="28" w:type="dxa"/>
        </w:tblCellMar>
      </w:tblPr>
      <w:tblGrid>
        <w:gridCol w:w="938"/>
        <w:gridCol w:w="824"/>
        <w:gridCol w:w="833"/>
        <w:gridCol w:w="211"/>
        <w:gridCol w:w="766"/>
        <w:gridCol w:w="109"/>
        <w:gridCol w:w="109"/>
        <w:gridCol w:w="109"/>
        <w:gridCol w:w="109"/>
        <w:gridCol w:w="307"/>
        <w:gridCol w:w="309"/>
        <w:gridCol w:w="271"/>
        <w:gridCol w:w="109"/>
        <w:gridCol w:w="109"/>
        <w:gridCol w:w="109"/>
        <w:gridCol w:w="211"/>
        <w:gridCol w:w="766"/>
        <w:gridCol w:w="109"/>
        <w:gridCol w:w="109"/>
        <w:gridCol w:w="109"/>
        <w:gridCol w:w="109"/>
        <w:gridCol w:w="307"/>
        <w:gridCol w:w="309"/>
        <w:gridCol w:w="271"/>
        <w:gridCol w:w="109"/>
        <w:gridCol w:w="109"/>
        <w:gridCol w:w="109"/>
        <w:gridCol w:w="211"/>
        <w:gridCol w:w="61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Collection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Solid waste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total solid waste revenues) follows:</w:t>
      </w:r>
    </w:p>
    <w:tbl>
      <w:tblPr>
        <w:tblW w:w="5611" w:type="dxa"/>
        <w:jc w:val="left"/>
        <w:tblInd w:w="0" w:type="dxa"/>
        <w:tblLayout w:type="fixed"/>
        <w:tblCellMar>
          <w:top w:w="28" w:type="dxa"/>
          <w:left w:w="28" w:type="dxa"/>
          <w:bottom w:w="28" w:type="dxa"/>
          <w:right w:w="28" w:type="dxa"/>
        </w:tblCellMar>
      </w:tblPr>
      <w:tblGrid>
        <w:gridCol w:w="918"/>
        <w:gridCol w:w="809"/>
        <w:gridCol w:w="823"/>
        <w:gridCol w:w="334"/>
        <w:gridCol w:w="977"/>
        <w:gridCol w:w="172"/>
        <w:gridCol w:w="172"/>
        <w:gridCol w:w="172"/>
        <w:gridCol w:w="172"/>
        <w:gridCol w:w="254"/>
        <w:gridCol w:w="257"/>
        <w:gridCol w:w="551"/>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Period-to-Period Change For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Fiscal Year 2024 vs Fiscal Year 2023</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Volume</w:t>
            </w:r>
            <w:r>
              <w:rPr>
                <w:color w:val="000000"/>
              </w:rPr>
              <w:t xml:space="preserve"> </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the change in our solid waste revenues during fiscal year 2024 are summarized below:</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Price increased solid waste revenues due to (i) $46.1 million, or 6.5% as a percentage of collection revenues, from favorable collection pricing and (ii) $9.5 million, or 3.9% as a percentage of disposal revenues, from favorable disposal pricing associated with our landfills and transfer stations;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Volume decreased solid waste revenues due to (i) $(10.6) million, or (4.3)% as a percentage of disposal revenues, from lower disposal volumes, driven by lower landfill volumes and to a lesser extent transportation volumes, partially offset by higher transfer station volumes, (ii) $(6.5) million, or (0.9)% as a percentage of collection revenues from lower collection volumes, and (iii) $(0.1) million, or (1.5)% as a percentage of processing revenues, from lower processing volumes;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Surcharge and other fees decreased solid waste revenues primarily due to (i) lower energy and environmental fee (“E&amp;E Fee(s)”) revenues associated with our fuel cost recovery program related to lower diesel fuel prices and (ii) lower sustainability recycling adjustment fee (“SRA Fee(s)”) revenues due to higher recycled commodity prices as compared to the prior year periods; partially offset by higher revenues from fees related to legacy fuel and environmental cost recovery programs associated with acquired businesses. See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Annual Report on Form 10-K for additional information regarding our E&amp;E Fee and SRA Fee;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Commodity price and volume increased solid waste revenues primarily due to (i) favorable commodity and energy pricing, (ii) higher energy volumes, and (iii) to a lesser extent, higher commodity processing volumes;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Acquisitions increased solid waste revenues due to the partial year impact of the acquisition of eight business in fiscal year 2024, as well as the rollover impact of seven acquisitions completed in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Resource Solutions revenues</w:t>
      </w:r>
    </w:p>
    <w:p>
      <w:pPr>
        <w:pStyle w:val="TextBody"/>
        <w:bidi w:val="0"/>
        <w:spacing w:lineRule="auto" w:line="288" w:before="120" w:after="283"/>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below for discussion over the period-to-period change in Resource Solutions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cost of operations, general and administration and depreciation and amortization expenses is as follows (dollars in millions and as a percentage of total revenues):</w:t>
      </w:r>
    </w:p>
    <w:tbl>
      <w:tblPr>
        <w:tblW w:w="8470" w:type="dxa"/>
        <w:jc w:val="left"/>
        <w:tblInd w:w="0" w:type="dxa"/>
        <w:tblLayout w:type="fixed"/>
        <w:tblCellMar>
          <w:top w:w="28" w:type="dxa"/>
          <w:left w:w="28" w:type="dxa"/>
          <w:bottom w:w="28" w:type="dxa"/>
          <w:right w:w="28" w:type="dxa"/>
        </w:tblCellMar>
      </w:tblPr>
      <w:tblGrid>
        <w:gridCol w:w="939"/>
        <w:gridCol w:w="827"/>
        <w:gridCol w:w="829"/>
        <w:gridCol w:w="211"/>
        <w:gridCol w:w="76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cost of operations is as follows (dollars in millions and as a percentage of total revenues):</w:t>
      </w:r>
    </w:p>
    <w:tbl>
      <w:tblPr>
        <w:tblW w:w="10205" w:type="dxa"/>
        <w:jc w:val="left"/>
        <w:tblInd w:w="0" w:type="dxa"/>
        <w:tblLayout w:type="fixed"/>
        <w:tblCellMar>
          <w:top w:w="28" w:type="dxa"/>
          <w:left w:w="28" w:type="dxa"/>
          <w:bottom w:w="28" w:type="dxa"/>
          <w:right w:w="28" w:type="dxa"/>
        </w:tblCellMar>
      </w:tblPr>
      <w:tblGrid>
        <w:gridCol w:w="880"/>
        <w:gridCol w:w="746"/>
        <w:gridCol w:w="738"/>
        <w:gridCol w:w="109"/>
        <w:gridCol w:w="109"/>
        <w:gridCol w:w="109"/>
        <w:gridCol w:w="109"/>
        <w:gridCol w:w="137"/>
        <w:gridCol w:w="155"/>
        <w:gridCol w:w="155"/>
        <w:gridCol w:w="156"/>
        <w:gridCol w:w="137"/>
        <w:gridCol w:w="137"/>
        <w:gridCol w:w="137"/>
        <w:gridCol w:w="137"/>
        <w:gridCol w:w="265"/>
        <w:gridCol w:w="964"/>
        <w:gridCol w:w="137"/>
        <w:gridCol w:w="109"/>
        <w:gridCol w:w="109"/>
        <w:gridCol w:w="109"/>
        <w:gridCol w:w="255"/>
        <w:gridCol w:w="256"/>
        <w:gridCol w:w="367"/>
        <w:gridCol w:w="109"/>
        <w:gridCol w:w="109"/>
        <w:gridCol w:w="109"/>
        <w:gridCol w:w="211"/>
        <w:gridCol w:w="616"/>
        <w:gridCol w:w="109"/>
        <w:gridCol w:w="109"/>
        <w:gridCol w:w="109"/>
        <w:gridCol w:w="109"/>
        <w:gridCol w:w="255"/>
        <w:gridCol w:w="256"/>
        <w:gridCol w:w="271"/>
        <w:gridCol w:w="109"/>
        <w:gridCol w:w="109"/>
        <w:gridCol w:w="109"/>
        <w:gridCol w:w="211"/>
        <w:gridCol w:w="616"/>
        <w:gridCol w:w="157"/>
      </w:tblGrid>
      <w:tr>
        <w:trPr/>
        <w:tc>
          <w:tcPr>
            <w:tcW w:w="88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683" w:type="dxa"/>
            <w:gridSpan w:val="18"/>
            <w:tcBorders/>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7"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15"/>
            <w:tcBorders/>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operational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and repair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cost categories may change from time to time and may not be comparable to similarly titled categories presented by other companies.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the change in our cost of operations during fiscal year 2024 are summarized below:</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Direct costs increased in aggregate dollars primarily due to (i) acquisitions and (ii) higher third-party disposal rates reflecting cost inflation; partially offset by the impact on hauling and transportation costs related to municipal biosolid volumes in our National Accounts business.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Direct labor costs increased primarily due to (i) acquisitions and (ii) higher wages and benefit costs reflecting cost inflation; partially offset by improved routing efficiencies.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Direct operational costs increased in aggregate dollars primarily due to (i) acquisitions, (ii) higher leachate disposal costs, (iii) higher short term rental expense driven by delays in the delivery of fleet vehicles as well as needs from entering new municipal contracts, (iv) higher accretion expense associated with changes in the timing and cost estimates of our closure, post-closure, and capping obligations, (v) higher accruals related to insurance claims, and (vi) general cost inflation; partially offset by lower host community and royalty fees.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Fuel costs increased in aggregate dollars due to acquisitions, partially offset primarily by lower diesel fuel prices. See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of this Annual Report on Form 10-K for additional information regarding our fuel costs.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Maintenance and repair costs increased due to (i) acquisitions, (ii) higher personnel and parts costs reflecting cost inflation, and (iii) higher vehicle maintenance costs driven by delays in the delivery of fleet replacements.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Other operational costs increased due to (i) acquisitions, (ii) higher spending associated with supporting acquisition-related growth, and (iii) general cost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general and administration expense is as follows (dollars in millions and as a percentage of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3"/>
        <w:gridCol w:w="822"/>
        <w:gridCol w:w="831"/>
        <w:gridCol w:w="109"/>
        <w:gridCol w:w="109"/>
        <w:gridCol w:w="109"/>
        <w:gridCol w:w="109"/>
        <w:gridCol w:w="142"/>
        <w:gridCol w:w="155"/>
        <w:gridCol w:w="155"/>
        <w:gridCol w:w="156"/>
        <w:gridCol w:w="142"/>
        <w:gridCol w:w="142"/>
        <w:gridCol w:w="142"/>
        <w:gridCol w:w="142"/>
        <w:gridCol w:w="276"/>
        <w:gridCol w:w="806"/>
        <w:gridCol w:w="142"/>
        <w:gridCol w:w="109"/>
        <w:gridCol w:w="109"/>
        <w:gridCol w:w="109"/>
        <w:gridCol w:w="255"/>
        <w:gridCol w:w="256"/>
        <w:gridCol w:w="367"/>
        <w:gridCol w:w="109"/>
        <w:gridCol w:w="109"/>
        <w:gridCol w:w="109"/>
        <w:gridCol w:w="211"/>
        <w:gridCol w:w="616"/>
        <w:gridCol w:w="109"/>
        <w:gridCol w:w="109"/>
        <w:gridCol w:w="109"/>
        <w:gridCol w:w="109"/>
        <w:gridCol w:w="255"/>
        <w:gridCol w:w="256"/>
        <w:gridCol w:w="271"/>
        <w:gridCol w:w="109"/>
        <w:gridCol w:w="109"/>
        <w:gridCol w:w="109"/>
        <w:gridCol w:w="211"/>
        <w:gridCol w:w="511"/>
        <w:gridCol w:w="157"/>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578" w:type="dxa"/>
            <w:gridSpan w:val="18"/>
            <w:tcBorders/>
          </w:tcPr>
          <w:p>
            <w:pPr>
              <w:pStyle w:val="TableContents"/>
              <w:bidi w:val="0"/>
              <w:spacing w:before="0" w:after="283"/>
              <w:jc w:val="left"/>
              <w:rPr>
                <w:sz w:val="4"/>
                <w:szCs w:val="4"/>
              </w:rPr>
            </w:pPr>
            <w:r>
              <w:rPr>
                <w:sz w:val="4"/>
                <w:szCs w:val="4"/>
              </w:rPr>
            </w:r>
          </w:p>
        </w:tc>
      </w:tr>
      <w:tr>
        <w:trPr/>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42"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15"/>
            <w:tcBorders/>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cost categories may change from time to time and may not be comparable to similarly titled categories presented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 expense increased in aggregate dollars in fiscal year 2024 primarily due to (i) acquisition activity, including increased labor costs, professional fees and other costs to support our growth and acquisition strategy, (ii) increased costs related to salaries, wages, benefits and incentive compensation, (iii) legal expenses primarily associated with employee separation, (iv) higher accruals related to insurance claims, and (vi) general cost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depreciation and amortization expense (dollars in millions and as a percentage of total revenues) follows:</w:t>
      </w:r>
    </w:p>
    <w:tbl>
      <w:tblPr>
        <w:tblW w:w="8185" w:type="dxa"/>
        <w:jc w:val="left"/>
        <w:tblInd w:w="0" w:type="dxa"/>
        <w:tblLayout w:type="fixed"/>
        <w:tblCellMar>
          <w:top w:w="28" w:type="dxa"/>
          <w:left w:w="28" w:type="dxa"/>
          <w:bottom w:w="28" w:type="dxa"/>
          <w:right w:w="28" w:type="dxa"/>
        </w:tblCellMar>
      </w:tblPr>
      <w:tblGrid>
        <w:gridCol w:w="929"/>
        <w:gridCol w:w="817"/>
        <w:gridCol w:w="81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amortization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in fiscal year 2024 primarily due to (i) acquisitions, including the impact of accelerated amortization schedules of certain intangibles, (ii) investment in property and equipment in our existing operations, and (iii) higher landfill amortization expense related to changes in cost and other assumptions from the prior year period, more than offsetting lower landfill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Expense from Acquisition Activities</w:t>
      </w:r>
    </w:p>
    <w:p>
      <w:pPr>
        <w:pStyle w:val="TextBody"/>
        <w:bidi w:val="0"/>
        <w:spacing w:lineRule="auto" w:line="288" w:before="120" w:after="283"/>
        <w:jc w:val="left"/>
        <w:rPr/>
      </w:pPr>
      <w:r>
        <w:rPr>
          <w:rFonts w:ascii="Times New Roman;sans-serif" w:hAnsi="Times New Roman;sans-serif"/>
          <w:b w:val="false"/>
          <w:color w:val="000000"/>
          <w:sz w:val="20"/>
        </w:rPr>
        <w:t xml:space="preserve">In fiscal years 2024 and 2023, we recognized expenses of $24.9 million and $15.0 million, respectively, comprised primarily of legal, consulting, rebranding and other costs associated with the due diligence, acquisition and integration of acquired businesses. Fiscal year 2024 included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 See Note 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disclosure regarding acquisition activity.</w:t>
      </w:r>
    </w:p>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Landfill Capping (Recovery) Charge - Veneer Failure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we recorded a charge of $3.9 million consisting of (i) the write-off of historical payments associated with capping work that was deemed no longer viable due to a veneer failure and (ii) the related operating expenses incurred to clean up the affected capping material at a Subtitle D landfill we operate located in Seneca, New York. In fiscal year 2024, we recorded a recovery of $(1.7) million consisting of (i) a partial reversal of historical payments written off after an engineering evaluation determined that a portion of the area affected by the veneer failure was deemed to still be viable as well as (ii) a recovery of operating expenses incurred during the clean-up of the affected capping material as part of a settlement with a third party.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Southbridge Landfill Closure Charge</w:t>
      </w:r>
    </w:p>
    <w:p>
      <w:pPr>
        <w:pStyle w:val="TextBody"/>
        <w:bidi w:val="0"/>
        <w:spacing w:lineRule="auto" w:line="288" w:before="120" w:after="283"/>
        <w:jc w:val="left"/>
        <w:rPr/>
      </w:pPr>
      <w:r>
        <w:rPr>
          <w:rFonts w:ascii="Times New Roman;sans-serif" w:hAnsi="Times New Roman;sans-serif"/>
          <w:b w:val="false"/>
          <w:color w:val="000000"/>
          <w:sz w:val="20"/>
        </w:rPr>
        <w:t>In June 2017, we initiated the plan to cease operations of our landfill located in Southbridge, Massachusetts (“Southbridge Landfill”) and later closed it in November 2018 when the Southbridge Landfill reached its final capacity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Accordingly, in fiscal years 2024 and 2023, we recorded charges associated with the closure of our Southbridge Landfill (in millions) as follows:</w:t>
      </w:r>
    </w:p>
    <w:tbl>
      <w:tblPr>
        <w:tblW w:w="5086" w:type="dxa"/>
        <w:jc w:val="left"/>
        <w:tblInd w:w="0" w:type="dxa"/>
        <w:tblLayout w:type="fixed"/>
        <w:tblCellMar>
          <w:top w:w="28" w:type="dxa"/>
          <w:left w:w="28" w:type="dxa"/>
          <w:bottom w:w="28" w:type="dxa"/>
          <w:right w:w="28" w:type="dxa"/>
        </w:tblCellMar>
      </w:tblPr>
      <w:tblGrid>
        <w:gridCol w:w="1103"/>
        <w:gridCol w:w="969"/>
        <w:gridCol w:w="972"/>
        <w:gridCol w:w="211"/>
        <w:gridCol w:w="406"/>
        <w:gridCol w:w="109"/>
        <w:gridCol w:w="109"/>
        <w:gridCol w:w="109"/>
        <w:gridCol w:w="109"/>
        <w:gridCol w:w="211"/>
        <w:gridCol w:w="406"/>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Legal and transaction costs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Landfill closure project charge </w:t>
            </w:r>
            <w:r>
              <w:rPr>
                <w:rFonts w:ascii="Times New Roman;sans-serif" w:hAnsi="Times New Roman;sans-serif"/>
                <w:b w:val="false"/>
                <w:color w:val="000000"/>
                <w:sz w:val="16"/>
              </w:rPr>
              <w:t>(2)</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(1)We incurred legal costs as well as other transaction costs associated with various matters as part of the Southbridge Landfill closure.</w:t>
      </w:r>
    </w:p>
    <w:p>
      <w:pPr>
        <w:pStyle w:val="TextBody"/>
        <w:bidi w:val="0"/>
        <w:spacing w:lineRule="auto" w:line="288" w:before="60" w:after="283"/>
        <w:ind w:left="0" w:right="0" w:hanging="360"/>
        <w:jc w:val="left"/>
        <w:rPr/>
      </w:pPr>
      <w:r>
        <w:rPr>
          <w:rFonts w:ascii="Times New Roman;sans-serif" w:hAnsi="Times New Roman;sans-serif"/>
          <w:b w:val="false"/>
          <w:color w:val="000000"/>
          <w:sz w:val="20"/>
        </w:rPr>
        <w:t xml:space="preserve">(2)Includes a non-cash charge in fiscal year 2024 associated with our receipt of a final closure permit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third-party inspections, inspection of the final cover, leachate sampling, post-closure monitoring, and other post-closure requirements. We have revised the accrued post-closure liability for the Southbridge Landfill to reflect the estimated cost of satisfying the expanded Conditions as currently specified in the Closure Permit. See Note 10, </w:t>
      </w:r>
      <w:r>
        <w:rPr>
          <w:rFonts w:ascii="Times New Roman;sans-serif" w:hAnsi="Times New Roman;sans-serif"/>
          <w:b w:val="false"/>
          <w:i/>
          <w:color w:val="000000"/>
          <w:sz w:val="20"/>
        </w:rPr>
        <w:t>Final Capping, Closure and Post-Closure Costs,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disclosure regarding our landfill final capping, closure and post-closure costs.</w:t>
      </w:r>
    </w:p>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we recorded a charge of $6.2 million in connection with reaching an agreement at a mediation held on June 20, 2023 with the collective class members of a class action lawsuit relating to certain claims under the Fair Labor Standards Act of 1938 (“FLSA”) as well as state wage and hours laws. The settlement agreement, which received court approval, was executed on July 24, 2023 and subsequently paid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net increased $15.1 million in fiscal year 2024 due primarily to the roll over impacts of (i) entering into a $430.0 million aggregate principal amount term loan A facility to partially fund the GFL Acquisition in June 2023 and (ii) the issuance of $35.0 million aggregate principal amount of New York State Environmental Facilities Corporation Solid Waste Disposal Revenue Bonds Series 2020R-2 (“New York Bonds 2020R-2”) in August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For additional disclosure regarding interest expense, see Note 11,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 Modification Expense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we recognized debt modification expense of $1.4 million associated with agent fees and other third-party costs we paid during the refinancing of our Credit Agreement (as defined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from Termination of Bridge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we wrote-off the unamortized debt issuance costs and recognized a loss from termination of bridge financing upon the extinguishment of both a secured bridge financing agreement in connection with the GFL Acquisition of $3.7 million, and an unsecured bridge financing agreement in connection with the Twin Bridges Acquisition of $4.5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was $7.5 million in fiscal year 2024 and $11.6 million in fiscal year 2023. For fiscal year 2024, the provision for income taxes included $0.6 million of current income taxes and $6.9 million of deferred income taxes. The provision for income taxes in fiscal year 2023 included $4.4 million of current income taxes and $7.2 million of deferred income taxes. The effective rate for the fiscal year 2024 was 35.7% and is computed based on the statutory rate of 21% adjusted primarily for state taxes and certain nondeductible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22, 2017, the Tax Cuts and Jobs Act (the “TCJA”) was enacted. The TCJA significantly changed U.S. corporate income tax laws by, among other things, changing carryforward rules for net operating losses. Under the Internal Revenue Code, as amended by the TCJA, federal net operating loss carryforwards generated before the 2018 tax year continue to be carried forward for 20 years and are able to fully offset taxable income (“pre-2018 net operating losses”). Federal net operating losses generated following the 2017 tax year are carried forward indefinitely, but generally may only offset up to 80% of taxable income earned in a tax year (“post-2017 net operating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bonus depreciation and other elections made on the 2024 tax return when filed, we project to carry no pre-2018 net operating losses and $83.2 million of post-2017 net operating losses into the 2025 tax year.</w:t>
      </w:r>
    </w:p>
    <w:p>
      <w:pPr>
        <w:pStyle w:val="TextBody"/>
        <w:bidi w:val="0"/>
        <w:spacing w:lineRule="auto" w:line="288" w:before="120" w:after="283"/>
        <w:jc w:val="left"/>
        <w:rPr/>
      </w:pPr>
      <w:r>
        <w:rPr>
          <w:rFonts w:ascii="Times New Roman;sans-serif" w:hAnsi="Times New Roman;sans-serif"/>
          <w:b w:val="false"/>
          <w:color w:val="000000"/>
          <w:sz w:val="20"/>
        </w:rPr>
        <w:t>In addition, the TCJA added limitations on the deductibility of interest expense that became more restrictive beginning in tax year 2023 and limits the deductibility of some of our interest expense.</w:t>
      </w:r>
      <w:r>
        <w:rPr>
          <w:color w:val="000000"/>
        </w:rPr>
        <w:t xml:space="preserve"> </w:t>
      </w:r>
      <w:r>
        <w:rPr>
          <w:rFonts w:ascii="Times New Roman;sans-serif" w:hAnsi="Times New Roman;sans-serif"/>
          <w:b w:val="false"/>
          <w:color w:val="000000"/>
          <w:sz w:val="20"/>
        </w:rPr>
        <w:t>Depending on elections made on the 2024 return when filed, we expect a combined $36.0 million of interest expense to be disallowed for tax years 2023 and 2024. Interest expense disallowed is carried forward indefinitely for deduction in later years subject to said interest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report selected information about our reportable operating segments in a manner consistent with that used for internal management reporting. We classify our solid waste operations on a geographic basis through regional operating segments, our Eastern, Western and Mid-Atlantic regions. Revenues associated with our solid waste operations are derived mainly from solid waste collection and disposal services, including landfill, transfer station and transportation, while also providing landfill gas-to-energy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services provided by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Operating income by segment reported in fiscal year 2023 has been updated to conform with the presentation for fiscal year 2024, which does not have Corporate Entities costs allocated to our reportable operating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revenues by reportable operating segment (in millions) follows:</w:t>
      </w:r>
    </w:p>
    <w:tbl>
      <w:tblPr>
        <w:tblW w:w="5502" w:type="dxa"/>
        <w:jc w:val="left"/>
        <w:tblInd w:w="0" w:type="dxa"/>
        <w:tblLayout w:type="fixed"/>
        <w:tblCellMar>
          <w:top w:w="28" w:type="dxa"/>
          <w:left w:w="28" w:type="dxa"/>
          <w:bottom w:w="28" w:type="dxa"/>
          <w:right w:w="28" w:type="dxa"/>
        </w:tblCellMar>
      </w:tblPr>
      <w:tblGrid>
        <w:gridCol w:w="612"/>
        <w:gridCol w:w="537"/>
        <w:gridCol w:w="546"/>
        <w:gridCol w:w="211"/>
        <w:gridCol w:w="766"/>
        <w:gridCol w:w="109"/>
        <w:gridCol w:w="109"/>
        <w:gridCol w:w="109"/>
        <w:gridCol w:w="109"/>
        <w:gridCol w:w="211"/>
        <w:gridCol w:w="766"/>
        <w:gridCol w:w="109"/>
        <w:gridCol w:w="109"/>
        <w:gridCol w:w="109"/>
        <w:gridCol w:w="109"/>
        <w:gridCol w:w="211"/>
        <w:gridCol w:w="61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operating income (loss) by operating segment (in millions) follows:</w:t>
      </w:r>
    </w:p>
    <w:tbl>
      <w:tblPr>
        <w:tblW w:w="5324" w:type="dxa"/>
        <w:jc w:val="left"/>
        <w:tblInd w:w="0" w:type="dxa"/>
        <w:tblLayout w:type="fixed"/>
        <w:tblCellMar>
          <w:top w:w="28" w:type="dxa"/>
          <w:left w:w="28" w:type="dxa"/>
          <w:bottom w:w="28" w:type="dxa"/>
          <w:right w:w="28" w:type="dxa"/>
        </w:tblCellMar>
      </w:tblPr>
      <w:tblGrid>
        <w:gridCol w:w="612"/>
        <w:gridCol w:w="537"/>
        <w:gridCol w:w="546"/>
        <w:gridCol w:w="261"/>
        <w:gridCol w:w="632"/>
        <w:gridCol w:w="134"/>
        <w:gridCol w:w="134"/>
        <w:gridCol w:w="134"/>
        <w:gridCol w:w="134"/>
        <w:gridCol w:w="261"/>
        <w:gridCol w:w="632"/>
        <w:gridCol w:w="134"/>
        <w:gridCol w:w="109"/>
        <w:gridCol w:w="109"/>
        <w:gridCol w:w="109"/>
        <w:gridCol w:w="211"/>
        <w:gridCol w:w="48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Eastern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Eastern region solid waste revenues) follows:</w:t>
      </w:r>
    </w:p>
    <w:tbl>
      <w:tblPr>
        <w:tblW w:w="5560" w:type="dxa"/>
        <w:jc w:val="left"/>
        <w:tblInd w:w="0" w:type="dxa"/>
        <w:tblLayout w:type="fixed"/>
        <w:tblCellMar>
          <w:top w:w="28" w:type="dxa"/>
          <w:left w:w="28" w:type="dxa"/>
          <w:bottom w:w="28" w:type="dxa"/>
          <w:right w:w="28" w:type="dxa"/>
        </w:tblCellMar>
      </w:tblPr>
      <w:tblGrid>
        <w:gridCol w:w="918"/>
        <w:gridCol w:w="809"/>
        <w:gridCol w:w="823"/>
        <w:gridCol w:w="355"/>
        <w:gridCol w:w="861"/>
        <w:gridCol w:w="183"/>
        <w:gridCol w:w="183"/>
        <w:gridCol w:w="183"/>
        <w:gridCol w:w="183"/>
        <w:gridCol w:w="254"/>
        <w:gridCol w:w="257"/>
        <w:gridCol w:w="551"/>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Period-to-Period Change For </w:t>
              <w:br/>
              <w:t>Fiscal Year 2024 vs Fiscal Year 2023</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in fiscal year 2024 as compared to the prior year, primarily driven by (i) the contribution from acquisitions, (ii) favorable collection pricing of $18.8 million, or 7.0% as a percentage of collection revenues, (iii) higher disposal volume of $5.1 million, or 5.2% as a percentage of disposal revenues, (iv) favorable disposal pricing of $3.4 million, or 3.4% as a percentage of disposal revenues, (v) higher commodity price and volume revenues primarily associated with energy volumes, and (vi) higher collection volume of $0.2 million, or 0.1% as a percentage of collection revenues; partially offset by (a) lower surcharge and other fees revenues due to lower E&amp;E Fee revenues associated with our fuel cost recovery program related to lower diesel fuel prices and lower SRA Fee revenues due to higher recycled commodity prices as compared to the prior year period, and (b) lower processing volume of $(0.3) million, or (3.0)% as a percentage of processing operations.</w:t>
      </w:r>
    </w:p>
    <w:p>
      <w:pPr>
        <w:pStyle w:val="TextBody"/>
        <w:bidi w:val="0"/>
        <w:spacing w:lineRule="auto" w:line="288" w:before="60" w:after="283"/>
        <w:jc w:val="left"/>
        <w:rPr/>
      </w:pPr>
      <w:r>
        <w:rPr>
          <w:rFonts w:ascii="Times New Roman;sans-serif" w:hAnsi="Times New Roman;sans-serif"/>
          <w:b w:val="false"/>
          <w:color w:val="000000"/>
          <w:sz w:val="20"/>
        </w:rPr>
        <w:t>See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Annual Report on Form 10-K for additional information regarding our E&amp;E Fee and SRA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val="false"/>
          <w:color w:val="000000"/>
          <w:sz w:val="20"/>
        </w:rPr>
        <w:t>Operating income increased in fiscal year 2024 by $6.7 million as compared to the prior year. The year-over-year increase was driven by (i) revenues growth, described above, (ii) higher intercompany related operating income, (iii) lower costs due to improved routing efficiencies, and (d) a charge for the FLSA-related legal settlement in fiscal year 2023; partially offset by (a) the charge related to the Southbridge Landfill, (b) higher costs associated with operating and supporting acquired businesses, (c) increased depreciation expense due to acquisitions and investment in property and equipment, (d) general cost inflation, including for disposal, labor, and maintenance costs, (e) higher leachate disposal costs, (f) higher accretion and landfill amortization expense associated with changes in the timing and cost estimates of our closure, post-closure, and capping obligations, and (g) higher accruals related to insurance claims. See further discussion about the charge related to the Southbridge Landfill and the legal settlement charge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Western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Western region solid waste revenues) follows:</w:t>
      </w:r>
    </w:p>
    <w:tbl>
      <w:tblPr>
        <w:tblW w:w="5560" w:type="dxa"/>
        <w:jc w:val="left"/>
        <w:tblInd w:w="0" w:type="dxa"/>
        <w:tblLayout w:type="fixed"/>
        <w:tblCellMar>
          <w:top w:w="28" w:type="dxa"/>
          <w:left w:w="28" w:type="dxa"/>
          <w:bottom w:w="28" w:type="dxa"/>
          <w:right w:w="28" w:type="dxa"/>
        </w:tblCellMar>
      </w:tblPr>
      <w:tblGrid>
        <w:gridCol w:w="918"/>
        <w:gridCol w:w="809"/>
        <w:gridCol w:w="823"/>
        <w:gridCol w:w="355"/>
        <w:gridCol w:w="861"/>
        <w:gridCol w:w="183"/>
        <w:gridCol w:w="183"/>
        <w:gridCol w:w="183"/>
        <w:gridCol w:w="183"/>
        <w:gridCol w:w="254"/>
        <w:gridCol w:w="257"/>
        <w:gridCol w:w="551"/>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Period-to-Period Change For </w:t>
              <w:br/>
              <w:t>Fiscal Year 2024 vs Fiscal Year 2023</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in fiscal year 2024 as compared to the prior year, primarily driven by (i) the contribution from acquisitions, (ii) favorable collection pricing of $22.5 million, or 6.3% as a percentage of collection revenues, (iii) favorable disposal pricing of $6.1 million, or 4.2% as a percentage of disposal revenues, and (iv) higher commodity price and volume revenues associated with favorable commodity and energy pricing, higher energy volumes, and to a lesser extent higher commodity processing volumes; partially offset by (a) lower disposal volume of $(15.6) million, or (10.7)% as a percentage of disposal revenues, mainly driven by lower landfill C&amp;D and special waste volumes, (b) lower surcharge and other fees revenues due to lower E&amp;E Fee revenues associated with our fuel cost recovery program related to lower diesel fuel prices and lower SRA Fee revenues due to higher recycled commodity prices as compared to the prior year period, partly counteracted by higher revenues from fees related to legacy fuel and environmental cost recovery programs associated with acquired businesses, and (c) lower collection volume of $(3.2) million, or (0.9)% as a percentage of collection operations, due to customer churn.</w:t>
      </w:r>
    </w:p>
    <w:p>
      <w:pPr>
        <w:pStyle w:val="TextBody"/>
        <w:bidi w:val="0"/>
        <w:spacing w:lineRule="auto" w:line="288" w:before="60" w:after="283"/>
        <w:jc w:val="left"/>
        <w:rPr/>
      </w:pPr>
      <w:r>
        <w:rPr>
          <w:rFonts w:ascii="Times New Roman;sans-serif" w:hAnsi="Times New Roman;sans-serif"/>
          <w:b w:val="false"/>
          <w:color w:val="000000"/>
          <w:sz w:val="20"/>
        </w:rPr>
        <w:t>See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Annual Report on Form 10-K for additional information regarding our E&amp;E Fee and SRA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val="false"/>
          <w:color w:val="000000"/>
          <w:sz w:val="20"/>
        </w:rPr>
        <w:t>Operating income increased in fiscal year 2024 by $11.7 million as compared to the prior year. The year-over-year increase was due to (i) revenues growth, described above, (ii) higher intercompany related operating income, (iii) the recovery in fiscal year 2024 and the charge in fiscal year 2023 related to the landfill capping veneer failure, (iv) lower costs due to improved routing efficiencies and (v) a charge for the FLSA-related legal settlement in fiscal year 2023; partially offset by (a) higher costs associated with operating and supporting acquired businesses, including the impact of accelerated amortization schedules of certain intangibles, (b) increased depreciation expense due to acquisitions and investment in property and equipment, (c) general cost inflation, including for disposal, labor, and maintenance costs, (d) delays in the delivery of fleet vehicles resulting in higher short term rental and vehicle maintenance costs, (e) higher leachate disposal costs, (f) higher accretion and landfill amortization expense associated with changes in the timing and cost estimates of our closure, post-closure, and capping obligations, (g) accruals related to insurance claims, and (h) a gain on resolution of acquisition-related contingent consideration in fiscal year 2023 associated with the reversal of a contingency for a transfer station permit expansion that was deemed no longer viable. See further discussion about the legal settlement and the landfill capping charge - veneer failure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Mid-Atlantic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follows:</w:t>
      </w:r>
    </w:p>
    <w:tbl>
      <w:tblPr>
        <w:tblW w:w="5243" w:type="dxa"/>
        <w:jc w:val="left"/>
        <w:tblInd w:w="0" w:type="dxa"/>
        <w:tblLayout w:type="fixed"/>
        <w:tblCellMar>
          <w:top w:w="28" w:type="dxa"/>
          <w:left w:w="28" w:type="dxa"/>
          <w:bottom w:w="28" w:type="dxa"/>
          <w:right w:w="28" w:type="dxa"/>
        </w:tblCellMar>
      </w:tblPr>
      <w:tblGrid>
        <w:gridCol w:w="783"/>
        <w:gridCol w:w="690"/>
        <w:gridCol w:w="702"/>
        <w:gridCol w:w="632"/>
        <w:gridCol w:w="1846"/>
        <w:gridCol w:w="327"/>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Period-to-Period Change For </w:t>
              <w:br/>
              <w:t>Fiscal Year 2024 vs Fiscal Year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Solid waste revenues </w:t>
            </w:r>
            <w:r>
              <w:rPr>
                <w:rFonts w:ascii="Times New Roman;sans-serif" w:hAnsi="Times New Roman;sans-serif"/>
                <w:b w:val="false"/>
                <w:color w:val="000000"/>
                <w:sz w:val="16"/>
              </w:rPr>
              <w:t>(1)</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(1)Our Mid-Atlantic region operating segment, consisting of collection and transfer station operations, commenced on July 1, 2023 following the GFL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loss of $(18.0) million in fiscal year 2024 was impacted by (i) $50.6 million of depreciation and amortization expense, including that of acquired assets, new investment in property and equipment and accelerated amortization schedules of certain acquired intangibles, as well as (ii) $14.8 million of expense from acquisition activities, comprised primarily of integration costs, including rebranding efforts and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w:t>
      </w:r>
    </w:p>
    <w:p>
      <w:pPr>
        <w:pStyle w:val="TextBody"/>
        <w:bidi w:val="0"/>
        <w:spacing w:lineRule="auto" w:line="288" w:before="120" w:after="120"/>
        <w:jc w:val="left"/>
        <w:rPr/>
      </w:pPr>
      <w:r>
        <w:rPr>
          <w:rFonts w:ascii="Times New Roman;sans-serif" w:hAnsi="Times New Roman;sans-serif"/>
          <w:b w:val="false"/>
          <w:color w:val="000000"/>
          <w:sz w:val="20"/>
        </w:rPr>
        <w:t>The operating loss of $(4.6) million in fiscal year 2023 was impacted by (i) $20.3 million of depreciation and amortization expense, including the impact of accelerated amortization schedules of certain acquired intangibles, as well as (ii) $5.3 million of expense from acquisition activities, comprised of legal, consulting and integration costs related to the GFL Acquisition. 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Resource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Resource Solutions revenues (dollars in millions and as percentage growth of Resource Solutions revenues) follows:</w:t>
      </w:r>
    </w:p>
    <w:tbl>
      <w:tblPr>
        <w:tblW w:w="5585" w:type="dxa"/>
        <w:jc w:val="left"/>
        <w:tblInd w:w="0" w:type="dxa"/>
        <w:tblLayout w:type="fixed"/>
        <w:tblCellMar>
          <w:top w:w="28" w:type="dxa"/>
          <w:left w:w="28" w:type="dxa"/>
          <w:bottom w:w="28" w:type="dxa"/>
          <w:right w:w="28" w:type="dxa"/>
        </w:tblCellMar>
      </w:tblPr>
      <w:tblGrid>
        <w:gridCol w:w="885"/>
        <w:gridCol w:w="780"/>
        <w:gridCol w:w="794"/>
        <w:gridCol w:w="359"/>
        <w:gridCol w:w="870"/>
        <w:gridCol w:w="185"/>
        <w:gridCol w:w="185"/>
        <w:gridCol w:w="185"/>
        <w:gridCol w:w="185"/>
        <w:gridCol w:w="254"/>
        <w:gridCol w:w="257"/>
        <w:gridCol w:w="492"/>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Period-to-Period Change For </w:t>
              <w:br/>
              <w:t>Fiscal Year 2024 vs Fiscal Year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revenues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in fiscal year 2024 as compared to the prior year, primarily driven by (i) the favorable impact of higher recycled commodity pricing on processing revenues of $20.9 million, or 24.5% as a percentage of related revenues, (ii) higher National Accounts business volumes related to new business growth of $8.0 million, or 4.3% as a percentage of National Accounts revenues, (iii) the contribution from acquisitions, (iv) higher recycling volumes of $6.6 million, or 7.8% as a percentage of related revenues, (v) National Accounts business pricing growth of $5.6 million, or 3.0% as a percentage of National Accounts revenues, (vi) higher other processing price of $1.3 million, or 6.2% as a percentage of related revenues, and (vii) higher other processing volumes of $0.2 million, or 0.8% as a percentage of related revenues; partially offset by (a) lower tipping fees primarily related to contract structures that work to offset recycled commodity price movements of $(12.1) million, or (14.2)% as a percentage of related revenues, and (b) lower surcharges and other fees revenues in our National Accounts business due to lower E&amp;E Fee revenues associated with our fuel cost recovery program related to lower diesel fuel prices.</w:t>
      </w:r>
    </w:p>
    <w:p>
      <w:pPr>
        <w:pStyle w:val="TextBody"/>
        <w:bidi w:val="0"/>
        <w:spacing w:lineRule="auto" w:line="288" w:before="60" w:after="120"/>
        <w:jc w:val="left"/>
        <w:rPr/>
      </w:pPr>
      <w:r>
        <w:rPr>
          <w:rFonts w:ascii="Times New Roman;sans-serif" w:hAnsi="Times New Roman;sans-serif"/>
          <w:b w:val="false"/>
          <w:color w:val="000000"/>
          <w:sz w:val="20"/>
        </w:rPr>
        <w:t>See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included in this Annual Report on Form 10-K for additional information regarding our E&amp;E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in fiscal year 2024 by $12.0 million as compared to the prior year. The year-over-year increase was due to (i) revenues growth, described above, (ii) the impact on direct costs associated with hauling and transportation relating to municipal biosolid volumes in our National Accounts business, and (iii) operating improvements at our Boston, Massachusetts materials recovery facility (“MRF”) related to the equipment upgrade; partially offset by (a) higher costs associated with operating and supporting acquired businesses, including the impact of accelerated amortization schedules of certain intangibles, (b) increased depreciation expense due to acquisitions and investment in property and equipment, (c) general cost inflation, including for disposal, labor, and maintenance costs and (d) lower intercompany related operating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Corporate Entities </w:t>
      </w:r>
    </w:p>
    <w:p>
      <w:pPr>
        <w:pStyle w:val="TextBody"/>
        <w:bidi w:val="0"/>
        <w:spacing w:lineRule="auto" w:line="288" w:before="120" w:after="283"/>
        <w:jc w:val="left"/>
        <w:rPr/>
      </w:pPr>
      <w:r>
        <w:rPr>
          <w:rFonts w:ascii="Times New Roman;sans-serif" w:hAnsi="Times New Roman;sans-serif"/>
          <w:b w:val="false"/>
          <w:color w:val="000000"/>
          <w:sz w:val="20"/>
        </w:rPr>
        <w:t>Corporate Entities operating loss reflects costs, including legal, tax, information technology, human resources, certain finance and accounting and other administrative functions, depreciation and amortization expense and certain expense from acquisition activities, which are not allocated to our reportable operating segments. Operating loss increased in fiscal year 2024 by $(24.6) million from the prior year due primarily to (i) higher costs associated with supporting acquired businesses and (ii) general cost inflation for salaries, wages, benefits, incentive compensation, professional services and other overhead costs including those associated with marketing, sales and community relations efforts. See further discussion about the expense from acquisition activities above in “</w:t>
      </w: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monitor our actual and forecasted cash flows, our liquidity, and our capital requirements in order to properly manage our liquidity needs as we move forward based on the capital intensive nature of our business and our growth acquisition strategy. As of December 31, 2024, we had $675.4 million of undrawn capacity under our $700.0 million revolving credit facility (“Revolving Credit Facility”) and $383.3 million of cash, cash equivalents and restricted cash to help meet our short-term and long-term liquidity needs. We expect existing cash, cash equivalents and restricted cash combined with available cash flows from operations and financing activities to continue to be sufficient to fund our operating activities and cash commitments for investing and financing activities for at least the next 12 months and thereafter for the foreseeable future.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balance sheet items relevant to our liquidity (in millions) follows:</w:t>
      </w:r>
    </w:p>
    <w:tbl>
      <w:tblPr>
        <w:tblW w:w="9536" w:type="dxa"/>
        <w:jc w:val="left"/>
        <w:tblInd w:w="0" w:type="dxa"/>
        <w:tblLayout w:type="fixed"/>
        <w:tblCellMar>
          <w:top w:w="28" w:type="dxa"/>
          <w:left w:w="28" w:type="dxa"/>
          <w:bottom w:w="28" w:type="dxa"/>
          <w:right w:w="28" w:type="dxa"/>
        </w:tblCellMar>
      </w:tblPr>
      <w:tblGrid>
        <w:gridCol w:w="2075"/>
        <w:gridCol w:w="1821"/>
        <w:gridCol w:w="1833"/>
        <w:gridCol w:w="211"/>
        <w:gridCol w:w="766"/>
        <w:gridCol w:w="109"/>
        <w:gridCol w:w="109"/>
        <w:gridCol w:w="109"/>
        <w:gridCol w:w="109"/>
        <w:gridCol w:w="211"/>
        <w:gridCol w:w="766"/>
        <w:gridCol w:w="109"/>
        <w:gridCol w:w="109"/>
        <w:gridCol w:w="109"/>
        <w:gridCol w:w="109"/>
        <w:gridCol w:w="211"/>
        <w:gridCol w:w="61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excluding current maturities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 excluding unamortized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cash, cash equivalents and restricted cash, increased $24.6 million, and current liabilities, excluding current maturities of debt, increased $21.6 in fiscal year 2024, resulting in a $3.0 million increase in working capital, net (defined as current assets, excluding cash, cash equivalents and restricted cash, minus current liabilities, excluding current maturities of debt) from $(37.7) million as of December 31, 2023 to $(34.7) million as of December 31, 2024. We strive to maintain a negative working capital by driving shorter days sales outstanding as compared to days payable outstanding.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Summary of Cash Flow Activity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increased $162.4 million in fiscal year 2024. A summary of cash flows (in millions) follows:</w:t>
      </w:r>
    </w:p>
    <w:tbl>
      <w:tblPr>
        <w:tblW w:w="7347" w:type="dxa"/>
        <w:jc w:val="left"/>
        <w:tblInd w:w="0" w:type="dxa"/>
        <w:tblLayout w:type="fixed"/>
        <w:tblCellMar>
          <w:top w:w="28" w:type="dxa"/>
          <w:left w:w="28" w:type="dxa"/>
          <w:bottom w:w="28" w:type="dxa"/>
          <w:right w:w="28" w:type="dxa"/>
        </w:tblCellMar>
      </w:tblPr>
      <w:tblGrid>
        <w:gridCol w:w="1254"/>
        <w:gridCol w:w="1104"/>
        <w:gridCol w:w="1107"/>
        <w:gridCol w:w="211"/>
        <w:gridCol w:w="691"/>
        <w:gridCol w:w="109"/>
        <w:gridCol w:w="109"/>
        <w:gridCol w:w="109"/>
        <w:gridCol w:w="109"/>
        <w:gridCol w:w="211"/>
        <w:gridCol w:w="84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rPr>
        <w:t>Cash flows from operating activities.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operating cash flows (in millions) follows:</w:t>
      </w:r>
    </w:p>
    <w:tbl>
      <w:tblPr>
        <w:tblW w:w="8963" w:type="dxa"/>
        <w:jc w:val="left"/>
        <w:tblInd w:w="0" w:type="dxa"/>
        <w:tblLayout w:type="fixed"/>
        <w:tblCellMar>
          <w:top w:w="28" w:type="dxa"/>
          <w:left w:w="28" w:type="dxa"/>
          <w:bottom w:w="28" w:type="dxa"/>
          <w:right w:w="28" w:type="dxa"/>
        </w:tblCellMar>
      </w:tblPr>
      <w:tblGrid>
        <w:gridCol w:w="2432"/>
        <w:gridCol w:w="2132"/>
        <w:gridCol w:w="2155"/>
        <w:gridCol w:w="211"/>
        <w:gridCol w:w="616"/>
        <w:gridCol w:w="109"/>
        <w:gridCol w:w="109"/>
        <w:gridCol w:w="109"/>
        <w:gridCol w:w="109"/>
        <w:gridCol w:w="211"/>
        <w:gridCol w:w="616"/>
        <w:gridCol w:w="154"/>
      </w:tblGrid>
      <w:tr>
        <w:trPr/>
        <w:tc>
          <w:tcPr>
            <w:tcW w:w="24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December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accretion on landfill and environmental remediation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and charges,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termination of bridge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capping (recovery) charge - veneer failure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Net cash provided by operating activities increased $48.3 million in fiscal year 2024 as compared to fiscal year 2023. This was the result of revenue growth driven by acquisition activity, partially offset by higher interest expense and an increase in the unfavorable cash flow impact associated with the changes in our assets and liabilities, net of effects of acquisitions and divestitures. For discussion of our operational performance in fiscal year 2024 as compared to fiscal year 2023, including discussions of our Loss from termination of bridge financing and Landfill capping (recovery) charge - veneer failure, see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included in this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240" w:after="283"/>
        <w:jc w:val="left"/>
        <w:rPr/>
      </w:pPr>
      <w:r>
        <w:rPr>
          <w:rFonts w:ascii="Times New Roman;sans-serif" w:hAnsi="Times New Roman;sans-serif"/>
          <w:b w:val="false"/>
          <w:i/>
          <w:color w:val="000000"/>
          <w:sz w:val="20"/>
        </w:rPr>
        <w:t>Cash flows from investing activities</w:t>
      </w:r>
      <w:r>
        <w:rPr>
          <w:rFonts w:ascii="Times New Roman;sans-serif" w:hAnsi="Times New Roman;sans-serif"/>
          <w:b w:val="false"/>
          <w:color w:val="000000"/>
          <w:sz w:val="2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investing cash flows (in millions) follows: </w:t>
      </w:r>
    </w:p>
    <w:tbl>
      <w:tblPr>
        <w:tblW w:w="6368" w:type="dxa"/>
        <w:jc w:val="left"/>
        <w:tblInd w:w="0" w:type="dxa"/>
        <w:tblLayout w:type="fixed"/>
        <w:tblCellMar>
          <w:top w:w="28" w:type="dxa"/>
          <w:left w:w="28" w:type="dxa"/>
          <w:bottom w:w="28" w:type="dxa"/>
          <w:right w:w="28" w:type="dxa"/>
        </w:tblCellMar>
      </w:tblPr>
      <w:tblGrid>
        <w:gridCol w:w="1386"/>
        <w:gridCol w:w="1216"/>
        <w:gridCol w:w="1222"/>
        <w:gridCol w:w="211"/>
        <w:gridCol w:w="691"/>
        <w:gridCol w:w="109"/>
        <w:gridCol w:w="109"/>
        <w:gridCol w:w="109"/>
        <w:gridCol w:w="109"/>
        <w:gridCol w:w="211"/>
        <w:gridCol w:w="84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property insurance settlement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investing cash flows follows:</w:t>
      </w:r>
    </w:p>
    <w:p>
      <w:pPr>
        <w:pStyle w:val="TextBody"/>
        <w:bidi w:val="0"/>
        <w:spacing w:lineRule="auto" w:line="288" w:before="120" w:after="283"/>
        <w:jc w:val="left"/>
        <w:rPr/>
      </w:pPr>
      <w:r>
        <w:rPr>
          <w:rFonts w:ascii="Times New Roman;sans-serif" w:hAnsi="Times New Roman;sans-serif"/>
          <w:b w:val="false"/>
          <w:i/>
          <w:color w:val="000000"/>
          <w:sz w:val="20"/>
        </w:rPr>
        <w:t>Acquisitions, net of cash acquired</w:t>
      </w:r>
      <w:r>
        <w:rPr>
          <w:rFonts w:ascii="Times New Roman;sans-serif" w:hAnsi="Times New Roman;sans-serif"/>
          <w:b w:val="false"/>
          <w:color w:val="000000"/>
          <w:sz w:val="20"/>
        </w:rPr>
        <w:t>. In fiscal year 2024, we acquired eight businesses for total consideration of $467.9 million, including $469.2 million in cash, and received $(0.6) million, net in cash after working capital settlements, holdbacks and other consideration owed payments, as compared to fiscal year 2023 during which we acquired seven businesses for total consideration of $846.6 million, including $846.7 million in cash, and paid $5.1 million in holdback payments on businesses previously acquired.</w:t>
      </w:r>
    </w:p>
    <w:p>
      <w:pPr>
        <w:pStyle w:val="TextBody"/>
        <w:bidi w:val="0"/>
        <w:spacing w:lineRule="auto" w:line="288" w:before="120" w:after="283"/>
        <w:jc w:val="left"/>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Capital expenditures were $48.3 million higher in fiscal year 2024 as compared to fiscal year 2023 primarily due to higher capital spend driven by (i) acquisition activity, (ii) spend related to the retrofitting of our Willimantic, Connecticut MRF, (iii) landfill development, (iv) increased investment in our fleet, and (v) general inflation in capital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i/>
          <w:color w:val="000000"/>
          <w:sz w:val="20"/>
        </w:rPr>
        <w:t>Cash flows from financing activities</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financing cash flows (in millions) follows:</w:t>
      </w:r>
    </w:p>
    <w:tbl>
      <w:tblPr>
        <w:tblW w:w="7088" w:type="dxa"/>
        <w:jc w:val="left"/>
        <w:tblInd w:w="0" w:type="dxa"/>
        <w:tblLayout w:type="fixed"/>
        <w:tblCellMar>
          <w:top w:w="28" w:type="dxa"/>
          <w:left w:w="28" w:type="dxa"/>
          <w:bottom w:w="28" w:type="dxa"/>
          <w:right w:w="28" w:type="dxa"/>
        </w:tblCellMar>
      </w:tblPr>
      <w:tblGrid>
        <w:gridCol w:w="1807"/>
        <w:gridCol w:w="1591"/>
        <w:gridCol w:w="1596"/>
        <w:gridCol w:w="196"/>
        <w:gridCol w:w="556"/>
        <w:gridCol w:w="109"/>
        <w:gridCol w:w="109"/>
        <w:gridCol w:w="109"/>
        <w:gridCol w:w="109"/>
        <w:gridCol w:w="196"/>
        <w:gridCol w:w="556"/>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 borrowings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share-based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public offering of Class A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modification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financing cash flows follows:</w:t>
      </w:r>
    </w:p>
    <w:p>
      <w:pPr>
        <w:pStyle w:val="TextBody"/>
        <w:bidi w:val="0"/>
        <w:spacing w:lineRule="auto" w:line="288" w:before="120" w:after="283"/>
        <w:jc w:val="left"/>
        <w:rPr/>
      </w:pPr>
      <w:r>
        <w:rPr>
          <w:rFonts w:ascii="Times New Roman;sans-serif" w:hAnsi="Times New Roman;sans-serif"/>
          <w:b w:val="false"/>
          <w:i/>
          <w:color w:val="000000"/>
          <w:sz w:val="20"/>
        </w:rPr>
        <w:t>Debt activity</w:t>
      </w:r>
      <w:r>
        <w:rPr>
          <w:rFonts w:ascii="Times New Roman;sans-serif" w:hAnsi="Times New Roman;sans-serif"/>
          <w:b w:val="false"/>
          <w:color w:val="000000"/>
          <w:sz w:val="20"/>
        </w:rPr>
        <w:t>. Net cash associated with debt activity decreased $(375.7) million in fiscal year 2024 compared to fiscal year 2023. In September 2024, we entered into the second amended and restated credit agreement (“Credit Agreement”), which amended and restated in its entirety our amended and restated credit agreement (“Existing Credit Agreement”). The Credit Agreement provides for a $800.0 million aggregate principal amount term loan A facility (“Term Loan Facility”) and a $700.0 million Revolving Credit Facility, with a $155.0 million sublimit for letters of credit (collectively, the “Credit Facility”). The proceeds of the Credit Facility refinanced the $769.3 million at December 31, 2023, aggregate principal amount term loan A facilities under the Existing Credit Agreement, including the $430.0 million at December 31, 2023, aggregate principal amount 2023 term loan A facility we entered into in June 2023. In addition to the activity related to our Credit Agreement and Existing Credit Agreement, we completed the issuance of $45.0 million aggregate principal amount of Finance Authority of Maine Solid Waste Disposal Revenue Bonds Series 2024 in December 2024 and in August 2023 we completed the issuance of $35.0 million aggregate principal amount of New York Bonds 2020R-2.</w:t>
      </w:r>
    </w:p>
    <w:p>
      <w:pPr>
        <w:pStyle w:val="TextBody"/>
        <w:bidi w:val="0"/>
        <w:spacing w:lineRule="auto" w:line="288" w:before="120" w:after="283"/>
        <w:jc w:val="left"/>
        <w:rPr/>
      </w:pPr>
      <w:r>
        <w:rPr>
          <w:rFonts w:ascii="Times New Roman;sans-serif" w:hAnsi="Times New Roman;sans-serif"/>
          <w:b w:val="false"/>
          <w:i/>
          <w:color w:val="000000"/>
          <w:sz w:val="20"/>
        </w:rPr>
        <w:t xml:space="preserve">Payments of debt issuance costs. </w:t>
      </w:r>
      <w:r>
        <w:rPr>
          <w:rFonts w:ascii="Times New Roman;sans-serif" w:hAnsi="Times New Roman;sans-serif"/>
          <w:b w:val="false"/>
          <w:color w:val="000000"/>
          <w:sz w:val="20"/>
        </w:rPr>
        <w:t>We paid $6.6 million of debt issuance costs in fiscal year 2024 primarily related to refinancing activities associated with entering into the Credit Agreement as compared to $12.8 million of debt issuance costs in fiscal year 2023 related primarily to bridge financing activities associated with the GFL Acquisition and the Twin Bridges Acquisition.</w:t>
      </w:r>
    </w:p>
    <w:p>
      <w:pPr>
        <w:pStyle w:val="TextBody"/>
        <w:bidi w:val="0"/>
        <w:spacing w:lineRule="auto" w:line="288" w:before="120" w:after="283"/>
        <w:jc w:val="left"/>
        <w:rPr/>
      </w:pPr>
      <w:r>
        <w:rPr>
          <w:rFonts w:ascii="Times New Roman;sans-serif" w:hAnsi="Times New Roman;sans-serif"/>
          <w:b w:val="false"/>
          <w:i/>
          <w:color w:val="000000"/>
          <w:sz w:val="20"/>
        </w:rPr>
        <w:t>Payment of debt modification costs</w:t>
      </w:r>
      <w:r>
        <w:rPr>
          <w:rFonts w:ascii="Times New Roman;sans-serif" w:hAnsi="Times New Roman;sans-serif"/>
          <w:b w:val="false"/>
          <w:color w:val="000000"/>
          <w:sz w:val="20"/>
        </w:rPr>
        <w:t>. We paid $1.4 million of agent fees and other third-party costs in fiscal year 2024 associated with the refinancing of our Credit Agreement.</w:t>
      </w:r>
    </w:p>
    <w:p>
      <w:pPr>
        <w:pStyle w:val="TextBody"/>
        <w:bidi w:val="0"/>
        <w:spacing w:lineRule="auto" w:line="288" w:before="120" w:after="283"/>
        <w:jc w:val="left"/>
        <w:rPr/>
      </w:pPr>
      <w:r>
        <w:rPr>
          <w:rFonts w:ascii="Times New Roman;sans-serif" w:hAnsi="Times New Roman;sans-serif"/>
          <w:b w:val="false"/>
          <w:i/>
          <w:color w:val="000000"/>
          <w:sz w:val="20"/>
        </w:rPr>
        <w:t>Proceeds from the public offering of Class A Common Stock.</w:t>
      </w:r>
      <w:r>
        <w:rPr>
          <w:color w:val="000000"/>
        </w:rPr>
        <w:t xml:space="preserve"> </w:t>
      </w:r>
      <w:r>
        <w:rPr>
          <w:rFonts w:ascii="Times New Roman;sans-serif" w:hAnsi="Times New Roman;sans-serif"/>
          <w:b w:val="false"/>
          <w:color w:val="000000"/>
          <w:sz w:val="20"/>
        </w:rPr>
        <w:t>In September 2024, we completed a public offering of 5.2 million shares of our Class A common stock at a public offering price of $100.00 per share. After deducting stock issuance costs, including underwriting discounts, commissions and offering expenses, the offering resulted in net proceeds of $496.2 million. The net proceeds from this offering were used to repay borrowings under our Revolving Credit Facility and are further available to fund acquisition activity</w:t>
      </w:r>
      <w:r>
        <w:rPr>
          <w:color w:val="000000"/>
        </w:rPr>
        <w:t xml:space="preserve"> </w:t>
      </w:r>
      <w:r>
        <w:rPr>
          <w:rFonts w:ascii="Times New Roman;sans-serif" w:hAnsi="Times New Roman;sans-serif"/>
          <w:b w:val="false"/>
          <w:color w:val="000000"/>
          <w:sz w:val="20"/>
        </w:rPr>
        <w:t>and for general corporate purposes.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16, 2023, we completed a public offering of 6.1 million shares of our Class A common stock at a public offering price of $85.50 per share. After deducting stock issuance costs, including underwriting discounts, commissions and offering expenses, the offering resulted in net proceeds of $496.2 million. The net proceeds from this offering were and are to be used to fund acquisition activity, including the GFL Acquisition and the Twin Bridges Acquisition, to pay certain costs associated with acquisition activities, and to repay borrowings and/or debt securities.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Outstanding Long-Term Debt</w:t>
      </w:r>
    </w:p>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are party to the Credit Agreement, which provides for a $800.0 million aggregate principal amount Term Loan Facility and a $700.0 million Revolving Credit Facility, with a $155.0 million sublimit for letters of credit.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0.300% to 1.175%</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commitment fee will be charged on undrawn amounts of our Revolving Credit Facility based upon our consolidated net leverage ratio in the range of 0.20% to 0.40% per annum, plus a sustainability adjustment of up to positive or negative 1.0 basis point per annum. The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December 31, 2024, further advances were available under the Credit Facility in the amount of $675.4 million. The available amount is net of outstanding irrevocable letters of credit totaling $24.6 million, and as of December 31, 2024 no amount had been drawn.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us to maintain a minimum interest coverage ratio and a maximum consolidated net leverage ratio, to be measured at the end of each fiscal quarter. As of December 31, 2024, we were in compliance with all financial covenants contained in the Credit Agreement as follows (in millions):</w:t>
      </w:r>
    </w:p>
    <w:tbl>
      <w:tblPr>
        <w:tblW w:w="10205" w:type="dxa"/>
        <w:jc w:val="left"/>
        <w:tblInd w:w="0" w:type="dxa"/>
        <w:tblLayout w:type="fixed"/>
        <w:tblCellMar>
          <w:top w:w="28" w:type="dxa"/>
          <w:left w:w="28" w:type="dxa"/>
          <w:bottom w:w="28" w:type="dxa"/>
          <w:right w:w="28" w:type="dxa"/>
        </w:tblCellMar>
      </w:tblPr>
      <w:tblGrid>
        <w:gridCol w:w="1301"/>
        <w:gridCol w:w="1118"/>
        <w:gridCol w:w="1122"/>
        <w:gridCol w:w="109"/>
        <w:gridCol w:w="109"/>
        <w:gridCol w:w="109"/>
        <w:gridCol w:w="895"/>
        <w:gridCol w:w="895"/>
        <w:gridCol w:w="898"/>
        <w:gridCol w:w="109"/>
        <w:gridCol w:w="109"/>
        <w:gridCol w:w="109"/>
        <w:gridCol w:w="971"/>
        <w:gridCol w:w="971"/>
        <w:gridCol w:w="1380"/>
      </w:tblGrid>
      <w:tr>
        <w:trPr/>
        <w:tc>
          <w:tcPr>
            <w:tcW w:w="13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Facility 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 Requirements at December 31, 2024</w:t>
            </w:r>
          </w:p>
        </w:tc>
      </w:tr>
      <w:tr>
        <w:trPr/>
        <w:tc>
          <w:tcPr>
            <w:tcW w:w="3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Maximum consolidated net leverage ratio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The maximum consolidated net leverage ratio is calculated as consolidated funded debt, net of up to $100.0 million of unencumbered cash and cash equivalents (calculated at $1,048.2 million as of December 31, 2024, or $1,148.2 million of consolidated funded debt less $100.0 million total of unencumbered cash and cash equivalents), divided by consolidated EBITDA. Consolidated EBITDA is based on operating results for the twelve months preceding the measurement date of December 31, 2024.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(“GAAP”). A reconciliation of net cash provided by operating activities to Consolidated EBITDA is as follows (in millions):</w:t>
      </w:r>
    </w:p>
    <w:tbl>
      <w:tblPr>
        <w:tblW w:w="9599" w:type="dxa"/>
        <w:jc w:val="left"/>
        <w:tblInd w:w="0" w:type="dxa"/>
        <w:tblLayout w:type="fixed"/>
        <w:tblCellMar>
          <w:top w:w="28" w:type="dxa"/>
          <w:left w:w="28" w:type="dxa"/>
          <w:bottom w:w="28" w:type="dxa"/>
          <w:right w:w="28" w:type="dxa"/>
        </w:tblCellMar>
      </w:tblPr>
      <w:tblGrid>
        <w:gridCol w:w="2323"/>
        <w:gridCol w:w="2045"/>
        <w:gridCol w:w="2051"/>
        <w:gridCol w:w="684"/>
        <w:gridCol w:w="1997"/>
        <w:gridCol w:w="499"/>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 2024</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divestitures</w:t>
            </w:r>
          </w:p>
        </w:tc>
        <w:tc>
          <w:tcPr>
            <w:tcW w:w="2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2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2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capping recovery - veneer failure</w:t>
            </w:r>
          </w:p>
        </w:tc>
        <w:tc>
          <w:tcPr>
            <w:tcW w:w="2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and charges, net</w:t>
            </w:r>
          </w:p>
        </w:tc>
        <w:tc>
          <w:tcPr>
            <w:tcW w:w="2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less amortization of debt issuance costs </w:t>
            </w:r>
          </w:p>
        </w:tc>
        <w:tc>
          <w:tcPr>
            <w:tcW w:w="2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net of deferred income taxes</w:t>
            </w:r>
          </w:p>
        </w:tc>
        <w:tc>
          <w:tcPr>
            <w:tcW w:w="2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as allowed by the Credit Agreement </w:t>
            </w:r>
            <w:r>
              <w:rPr>
                <w:rFonts w:ascii="Times New Roman;sans-serif" w:hAnsi="Times New Roman;sans-serif"/>
                <w:b w:val="false"/>
                <w:color w:val="000000"/>
                <w:sz w:val="16"/>
              </w:rPr>
              <w:t>(1)</w:t>
            </w:r>
          </w:p>
        </w:tc>
        <w:tc>
          <w:tcPr>
            <w:tcW w:w="2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Adjustments as allowed by the Credit Agreement includes the estimated annual pro-forma impact of acquisitions on consolidated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financial covenants, the Credit Agreement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December 31, 2024, we were in compliance with all covenants contained in the Credit Agreement.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Tax-Exempt Financings and Other Debt</w:t>
      </w:r>
    </w:p>
    <w:p>
      <w:pPr>
        <w:pStyle w:val="TextBody"/>
        <w:bidi w:val="0"/>
        <w:spacing w:lineRule="auto" w:line="288" w:before="120" w:after="283"/>
        <w:jc w:val="left"/>
        <w:rPr/>
      </w:pPr>
      <w:r>
        <w:rPr>
          <w:rFonts w:ascii="Times New Roman;sans-serif" w:hAnsi="Times New Roman;sans-serif"/>
          <w:b w:val="false"/>
          <w:color w:val="000000"/>
          <w:sz w:val="20"/>
        </w:rPr>
        <w:t xml:space="preserve">As of December 31, 2024, we had outstanding $277.0 million aggregate principal amount of tax-exempt bonds, $69.7 million aggregate principal amount of finance leases and $1.5 million aggregate principal amount of notes payable. See Note 11,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disclosure regarding our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a summary of our significant contractual cash obligations (in thousands) as of December 31, 2024. These obligations are reflected in our consolidated balance sheet and include obligations with scheduled maturities, as well as significant obligations pertaining to accrued environmental remediation liabilities and final capping, closure and post-closure asset retirement obligations at our landfills. Accordingly, this table is not meant to represent a forecast of our total cash expenditures for any of the periods presented (in thousands). </w:t>
      </w:r>
    </w:p>
    <w:tbl>
      <w:tblPr>
        <w:tblW w:w="10205" w:type="dxa"/>
        <w:jc w:val="left"/>
        <w:tblInd w:w="0" w:type="dxa"/>
        <w:tblLayout w:type="fixed"/>
        <w:tblCellMar>
          <w:top w:w="28" w:type="dxa"/>
          <w:left w:w="28" w:type="dxa"/>
          <w:bottom w:w="28" w:type="dxa"/>
          <w:right w:w="28" w:type="dxa"/>
        </w:tblCellMar>
      </w:tblPr>
      <w:tblGrid>
        <w:gridCol w:w="1066"/>
        <w:gridCol w:w="881"/>
        <w:gridCol w:w="87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6"/>
      </w:tblGrid>
      <w:tr>
        <w:trPr/>
        <w:tc>
          <w:tcPr>
            <w:tcW w:w="106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Non-cancellable operating leases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operating lease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 capping, closure and post-closure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contractual cash obligations </w:t>
            </w:r>
            <w:r>
              <w:rPr>
                <w:rFonts w:ascii="Times New Roman;sans-serif" w:hAnsi="Times New Roman;sans-serif"/>
                <w:b w:val="false"/>
                <w:color w:val="000000"/>
                <w:sz w:val="16"/>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(1)Based on debt balances as of December 31, 2024. Interest obligations related to variable rate debt were calculated using variable rates in effect at December 31, 2024.</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(2)Contractual cash obligations do not include accounts payable or accrued liabilities, which will be paid in the fiscal year ending December 31, 2025.</w:t>
      </w:r>
    </w:p>
    <w:p>
      <w:pPr>
        <w:pStyle w:val="TextBody"/>
        <w:bidi w:val="0"/>
        <w:spacing w:lineRule="auto" w:line="288" w:before="120" w:after="283"/>
        <w:jc w:val="left"/>
        <w:rPr/>
      </w:pPr>
      <w:r>
        <w:rPr>
          <w:rFonts w:ascii="Times New Roman;sans-serif" w:hAnsi="Times New Roman;sans-serif"/>
          <w:b w:val="false"/>
          <w:color w:val="000000"/>
          <w:sz w:val="20"/>
        </w:rPr>
        <w:t xml:space="preserve">We have no contractual obligations related to unrecognized tax benefits at December 31, 2024. For further description regarding contractual obligations, see Note 8,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Note 10, </w:t>
      </w:r>
      <w:r>
        <w:rPr>
          <w:rFonts w:ascii="Times New Roman;sans-serif" w:hAnsi="Times New Roman;sans-serif"/>
          <w:b w:val="false"/>
          <w:i/>
          <w:color w:val="000000"/>
          <w:sz w:val="20"/>
        </w:rPr>
        <w:t>Final Capping, Closure and Post-Closure Costs,</w:t>
      </w:r>
      <w:r>
        <w:rPr>
          <w:color w:val="000000"/>
        </w:rPr>
        <w:t xml:space="preserve"> </w:t>
      </w:r>
      <w:r>
        <w:rPr>
          <w:rFonts w:ascii="Times New Roman;sans-serif" w:hAnsi="Times New Roman;sans-serif"/>
          <w:b w:val="false"/>
          <w:color w:val="000000"/>
          <w:sz w:val="20"/>
        </w:rPr>
        <w:t xml:space="preserve">Note 11,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 xml:space="preserve">Note 12,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and Note 15, </w:t>
      </w:r>
      <w:r>
        <w:rPr>
          <w:rFonts w:ascii="Times New Roman;sans-serif" w:hAnsi="Times New Roman;sans-serif"/>
          <w:b w:val="false"/>
          <w:i/>
          <w:color w:val="000000"/>
          <w:sz w:val="20"/>
        </w:rPr>
        <w:t>Employee Benefit Plans</w:t>
      </w:r>
      <w:r>
        <w:rPr>
          <w:color w:val="000000"/>
        </w:rPr>
        <w:t xml:space="preserve"> </w:t>
      </w:r>
      <w:r>
        <w:rPr>
          <w:rFonts w:ascii="Times New Roman;sans-serif" w:hAnsi="Times New Roman;sans-serif"/>
          <w:b w:val="false"/>
          <w:color w:val="000000"/>
          <w:sz w:val="20"/>
        </w:rPr>
        <w:t>to our consolidated financial statements included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lineRule="auto" w:line="288" w:before="120" w:after="283"/>
        <w:jc w:val="left"/>
        <w:rPr/>
      </w:pPr>
      <w:r>
        <w:rPr>
          <w:rFonts w:ascii="Times New Roman;sans-serif" w:hAnsi="Times New Roman;sans-serif"/>
          <w:b w:val="false"/>
          <w:color w:val="000000"/>
          <w:sz w:val="20"/>
        </w:rPr>
        <w:t>Inflationary increases in costs, including current inflationary pressures associated primarily with labor, certain other cost categories, and capital items, have materially affected, and may continue to materially affect, our operating margins and cash flows. However,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See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of this Annual Report on Form 10-K for additional information regarding our fuel cost recovery programs. Additionally, management’s estimates associated with inflation have had, and will continue to have, an impact on our accounting for landfill and environmental remediation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Regional 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primarily located in the eastern United States. Therefore, our business, financial condition and operational results are susceptible to downturns in the general economy in this geographic region and other factors affecting the region, such as state and local regulations, labor availability and severe weather conditions. We are unable to forecast or determine the timing and/or the future impact of a sustained economic slowdown or other factors affecting the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 and Assumptions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However, even under optimal circumstances, estimates routinely require adjustments based on changing assumptions and circumstances, or new or better information becoming available. Accordingly, actual results may differ from these estimates under different assumptions and circumstances. </w:t>
      </w:r>
    </w:p>
    <w:p>
      <w:pPr>
        <w:pStyle w:val="TextBody"/>
        <w:bidi w:val="0"/>
        <w:spacing w:lineRule="auto" w:line="288" w:before="120" w:after="283"/>
        <w:jc w:val="left"/>
        <w:rPr/>
      </w:pPr>
      <w:r>
        <w:rPr>
          <w:rFonts w:ascii="Times New Roman;sans-serif" w:hAnsi="Times New Roman;sans-serif"/>
          <w:b w:val="false"/>
          <w:color w:val="000000"/>
          <w:sz w:val="20"/>
        </w:rPr>
        <w:t xml:space="preserve">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our consolidated financial statements included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Landfill Accounting</w:t>
      </w:r>
    </w:p>
    <w:p>
      <w:pPr>
        <w:pStyle w:val="TextBody"/>
        <w:bidi w:val="0"/>
        <w:spacing w:lineRule="auto" w:line="288" w:before="120" w:after="283"/>
        <w:jc w:val="left"/>
        <w:rPr/>
      </w:pPr>
      <w:r>
        <w:rPr>
          <w:rFonts w:ascii="Times New Roman;sans-serif" w:hAnsi="Times New Roman;sans-serif"/>
          <w:b w:val="false"/>
          <w:i/>
          <w:color w:val="000000"/>
          <w:sz w:val="20"/>
        </w:rPr>
        <w:t xml:space="preserve">Landfill Development Costs. </w:t>
      </w:r>
      <w:r>
        <w:rPr>
          <w:rFonts w:ascii="Times New Roman;sans-serif" w:hAnsi="Times New Roman;sans-serif"/>
          <w:b w:val="false"/>
          <w:color w:val="000000"/>
          <w:sz w:val="20"/>
        </w:rPr>
        <w:t>We estimate the total cost to develop each of our landfill sites to its remaining permitted and expansion capacity (see landfill development costs discussed within the “</w:t>
      </w:r>
      <w:r>
        <w:rPr>
          <w:rFonts w:ascii="Times New Roman;sans-serif" w:hAnsi="Times New Roman;sans-serif"/>
          <w:b w:val="false"/>
          <w:i/>
          <w:color w:val="000000"/>
          <w:sz w:val="20"/>
        </w:rPr>
        <w:t>Property and Equipment</w:t>
      </w:r>
      <w:r>
        <w:rPr>
          <w:color w:val="000000"/>
        </w:rPr>
        <w:t xml:space="preserve">” </w:t>
      </w:r>
      <w:r>
        <w:rPr>
          <w:rFonts w:ascii="Times New Roman;sans-serif" w:hAnsi="Times New Roman;sans-serif"/>
          <w:b w:val="false"/>
          <w:color w:val="000000"/>
          <w:sz w:val="20"/>
        </w:rPr>
        <w:t xml:space="preserve">accounting policy more fully discussed in Note 3,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our consolidated financial statements included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 The average amortization rate per ton for our landfills during fiscal years 2024 and 2023 was $7.52 and $7.23,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i/>
          <w:color w:val="000000"/>
          <w:sz w:val="20"/>
        </w:rPr>
        <w:t xml:space="preserve">Final Capping, Closure and Post-Closure Costs. </w:t>
      </w:r>
      <w:r>
        <w:rPr>
          <w:rFonts w:ascii="Times New Roman;sans-serif" w:hAnsi="Times New Roman;sans-serif"/>
          <w:b w:val="false"/>
          <w:color w:val="000000"/>
          <w:sz w:val="20"/>
        </w:rPr>
        <w:t xml:space="preserve">The cost estimates for final capping, closure and post-closure activities at landfills for which we have responsibility are estimated based on our interpretations of current requirements and proposed or anticipated regulatory changes. Our investment in final capping, closure and post-closure activities is focused on meeting these regulations, therefore, reducing emissions of air pollutants from our landfills.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estimate additional costs based on the amount a third 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pStyle w:val="TextBody"/>
        <w:bidi w:val="0"/>
        <w:spacing w:lineRule="auto" w:line="288" w:before="120" w:after="283"/>
        <w:jc w:val="left"/>
        <w:rPr/>
      </w:pPr>
      <w:r>
        <w:rPr>
          <w:rFonts w:ascii="Times New Roman;sans-serif" w:hAnsi="Times New Roman;sans-serif"/>
          <w:b w:val="false"/>
          <w:color w:val="000000"/>
          <w:sz w:val="20"/>
        </w:rPr>
        <w:t xml:space="preserve">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 See Note 10, </w:t>
      </w:r>
      <w:r>
        <w:rPr>
          <w:rFonts w:ascii="Times New Roman;sans-serif" w:hAnsi="Times New Roman;sans-serif"/>
          <w:b w:val="false"/>
          <w:i/>
          <w:color w:val="000000"/>
          <w:sz w:val="20"/>
        </w:rPr>
        <w:t>Final Capping, Closure and Post-Closure Costs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further disclosure about final capping, closure and post-closure asset retirement costs, including revisions in estimates.</w:t>
      </w:r>
    </w:p>
    <w:p>
      <w:pPr>
        <w:pStyle w:val="TextBody"/>
        <w:bidi w:val="0"/>
        <w:spacing w:lineRule="auto" w:line="288" w:before="120" w:after="283"/>
        <w:jc w:val="left"/>
        <w:rPr/>
      </w:pPr>
      <w:r>
        <w:rPr>
          <w:rFonts w:ascii="Times New Roman;sans-serif" w:hAnsi="Times New Roman;sans-serif"/>
          <w:b w:val="false"/>
          <w:i/>
          <w:color w:val="000000"/>
          <w:sz w:val="20"/>
        </w:rPr>
        <w:t xml:space="preserve">Remaining Permitted Airspace. </w:t>
      </w:r>
      <w:r>
        <w:rPr>
          <w:rFonts w:ascii="Times New Roman;sans-serif" w:hAnsi="Times New Roman;sans-serif"/>
          <w:b w:val="false"/>
          <w:color w:val="000000"/>
          <w:sz w:val="20"/>
        </w:rPr>
        <w:t>Our engineers, in consultation with third-party engineering consultants and surveyors, are responsible for determining remaining permitted airspace at our landfills. The remaining permitted airspace is determined by an annual survey, which is then used to compare the existing landfill topography to the expected final landfill topography.</w:t>
      </w:r>
    </w:p>
    <w:p>
      <w:pPr>
        <w:pStyle w:val="TextBody"/>
        <w:bidi w:val="0"/>
        <w:spacing w:lineRule="auto" w:line="288" w:before="120" w:after="283"/>
        <w:jc w:val="left"/>
        <w:rPr/>
      </w:pPr>
      <w:r>
        <w:rPr>
          <w:rFonts w:ascii="Times New Roman;sans-serif" w:hAnsi="Times New Roman;sans-serif"/>
          <w:b w:val="false"/>
          <w:i/>
          <w:color w:val="000000"/>
          <w:sz w:val="20"/>
        </w:rPr>
        <w:t xml:space="preserve">Expansion Airspace. </w:t>
      </w:r>
      <w:r>
        <w:rPr>
          <w:rFonts w:ascii="Times New Roman;sans-serif" w:hAnsi="Times New Roman;sans-serif"/>
          <w:b w:val="false"/>
          <w:color w:val="000000"/>
          <w:sz w:val="20"/>
        </w:rPr>
        <w:t>We currently include unpermitted expansion airspace in our estimate of remaining permitted and expansion airspace in certain circumstances. To be considered expansion airspace all of the following criteria must be met:</w:t>
      </w:r>
      <w:r>
        <w:rPr>
          <w:color w:val="000000"/>
        </w:rPr>
        <w: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control the land on which the expansion is sought;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all technical siting criteria have been met or a variance has been obtained or is reasonably expected to be obtained;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not identified any legal or political impediments which we believe will not be resolved in our favor;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are actively working on obtaining any necessary permits and we expect that all required permits will be received;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senior management has approved the project based on a review of the engineering design and determination that the financial return profile meets our investment criteria.</w:t>
      </w:r>
    </w:p>
    <w:p>
      <w:pPr>
        <w:pStyle w:val="TextBody"/>
        <w:bidi w:val="0"/>
        <w:spacing w:lineRule="auto" w:line="288" w:before="120" w:after="283"/>
        <w:jc w:val="left"/>
        <w:rPr/>
      </w:pPr>
      <w:r>
        <w:rPr>
          <w:rFonts w:ascii="Times New Roman;sans-serif" w:hAnsi="Times New Roman;sans-serif"/>
          <w:b w:val="false"/>
          <w:color w:val="000000"/>
          <w:sz w:val="20"/>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 See Part I. Item 1. “</w:t>
      </w:r>
      <w:r>
        <w:rPr>
          <w:rFonts w:ascii="Times New Roman;sans-serif" w:hAnsi="Times New Roman;sans-serif"/>
          <w:b w:val="false"/>
          <w:i/>
          <w:color w:val="000000"/>
          <w:sz w:val="20"/>
        </w:rPr>
        <w:t>Business</w:t>
      </w:r>
      <w:r>
        <w:rPr>
          <w:color w:val="000000"/>
        </w:rPr>
        <w:t xml:space="preserve">” </w:t>
      </w:r>
      <w:r>
        <w:rPr>
          <w:rFonts w:ascii="Times New Roman;sans-serif" w:hAnsi="Times New Roman;sans-serif"/>
          <w:b w:val="false"/>
          <w:color w:val="000000"/>
          <w:sz w:val="20"/>
        </w:rPr>
        <w:t>of this Annual Report on Form 10-K for more disclosure about permitted and permittable capacity at our landfills.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 of Allowance for Credit Losses</w:t>
      </w:r>
    </w:p>
    <w:p>
      <w:pPr>
        <w:pStyle w:val="TextBody"/>
        <w:bidi w:val="0"/>
        <w:spacing w:lineRule="auto" w:line="288" w:before="120" w:after="283"/>
        <w:jc w:val="left"/>
        <w:rPr/>
      </w:pPr>
      <w:r>
        <w:rPr>
          <w:rFonts w:ascii="Times New Roman;sans-serif" w:hAnsi="Times New Roman;sans-serif"/>
          <w:b w:val="false"/>
          <w:color w:val="000000"/>
          <w:sz w:val="20"/>
        </w:rPr>
        <w:t xml:space="preserve">Accounts receivable represent receivables from customers for collection, transfer, recycling, disposal and other services. Our accounts receivable are recorded when billed or when related revenue is earned, if earlier, and represent claims against third 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charged to expense in fiscal year 2024 consider the current economic conditions and the potential impact to our customers’ ability to pay for services that we have provided. Our reserve is evaluated and revised on a quarterly basis. Past due accounts receivable are written off when deemed to be uncollectible. See Note 6, </w:t>
      </w:r>
      <w:r>
        <w:rPr>
          <w:rFonts w:ascii="Times New Roman;sans-serif" w:hAnsi="Times New Roman;sans-serif"/>
          <w:b w:val="false"/>
          <w:i/>
          <w:color w:val="000000"/>
          <w:sz w:val="20"/>
        </w:rPr>
        <w:t xml:space="preserve">Accounts Receivable, Net of Allowance for Credit Losses </w:t>
      </w:r>
      <w:r>
        <w:rPr>
          <w:rFonts w:ascii="Times New Roman;sans-serif" w:hAnsi="Times New Roman;sans-serif"/>
          <w:b w:val="false"/>
          <w:color w:val="000000"/>
          <w:sz w:val="20"/>
        </w:rPr>
        <w:t>to our consolidated financial statements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further disclosure about changes to the allowance for credit losses.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 and Other Intangibles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elected to perform a quantitative analysis as part of our annual goodwill impairment test for fiscal year 2024. As of October 1, 2024, our Eastern, Western, Mid-Atlantic and Resource Solutions reporting units indicated that the fair value of each reporting unit exceeded its carrying amount, including goodwill. The fair value of our Eastern, Western, Mid-Atlantic and Resource Solutions reporting units exceeded its carrying value by in excess of 23%. We incurred no impairment of goodwill as a result of our annual goodwill impairment tests in fiscal years 2024 or 2023. However, there can be no assurance that goodwill will not be impaired at any time in the future. </w:t>
      </w:r>
    </w:p>
    <w:p>
      <w:pPr>
        <w:pStyle w:val="TextBody"/>
        <w:bidi w:val="0"/>
        <w:spacing w:lineRule="auto" w:line="288" w:before="120" w:after="283"/>
        <w:jc w:val="left"/>
        <w:rPr/>
      </w:pPr>
      <w:r>
        <w:rPr>
          <w:rFonts w:ascii="Times New Roman;sans-serif" w:hAnsi="Times New Roman;sans-serif"/>
          <w:b w:val="false"/>
          <w:color w:val="000000"/>
          <w:sz w:val="20"/>
        </w:rPr>
        <w:t xml:space="preserve">Intangible assets consist primarily of covenants not-to-compete, customer relationships and trade names. Intangible assets are recorded at fair value and are amortized based on the economic benefit provided or using the sum of years digits or straight-line methods over their estimated useful lives. Covenants not-to-compete, customer relationships, and trade names are typically amortized over a term of no more than 10 years. See Note 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and Note 9, </w:t>
      </w:r>
      <w:r>
        <w:rPr>
          <w:rFonts w:ascii="Times New Roman;sans-serif" w:hAnsi="Times New Roman;sans-serif"/>
          <w:b w:val="false"/>
          <w:i/>
          <w:color w:val="000000"/>
          <w:sz w:val="20"/>
        </w:rPr>
        <w:t>Goodwill and Intangible Assets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further disclosure.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Recovery of Long-Lived Assets</w:t>
      </w:r>
    </w:p>
    <w:p>
      <w:pPr>
        <w:pStyle w:val="TextBody"/>
        <w:bidi w:val="0"/>
        <w:spacing w:lineRule="auto" w:line="288" w:before="120" w:after="283"/>
        <w:jc w:val="left"/>
        <w:rPr/>
      </w:pPr>
      <w:r>
        <w:rPr>
          <w:rFonts w:ascii="Times New Roman;sans-serif" w:hAnsi="Times New Roman;sans-serif"/>
          <w:b w:val="false"/>
          <w:color w:val="000000"/>
          <w:sz w:val="20"/>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property and equipment, identifiable intangible assets, and operating lease right-of-use assets. Events or changes in circumstances that may indicate that an asset may be impaired include the following:</w:t>
      </w:r>
      <w:r>
        <w:rPr>
          <w:color w:val="000000"/>
        </w:rPr>
        <w:t>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significant decrease in the market price of an asset or asset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significant adverse change in the extent or manner in which an asset or asset group is being used or in its physical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significant adverse change in legal factors or in the business climate that could affect the value of an asset or asset group, including an adverse action or assessment by a regulator;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accumulation of costs significantly in excess of the amount originally expected for the acquisition or construction of a long-lived asset;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current period operating or cash flow loss combined with a history of operating or cash flow losses or a projection or forecast that demonstrates continuing losses associated with the use of a long-lived asset or asset group;</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current expectation that, more likely than not, a long-lived asset or asset group will be sold or otherwise disposed of significantly before the end of its previously estimated useful life; 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impairment of goodwill at a reporting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 We incurred no impairment of long-lived assets in fiscal years 2024 or 2023. However, there can be no assurance that long-lived assets will not be impaired at any time in the future.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pStyle w:val="TextBody"/>
        <w:bidi w:val="0"/>
        <w:spacing w:lineRule="auto" w:line="288" w:before="120" w:after="283"/>
        <w:jc w:val="left"/>
        <w:rPr/>
      </w:pPr>
      <w:r>
        <w:rPr>
          <w:rFonts w:ascii="Times New Roman;sans-serif" w:hAnsi="Times New Roman;sans-serif"/>
          <w:b w:val="false"/>
          <w:color w:val="000000"/>
          <w:sz w:val="20"/>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in the consolidated financial statements in the reporting period in which the adjustment amounts are determined. All acquisition-related transaction and restructuring costs are to be expensed as incurred. See Note 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further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Self-Insurance Liabilities and Related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self-insured for vehicles and workers’ compensation with reinsurance coverage limiting our maximum exposure. In fiscal year 2024, our maximum exposure per individual event under the workers’ compensation plan was $1.5 million. In fiscal year 2024, our minimum and maximum exposure per individual event under the automobile plan were up to $2.0 million and $4.2 million, respectively. The liability for unpaid claims and associated expenses, including incurred but not reported losses, is determined by management with the assistance of a third-party actuary and reflected in our consolidated balance sheets as an accrued liability. We use a third 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$24.9 million and $22.4 million as of December 31, 2024 and December 31, 2023, respectively. Our estimated accruals for these liabilities could be significantly different than our ultimate obligations if variables such as the frequency or severity of future events differ significantly from our assumptions.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income tax uncertainties according to guidance on the recognition, derecognition and measurement of potential tax benefits associated with tax positions. We recognize interest and penalties relating to income tax matters as a component of income tax expense. </w:t>
      </w:r>
    </w:p>
    <w:p>
      <w:pPr>
        <w:pStyle w:val="TextBody"/>
        <w:bidi w:val="0"/>
        <w:spacing w:lineRule="auto" w:line="288" w:before="120" w:after="283"/>
        <w:jc w:val="left"/>
        <w:rPr/>
      </w:pPr>
      <w:r>
        <w:rPr>
          <w:rFonts w:ascii="Times New Roman;sans-serif" w:hAnsi="Times New Roman;sans-serif"/>
          <w:b w:val="false"/>
          <w:color w:val="000000"/>
          <w:sz w:val="20"/>
        </w:rPr>
        <w:t xml:space="preserve">See Note 16,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further disclosure.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Contingent Liabilities</w:t>
      </w:r>
    </w:p>
    <w:p>
      <w:pPr>
        <w:pStyle w:val="TextBody"/>
        <w:bidi w:val="0"/>
        <w:spacing w:lineRule="auto" w:line="288" w:before="120" w:after="283"/>
        <w:jc w:val="left"/>
        <w:rPr/>
      </w:pPr>
      <w:r>
        <w:rPr>
          <w:rFonts w:ascii="Times New Roman;sans-serif" w:hAnsi="Times New Roman;sans-serif"/>
          <w:b w:val="false"/>
          <w:color w:val="000000"/>
          <w:sz w:val="20"/>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12,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 and Supplementary Data”</w:t>
      </w:r>
      <w:r>
        <w:rPr>
          <w:color w:val="000000"/>
        </w:rPr>
        <w:t xml:space="preserve"> </w:t>
      </w:r>
      <w:r>
        <w:rPr>
          <w:rFonts w:ascii="Times New Roman;sans-serif" w:hAnsi="Times New Roman;sans-serif"/>
          <w:b w:val="false"/>
          <w:color w:val="000000"/>
          <w:sz w:val="20"/>
        </w:rPr>
        <w:t>of this Annual Report on Form 10-K for disclosure about loss contingencies, as applicable..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jc w:val="left"/>
        <w:rPr/>
      </w:pPr>
      <w:r>
        <w:rPr>
          <w:rFonts w:ascii="Times New Roman;sans-serif" w:hAnsi="Times New Roman;sans-serif"/>
          <w:b w:val="false"/>
          <w:color w:val="000000"/>
          <w:sz w:val="20"/>
        </w:rPr>
        <w:t xml:space="preserve">Our equity awards granted generally consist of stock options, restricted stock awards, restricted stock units and market-based performance stock units. The fair value of each stock option grant is estimated using a Black-Scholes option-pricing model. The fair value of restricted stock award and restricted stock unit grants is at a price equal to the fair market value of our Class A common stock at the date of grant. Compensation expense associated with our stock options, restricted stock awards and restricted stock units is recognized as expense in general and administration expense over the employee’s requisite service period. The fair value of market-based performance stock unit grants is valued using a Monte Carlo pricing model and compensation expense is recognized as expense in general and administration expense ratably over the performance period based on our estimated achievement of the established performance criteria. For purposes of calculating stock-based compensation expense, forfeitures are accounted for as they occur. See Note 13, </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to our consolidated financial statements included under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 for further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88" w:before="120" w:after="283"/>
        <w:jc w:val="left"/>
        <w:rPr/>
      </w:pPr>
      <w:r>
        <w:rPr>
          <w:rFonts w:ascii="Times New Roman;sans-serif" w:hAnsi="Times New Roman;sans-serif"/>
          <w:b w:val="false"/>
          <w:color w:val="000000"/>
          <w:sz w:val="20"/>
        </w:rPr>
        <w:t xml:space="preserve">For a description of the new accounting standards that may affect us, see Note 2, </w:t>
      </w:r>
      <w:r>
        <w:rPr>
          <w:rFonts w:ascii="Times New Roman;sans-serif" w:hAnsi="Times New Roman;sans-serif"/>
          <w:b w:val="false"/>
          <w:i/>
          <w:color w:val="000000"/>
          <w:sz w:val="20"/>
        </w:rPr>
        <w:t>Accounting Changes</w:t>
      </w:r>
      <w:r>
        <w:rPr>
          <w:color w:val="000000"/>
        </w:rPr>
        <w:t xml:space="preserve"> </w:t>
      </w:r>
      <w:r>
        <w:rPr>
          <w:rFonts w:ascii="Times New Roman;sans-serif" w:hAnsi="Times New Roman;sans-serif"/>
          <w:b w:val="false"/>
          <w:color w:val="000000"/>
          <w:sz w:val="20"/>
        </w:rPr>
        <w:t>to our consolidated financial statements included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market risks, including changes in diesel fuel prices, interest rates and certain commodity prices. We have a variety of strategies to mitigate these market risks, including those discussed below.</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E&amp;E Fee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consumption levels in the last twelve months ended December 31, 2024, combined with our expected fuel consumption related to recently closed acquisitions, and after considering physically settled fuel contracts, we believe a $0.40 cent per gallon change in the price of diesel fuel would change our direct fuel costs by approximately $6.2 million per year. Offsetting these changes in direct fuel expense would be changes in the energy component of the E&amp;E Fees charged to our customers. Based on participation rates as of December 31, 2024 and considering recently closed acquisitions, we believe a $0.40 cent per gallon change in the price of diesel fuel would change the energy component of the E&amp;E Fee by approximately $5.5 million per year. In addition to direct fuel costs related to our consumption levels, we are also subject to fuel surcharge expense from third-party transportation providers. Other operational costs and capital expenditures may also be impacted by fuel prices.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fuel costs were $56.8 million in fiscal year 2024, or 3.6% of revenue, compared to $48.6 million in fiscal year 2023, or 3.8% of revenue.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SRA fee to reduce recycling commodity risks; (2) providing in-bound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December 31, 2024, we were not party to any commodity hedging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Should recycled material commodity prices change by $10 per ton, we estimate that our annual operating income margin would change by approximately $0.5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to the notional amount of interest rate derivative agreements follows (in millions):</w:t>
      </w:r>
    </w:p>
    <w:tbl>
      <w:tblPr>
        <w:tblW w:w="6666" w:type="dxa"/>
        <w:jc w:val="left"/>
        <w:tblInd w:w="0" w:type="dxa"/>
        <w:tblLayout w:type="fixed"/>
        <w:tblCellMar>
          <w:top w:w="28" w:type="dxa"/>
          <w:left w:w="28" w:type="dxa"/>
          <w:bottom w:w="28" w:type="dxa"/>
          <w:right w:w="28" w:type="dxa"/>
        </w:tblCellMar>
      </w:tblPr>
      <w:tblGrid>
        <w:gridCol w:w="978"/>
        <w:gridCol w:w="859"/>
        <w:gridCol w:w="863"/>
        <w:gridCol w:w="211"/>
        <w:gridCol w:w="616"/>
        <w:gridCol w:w="109"/>
        <w:gridCol w:w="109"/>
        <w:gridCol w:w="109"/>
        <w:gridCol w:w="109"/>
        <w:gridCol w:w="354"/>
        <w:gridCol w:w="858"/>
        <w:gridCol w:w="183"/>
        <w:gridCol w:w="109"/>
        <w:gridCol w:w="109"/>
        <w:gridCol w:w="109"/>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Active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Starting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2023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December 31, 2024 </w:t>
            </w:r>
            <w:r>
              <w:rPr>
                <w:rFonts w:ascii="Times New Roman;sans-serif" w:hAnsi="Times New Roman;sans-serif"/>
                <w:b w:val="false"/>
                <w:color w:val="000000"/>
                <w:sz w:val="16"/>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(1)These agreements mature between February 2026 and June 2028 and state that we receive interest based on Term SOFR, restricted by a 0.0% floor, and pay interest at a weighted average rate of approximately 3.60%.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have $348.2 million of fixed rate debt in addition to the $515.0 million fixed through our interest rate derivative agreements. We had interest rate risk relating to approximately $285.0 million of long-term debt as of December 31, 2024. The interest rate on the variable rate portion of long-term debt was approximately 6.0% at December 31, 2024. Should the average interest rate on the variable rate portion of long-term debt change by 100 basis points, we estimate that our annual interest expense would change by up to approximately $2.9 million. </w:t>
      </w:r>
    </w:p>
    <w:p>
      <w:pPr>
        <w:pStyle w:val="TextBody"/>
        <w:bidi w:val="0"/>
        <w:spacing w:before="120" w:after="283"/>
        <w:jc w:val="both"/>
        <w:rPr/>
      </w:pPr>
      <w:r>
        <w:rPr/>
      </w:r>
    </w:p>
    <w:p>
      <w:pPr>
        <w:pStyle w:val="TextBody"/>
        <w:bidi w:val="0"/>
        <w:spacing w:before="12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9897" w:type="dxa"/>
        <w:jc w:val="left"/>
        <w:tblInd w:w="0" w:type="dxa"/>
        <w:tblLayout w:type="fixed"/>
        <w:tblCellMar>
          <w:top w:w="28" w:type="dxa"/>
          <w:left w:w="28" w:type="dxa"/>
          <w:bottom w:w="28" w:type="dxa"/>
          <w:right w:w="28" w:type="dxa"/>
        </w:tblCellMar>
      </w:tblPr>
      <w:tblGrid>
        <w:gridCol w:w="3448"/>
        <w:gridCol w:w="3030"/>
        <w:gridCol w:w="3047"/>
        <w:gridCol w:w="109"/>
        <w:gridCol w:w="109"/>
        <w:gridCol w:w="154"/>
      </w:tblGrid>
      <w:tr>
        <w:trPr/>
        <w:tc>
          <w:tcPr>
            <w:tcW w:w="3448"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(PCAOB ID: 49)</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385">
              <w:r>
                <w:rPr>
                  <w:rStyle w:val="InternetLink"/>
                  <w:rFonts w:ascii="Times New Roman;sans-serif" w:hAnsi="Times New Roman;sans-serif"/>
                  <w:b w:val="false"/>
                  <w:color w:val="0000FF"/>
                  <w:sz w:val="20"/>
                  <w:u w:val="single"/>
                </w:rPr>
                <w:t>58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on Internal Control Over Financial Reporting (PCAOB ID: 49)</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388">
              <w:r>
                <w:rPr>
                  <w:rStyle w:val="InternetLink"/>
                  <w:rFonts w:ascii="Times New Roman;sans-serif" w:hAnsi="Times New Roman;sans-serif"/>
                  <w:b w:val="false"/>
                  <w:color w:val="0000FF"/>
                  <w:sz w:val="20"/>
                  <w:u w:val="single"/>
                </w:rPr>
                <w:t>61</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December 31,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391">
              <w:r>
                <w:rPr>
                  <w:rStyle w:val="InternetLink"/>
                  <w:rFonts w:ascii="Times New Roman;sans-serif" w:hAnsi="Times New Roman;sans-serif"/>
                  <w:b w:val="false"/>
                  <w:color w:val="0000FF"/>
                  <w:sz w:val="20"/>
                  <w:u w:val="single"/>
                </w:rPr>
                <w:t>62</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Fiscal Years Ended December 31, 2024, 2023 and 2022.</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394">
              <w:r>
                <w:rPr>
                  <w:rStyle w:val="InternetLink"/>
                  <w:rFonts w:ascii="Times New Roman;sans-serif" w:hAnsi="Times New Roman;sans-serif"/>
                  <w:b w:val="false"/>
                  <w:color w:val="0000FF"/>
                  <w:sz w:val="20"/>
                  <w:u w:val="single"/>
                </w:rPr>
                <w:t>63</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Fiscal Years Ended December 31, 2024, 2023 and 2022.</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397">
              <w:r>
                <w:rPr>
                  <w:rStyle w:val="InternetLink"/>
                  <w:rFonts w:ascii="Times New Roman;sans-serif" w:hAnsi="Times New Roman;sans-serif"/>
                  <w:b w:val="false"/>
                  <w:color w:val="0000FF"/>
                  <w:sz w:val="20"/>
                  <w:u w:val="single"/>
                </w:rPr>
                <w:t>64</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Stockholders’ Equity for the Fiscal Years Ended December 31, 2024, 2023 and 2022.</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400">
              <w:r>
                <w:rPr>
                  <w:rStyle w:val="InternetLink"/>
                  <w:rFonts w:ascii="Times New Roman;sans-serif" w:hAnsi="Times New Roman;sans-serif"/>
                  <w:b w:val="false"/>
                  <w:color w:val="0000FF"/>
                  <w:sz w:val="20"/>
                  <w:u w:val="single"/>
                </w:rPr>
                <w:t>65</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Fiscal Years Ended December 31, 2024, 2023 and 2022.</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403">
              <w:r>
                <w:rPr>
                  <w:rStyle w:val="InternetLink"/>
                  <w:rFonts w:ascii="Times New Roman;sans-serif" w:hAnsi="Times New Roman;sans-serif"/>
                  <w:b w:val="false"/>
                  <w:color w:val="0000FF"/>
                  <w:sz w:val="20"/>
                  <w:u w:val="single"/>
                </w:rPr>
                <w:t>66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865e41821b49f48d5488c091e793d0_406">
              <w:r>
                <w:rPr>
                  <w:rStyle w:val="InternetLink"/>
                  <w:rFonts w:ascii="Times New Roman;sans-serif" w:hAnsi="Times New Roman;sans-serif"/>
                  <w:b w:val="false"/>
                  <w:color w:val="0000FF"/>
                  <w:sz w:val="20"/>
                  <w:u w:val="single"/>
                </w:rPr>
                <w:t>68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Casella Waste Systems, Inc.</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Casella Waste Systems, Inc. and its subsidiaries (the Company) as of December 31, 2024 and 2023, the related consolidated statements of operations, comprehensive income, stockholders' equity and cash flows for each of the three years in the period ended December 31, 2024,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issued by the Committee of Sponsoring Organizations of the Treadway Commission in 2013, and our report dated February 18, 2025 expressed an unqualified opinion on the effectiveness of the Company's internal control over financial reporting.</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Landfill Accounting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3 of the consolidated financial statements, the Company capitalizes landfill acquisition and development costs and charges those costs to expense on a units-of-consumption method as landfill airspace is consumed. In addition, the Company accrues an asset retirement obligation for estimated capping, closure and post-closure costs related to its landfills. As described in Note 7 of the consolidated financial statements, as of December 31, 2024, the Company’s landfill assets totaled $859.6 million, and the associated amortization expense for the year ended December 31, 2024 was $44.5 million. As described in Note 10 of the consolidated financial statements, as of December 31, 2024, the Company estimated its accrued capping, closure and post-closure costs at $172.2 million. The landfill asset amortization and accrued capping, closure and post-closure costs are based on estimates of future cash flows, which require significant assumptions and estimates about the future operations and retirement of each landfill. Management estimates the costs and timing of expected future cash flows based on various assumptions at each individual landfill including: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future landfill development costs, as well as costs associated with the final capping, closure and post closure activities.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Remaining permitted and unpermitted expansion airspace, which is estimated by Company engineers, in consultation with third-party engineers and surveyors, who utilize annual aerial surveys.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Compaction factors, or airspace utilization factors, which are estimated using a process that considers the measured density obtained from annual aerial surveys.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Inflation rates and the credit adjusted risk-free rate.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Company’s landfill asset amortization expense and accrued capping, closure and post-closure costs as a critical audit matter because of the significant assumptions and judgments made by management. Auditing management’s assumptions and judgements involved a high degree of auditor judgment and increased audit effort due to the impact these assumptions have on the amounts recorded by the Company.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landfill asset amortization expense and accrued capping, closure and post-closure costs included the following, among others: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obtained an understanding of the relevant controls related to landfill asset amortization expense and accrued capping, closure and post-closure costs and tested such controls for design and operating effectiveness, including those over the determination of the appropriate credit adjusted risk-free and inflation rates, compaction factors, the amount and timing of expected future cash flows, and permitted and unpermitted airspace.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tested internal and external data used by management in the future cost estimates for both the calculation of landfill asset amortization expense rates and capping, closure and post-closure activities, by evaluating the reasons for significant changes in assumptions from historical trends and determined whether the change from the historical trend was appropriate and identified in the proper period.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confirmed the landfill topography drawings and results of aerial surveys directly with the third-party engineers. We agreed relevant data outputs from the topography drawings, such as permitted and unpermitted expansion airspace, to the relevant data inputs in management’s estimates of future cash flows.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compared remaining permitted airspace to issued permits and evaluated management’s determination of unpermitted expansion airspace through a comparison of airspace and annual aerial surveys.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compared the results of the compaction factors calculated by aerial surveys to the factors utilized by management in the estimates of future cash flows.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assessed the appropriateness of the methodology used by management in developing the inflation rate, and we tested the completeness and accuracy of the underlying data utilized by management.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evaluated the appropriateness of the methodology used by management in developing the credit adjusted risk-free rate and tested it by comparing the Company’s credit adjusted risk-free rate to an independent data source.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assessed the qualifications, reputation, and objectivity of management’s third-party engineering specialists. </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Valuation of Certain Property and Equipment and Intangible Assets in Certain Business Combinations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5 of the consolidated financial statements, the Company completed the acquisition of eight businesses during the year ended December 31, 2024, for total consideration of $467.9 million, net of cash acquired. The Company accounted for these transactions under the acquisition method of accounting for business combinations. Accordingly, the purchase price was allocated, on a preliminary basis, to the assets acquired and liabilities assumed primarily based on their respective fair values, including identified property and equipment of $106.9 million and identifiable intangible assets of $128.2 million. Of the identified property and equipment and identifiable intangible assets acquired, the most significant included machinery and equipment of $90.0 million and customer relationship intangible assets of $104.8 million. The Company estimated the fair value of these assets using a combination of cost, market, and income approaches, which required management to make significant estimates and assumptions.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valuation of machinery and equipment and customer relationships assets in certain business combinations completed by the Company during the year ended December 31, 2024 as a critical audit matter because of the significant estimates and assumptions management used in the fair value determination. Auditing management’s selection of the cost and market assumptions related to the valuation of the machinery and equipment assets and the forecasts of future revenue and expenses and the selection of the attrition and discount rates related to the valuation of the customer relationships required a high degree of auditor judgment and an increased audit effort, including the use of our valuation specialists, due to the impact these assumptions have on the estimates of fair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valuation of machinery and equipment and customer relationships assets acquired in certain business combinations, included the following, among others: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obtained an understanding of the relevant controls related to the valuation of these assets and tested such controls for design and operating effectiveness. This included management’s controls over the selection of the cost and market assumptions for the valuation of the machinery and equipment assets and the forecasts of future revenue and expenses and the selection of the attrition rates and discount rates related to the valuation of the customer relationships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read the purchase and sale agreements to understand and evaluate the terms of the acquisitions.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evaluated the reasonableness of the forecasts of future revenue and expenses and the selection of attrition rates used in the valuation of the customer relationships by comparing the projections and rates to historical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tested the underlying data used by management to estimate the fair value of the machinery and equipment assets and customer relationships intangible assets for accuracy and completeness.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utilized our valuation specialists to assist in the following procedures, among others: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Evaluating the appropriateness of the valuation models and methods used by management and testing their mathematical accuracy.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Corroborating the market data used by management to estimate the fair value of the machinery and equipment by independently obtaining cost and market data from market sources and comparing it to the data used by management.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Comparing the source information underlying the determination of the discount rates to publicly available market data and testing the accuracy of the calculations.</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RSM US LLP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2010.</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Casella Waste Systems, Inc.</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Opinion on the Internal Control Over Financial Reporting</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Casella Waste Systems, Inc.'s (the Company) internal control over financial reporting as of December 31, 2024,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2024, based on criteria established in Internal Control — Integrated Framework issued by the Committee of Sponsoring Organizations of the Treadway Commission in 2013.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of the Company and our report dated February 18, 2024 expressed an unqualified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Management’s Report on Internal Control Over Financial Reporting, management has excluded from its assessment of the effectiveness of internal control over financial reporting as of December 31, 2024: LMR Disposal LLC, Roxburg Station LLC and AMP Holdings LLC (collectively, LMR); Whitetail Disposal, Inc. (Whitetail); Royal Carting Holdings Corp., Welsh Sanitation Holdings Corp., Panichi Holding Corp., Valley 82 Holding Corp., Kejem Properties, LLC, Hopewell Industrial Properties LLC, Milbrook Properties LLC, and Watch Hill Holding Corp. (collectively, Royal); and Tiger Waste Disposal Services, Inc. and Gra-Jen Properties, LLC (collectively, Tiger), because they were acquired by the Company during 2024 and have not yet been fully incorporated into the Company’s internal controls over financial reporting. We have also excluded LMR, Whitetail, Royal, and Tiger from our report of internal controls over financial reporting as of December 31, 2024. Collectively, LMR, Whitetail, Royal, and Tiger represent total assets and revenues of approximately 16% and 5%, respectively, of the related consolidated financial statement amounts as of and for the year ended December 31,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RSM US LLP</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35"/>
        <w:gridCol w:w="2297"/>
        <w:gridCol w:w="2308"/>
        <w:gridCol w:w="211"/>
        <w:gridCol w:w="976"/>
        <w:gridCol w:w="109"/>
        <w:gridCol w:w="109"/>
        <w:gridCol w:w="109"/>
        <w:gridCol w:w="109"/>
        <w:gridCol w:w="211"/>
        <w:gridCol w:w="976"/>
        <w:gridCol w:w="155"/>
      </w:tblGrid>
      <w:tr>
        <w:trPr/>
        <w:tc>
          <w:tcPr>
            <w:tcW w:w="2635"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$8,515 and $4,066,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Refundable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and amortization of $1,302,324 and $1,167,541,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2,535,470 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1"/>
        <w:gridCol w:w="2307"/>
        <w:gridCol w:w="2312"/>
        <w:gridCol w:w="211"/>
        <w:gridCol w:w="976"/>
        <w:gridCol w:w="109"/>
        <w:gridCol w:w="109"/>
        <w:gridCol w:w="109"/>
        <w:gridCol w:w="109"/>
        <w:gridCol w:w="211"/>
        <w:gridCol w:w="976"/>
        <w:gridCol w:w="155"/>
      </w:tblGrid>
      <w:tr>
        <w:trPr/>
        <w:tc>
          <w:tcPr>
            <w:tcW w:w="262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accrued capping, closure and post-closure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capping, closure and post-closure costs,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per share; 100,000,000 shares authorized; 62,370,000 and 57,007,000 shares issued and outstanding,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per share; 1,000,000 shares authorized; 988,000 shares issued and outstanding; 10 votes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2,535,470 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p>
      <w:pPr>
        <w:pStyle w:val="TextBody"/>
        <w:bidi w:val="0"/>
        <w:spacing w:lineRule="auto" w:line="288" w:before="0" w:after="0"/>
        <w:jc w:val="left"/>
        <w:rPr>
          <w:color w:val="000000"/>
        </w:rPr>
      </w:pPr>
      <w:r>
        <w:rPr>
          <w:color w:val="000000"/>
        </w:rPr>
        <w:t> </w:t>
      </w:r>
    </w:p>
    <w:tbl>
      <w:tblPr>
        <w:tblW w:w="9911" w:type="dxa"/>
        <w:jc w:val="left"/>
        <w:tblInd w:w="0" w:type="dxa"/>
        <w:tblLayout w:type="fixed"/>
        <w:tblCellMar>
          <w:top w:w="28" w:type="dxa"/>
          <w:left w:w="28" w:type="dxa"/>
          <w:bottom w:w="28" w:type="dxa"/>
          <w:right w:w="28" w:type="dxa"/>
        </w:tblCellMar>
      </w:tblPr>
      <w:tblGrid>
        <w:gridCol w:w="1931"/>
        <w:gridCol w:w="1687"/>
        <w:gridCol w:w="1706"/>
        <w:gridCol w:w="211"/>
        <w:gridCol w:w="976"/>
        <w:gridCol w:w="109"/>
        <w:gridCol w:w="109"/>
        <w:gridCol w:w="109"/>
        <w:gridCol w:w="109"/>
        <w:gridCol w:w="211"/>
        <w:gridCol w:w="976"/>
        <w:gridCol w:w="109"/>
        <w:gridCol w:w="109"/>
        <w:gridCol w:w="109"/>
        <w:gridCol w:w="109"/>
        <w:gridCol w:w="211"/>
        <w:gridCol w:w="976"/>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capping (recovery) charge - veneer failure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charge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modification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termination of bridge financing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common stockholders: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common stockholders: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13"/>
        <w:gridCol w:w="2026"/>
        <w:gridCol w:w="2043"/>
        <w:gridCol w:w="211"/>
        <w:gridCol w:w="721"/>
        <w:gridCol w:w="109"/>
        <w:gridCol w:w="109"/>
        <w:gridCol w:w="109"/>
        <w:gridCol w:w="109"/>
        <w:gridCol w:w="211"/>
        <w:gridCol w:w="721"/>
        <w:gridCol w:w="109"/>
        <w:gridCol w:w="109"/>
        <w:gridCol w:w="109"/>
        <w:gridCol w:w="109"/>
        <w:gridCol w:w="211"/>
        <w:gridCol w:w="721"/>
        <w:gridCol w:w="155"/>
      </w:tblGrid>
      <w:tr>
        <w:trPr/>
        <w:tc>
          <w:tcPr>
            <w:tcW w:w="2313"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Hedging activity: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amounts reclassified into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resulting from changes in fair value of 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effect related to items of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125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96"/>
        <w:gridCol w:w="109"/>
        <w:gridCol w:w="109"/>
        <w:gridCol w:w="109"/>
        <w:gridCol w:w="196"/>
        <w:gridCol w:w="421"/>
        <w:gridCol w:w="109"/>
        <w:gridCol w:w="109"/>
        <w:gridCol w:w="109"/>
        <w:gridCol w:w="109"/>
        <w:gridCol w:w="210"/>
        <w:gridCol w:w="211"/>
        <w:gridCol w:w="196"/>
        <w:gridCol w:w="109"/>
        <w:gridCol w:w="109"/>
        <w:gridCol w:w="109"/>
        <w:gridCol w:w="212"/>
        <w:gridCol w:w="359"/>
        <w:gridCol w:w="120"/>
        <w:gridCol w:w="109"/>
        <w:gridCol w:w="109"/>
        <w:gridCol w:w="109"/>
        <w:gridCol w:w="196"/>
        <w:gridCol w:w="871"/>
        <w:gridCol w:w="109"/>
        <w:gridCol w:w="109"/>
        <w:gridCol w:w="109"/>
        <w:gridCol w:w="109"/>
        <w:gridCol w:w="196"/>
        <w:gridCol w:w="751"/>
        <w:gridCol w:w="109"/>
        <w:gridCol w:w="109"/>
        <w:gridCol w:w="109"/>
        <w:gridCol w:w="109"/>
        <w:gridCol w:w="272"/>
        <w:gridCol w:w="792"/>
        <w:gridCol w:w="152"/>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 equity offering, net of stock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 equity offering, net of stock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62,370 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534" w:type="dxa"/>
        <w:jc w:val="center"/>
        <w:tblInd w:w="0" w:type="dxa"/>
        <w:tblLayout w:type="fixed"/>
        <w:tblCellMar>
          <w:top w:w="28" w:type="dxa"/>
          <w:left w:w="28" w:type="dxa"/>
          <w:bottom w:w="28" w:type="dxa"/>
          <w:right w:w="28" w:type="dxa"/>
        </w:tblCellMar>
      </w:tblPr>
      <w:tblGrid>
        <w:gridCol w:w="2095"/>
        <w:gridCol w:w="1844"/>
        <w:gridCol w:w="1850"/>
        <w:gridCol w:w="196"/>
        <w:gridCol w:w="736"/>
        <w:gridCol w:w="109"/>
        <w:gridCol w:w="109"/>
        <w:gridCol w:w="109"/>
        <w:gridCol w:w="109"/>
        <w:gridCol w:w="198"/>
        <w:gridCol w:w="747"/>
        <w:gridCol w:w="109"/>
        <w:gridCol w:w="109"/>
        <w:gridCol w:w="109"/>
        <w:gridCol w:w="109"/>
        <w:gridCol w:w="196"/>
        <w:gridCol w:w="646"/>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accretion on landfill and environmental remediation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and charges,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termination of bridge 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Landfill capping (recovery) charge - veneer failure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effects of acquisitions and divestitures: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Landfill operating lease contract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inventories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contract liabilities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cost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property insurance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 of share based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public offering of 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modification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increase in cash, cash equivalents and restricted cash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left"/>
        <w:rPr>
          <w:color w:val="000000"/>
        </w:rPr>
      </w:pPr>
      <w:r>
        <w:rPr>
          <w:color w:val="000000"/>
        </w:rPr>
        <w:t> </w:t>
      </w:r>
    </w:p>
    <w:tbl>
      <w:tblPr>
        <w:tblW w:w="9012" w:type="dxa"/>
        <w:jc w:val="left"/>
        <w:tblInd w:w="0" w:type="dxa"/>
        <w:tblLayout w:type="fixed"/>
        <w:tblCellMar>
          <w:top w:w="28" w:type="dxa"/>
          <w:left w:w="28" w:type="dxa"/>
          <w:bottom w:w="28" w:type="dxa"/>
          <w:right w:w="28" w:type="dxa"/>
        </w:tblCellMar>
      </w:tblPr>
      <w:tblGrid>
        <w:gridCol w:w="1975"/>
        <w:gridCol w:w="1738"/>
        <w:gridCol w:w="1747"/>
        <w:gridCol w:w="196"/>
        <w:gridCol w:w="646"/>
        <w:gridCol w:w="109"/>
        <w:gridCol w:w="109"/>
        <w:gridCol w:w="109"/>
        <w:gridCol w:w="109"/>
        <w:gridCol w:w="196"/>
        <w:gridCol w:w="646"/>
        <w:gridCol w:w="109"/>
        <w:gridCol w:w="109"/>
        <w:gridCol w:w="109"/>
        <w:gridCol w:w="109"/>
        <w:gridCol w:w="196"/>
        <w:gridCol w:w="646"/>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 acquired through long-term financing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integrated solid waste services in ten states: Vermont, New Hampshire, New York, Massachusetts, Connecticut, Maine, Pennsylvania, New Jersey, Delaware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ACCOUNTING CHANGES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brief description of a recent Accounting Standards Update (“ASU”) to the Accounting Standards Codification (“ASC”) issued by the Financial Accounting Standards Board (“FASB”) that we adopted in the fiscal year ended December 31, 2024 (“fiscal year 2024”):</w:t>
      </w:r>
    </w:p>
    <w:tbl>
      <w:tblPr>
        <w:tblW w:w="10205" w:type="dxa"/>
        <w:jc w:val="left"/>
        <w:tblInd w:w="0" w:type="dxa"/>
        <w:tblLayout w:type="fixed"/>
        <w:tblCellMar>
          <w:top w:w="28" w:type="dxa"/>
          <w:left w:w="28" w:type="dxa"/>
          <w:bottom w:w="28" w:type="dxa"/>
          <w:right w:w="28" w:type="dxa"/>
        </w:tblCellMar>
      </w:tblPr>
      <w:tblGrid>
        <w:gridCol w:w="634"/>
        <w:gridCol w:w="557"/>
        <w:gridCol w:w="562"/>
        <w:gridCol w:w="109"/>
        <w:gridCol w:w="109"/>
        <w:gridCol w:w="109"/>
        <w:gridCol w:w="1306"/>
        <w:gridCol w:w="1306"/>
        <w:gridCol w:w="1320"/>
        <w:gridCol w:w="109"/>
        <w:gridCol w:w="109"/>
        <w:gridCol w:w="109"/>
        <w:gridCol w:w="1382"/>
        <w:gridCol w:w="1027"/>
        <w:gridCol w:w="1457"/>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or Other</w:t>
              <w:br/>
              <w:t>Significant Matters</w:t>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8452" w:type="dxa"/>
            <w:gridSpan w:val="12"/>
            <w:tcBorders/>
          </w:tcPr>
          <w:p>
            <w:pPr>
              <w:pStyle w:val="TableContents"/>
              <w:bidi w:val="0"/>
              <w:spacing w:before="0" w:after="283"/>
              <w:jc w:val="left"/>
              <w:rPr>
                <w:sz w:val="4"/>
                <w:szCs w:val="4"/>
              </w:rPr>
            </w:pPr>
            <w:r>
              <w:rPr>
                <w:sz w:val="4"/>
                <w:szCs w:val="4"/>
              </w:rPr>
            </w:r>
          </w:p>
        </w:tc>
      </w:tr>
      <w:tr>
        <w:trPr/>
        <w:tc>
          <w:tcPr>
            <w:tcW w:w="1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No. 2023-07: Improvements to Reportable Segment Disclosures (Topic 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Requires entities to provide additional disclosure related to the chief operating decision maker (“CODM”) and reportable operating segments, including providing more detailed information about reportable operating segment's significant expenses and how that information is used by the CODM.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We adopted this guidance effective December 31, 2024 and its adoption had an impact on our reportable operating segment disclosures within our consolidated financial statements and accompanying notes. See Note 20,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for enhanced disclosure.</w:t>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brief description of recent ASUs to the ASC issued by the FASB that are pending adoption as of December 31, 2024 and deemed to have a possible material impact on our consolidated financial statements based on current account balances and activity: </w:t>
      </w:r>
    </w:p>
    <w:tbl>
      <w:tblPr>
        <w:tblW w:w="10205" w:type="dxa"/>
        <w:jc w:val="left"/>
        <w:tblInd w:w="0" w:type="dxa"/>
        <w:tblLayout w:type="fixed"/>
        <w:tblCellMar>
          <w:top w:w="28" w:type="dxa"/>
          <w:left w:w="28" w:type="dxa"/>
          <w:bottom w:w="28" w:type="dxa"/>
          <w:right w:w="28" w:type="dxa"/>
        </w:tblCellMar>
      </w:tblPr>
      <w:tblGrid>
        <w:gridCol w:w="920"/>
        <w:gridCol w:w="562"/>
        <w:gridCol w:w="567"/>
        <w:gridCol w:w="109"/>
        <w:gridCol w:w="109"/>
        <w:gridCol w:w="109"/>
        <w:gridCol w:w="997"/>
        <w:gridCol w:w="997"/>
        <w:gridCol w:w="1007"/>
        <w:gridCol w:w="109"/>
        <w:gridCol w:w="109"/>
        <w:gridCol w:w="109"/>
        <w:gridCol w:w="1570"/>
        <w:gridCol w:w="1209"/>
        <w:gridCol w:w="1722"/>
      </w:tblGrid>
      <w:tr>
        <w:trPr/>
        <w:tc>
          <w:tcPr>
            <w:tcW w:w="92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or Other</w:t>
              <w:br/>
              <w:t>Significant Matters</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Accounting standards issued pending adoption as of December 31, 2024</w:t>
            </w:r>
          </w:p>
        </w:tc>
      </w:tr>
      <w:tr>
        <w:trPr/>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No. 2023-09: Improvements to Income Tax Disclosures (Topic 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Requires entities to provide additional disclosure related to the transparency and decision usefulness of income tax disclosures, including additional disclosure around the rate reconciliation and income taxes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assessing the provisions of this guidance and expect that its adoption will have an impact on income tax disclosures within our consolidated financial statements and accompanying notes. This guidance is effective for fiscal years beginning after December 15, 2024, with early adoption permitted.</w:t>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1"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No. 2024-03: Improvements to Income Statement - Expense Disaggregation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Requires entities to provide additional disclosure related to more detailed information about specific types of expenses contained in commonly presented expense captions on the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assessing the provisions of this guidance and expect that its adoption will have an impact on certain expense category disclosures within our consolidated financial statements and accompanying notes. This guidance is effective for fiscal years beginning after December 15, 2026, and interim periods within fiscal years beginning after December 15, 2027.</w:t>
            </w:r>
          </w:p>
        </w:tc>
      </w:tr>
      <w:tr>
        <w:trPr/>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1"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1"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SUMMARY OF SIGNIFICANT ACCOUNTING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Estimates and Assumptions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asset impairments, if applicable, goodwill recoverability assessment, accounts receivable allowance for credit losses,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the consolidated financial statements. Actual results may differ materially from the estimates and assumptions that we use in the preparation of our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original maturities of three months or less to be cash equivalents.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Concentrations of Credit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of cash and cash equivalents, restricted investment securities, accounts receivable and derivative instruments. We maintain cash and cash equivalents and restricted investment securities with banks that at times exceed applicable insurance limits. We reduce our exposure to credit risk by maintaining such deposits with high quality financial institutions. Our concentration of credit risk with respect to accounts receivable is limited because of the large number and diversity of customers we serve, thus reducing the credit risk associated with any one customer group. As of December 31, 2024, no single customer or customer group represented greater than 5% of total accounts receivable. We manage credit risk through credit evaluations, credit limits, and monitoring procedures, but generally do not require collateral to support accounts receivable. We reduce our exposure to credit risk associated with derivative instruments by entering into agreements with high quality financial institutions and by evaluating and regularly monitoring their creditworthiness.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 of Allowance for Credit Losses</w:t>
      </w:r>
    </w:p>
    <w:p>
      <w:pPr>
        <w:pStyle w:val="TextBody"/>
        <w:bidi w:val="0"/>
        <w:spacing w:lineRule="auto" w:line="288" w:before="120" w:after="283"/>
        <w:jc w:val="left"/>
        <w:rPr/>
      </w:pPr>
      <w:r>
        <w:rPr>
          <w:rFonts w:ascii="Times New Roman;sans-serif" w:hAnsi="Times New Roman;sans-serif"/>
          <w:b w:val="false"/>
          <w:color w:val="000000"/>
          <w:sz w:val="20"/>
        </w:rPr>
        <w:t xml:space="preserve">Accounts receivable represent receivables from customers for collection, transfer, recycling, disposal and other services. Our accounts receivable are recorded when billed or when related revenue is earned, if earlier, and represent claims against third 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Our reserve is evaluated and revised on a quarterly basis. Past due accounts receivable are written off when deemed to be uncollectible. See Note 6, </w:t>
      </w:r>
      <w:r>
        <w:rPr>
          <w:rFonts w:ascii="Times New Roman;sans-serif" w:hAnsi="Times New Roman;sans-serif"/>
          <w:b w:val="false"/>
          <w:i/>
          <w:color w:val="000000"/>
          <w:sz w:val="20"/>
        </w:rPr>
        <w:t>Accounts Receivable, Net of Allowance for Credit Losses</w:t>
      </w:r>
      <w:r>
        <w:rPr>
          <w:color w:val="000000"/>
        </w:rPr>
        <w:t xml:space="preserve"> </w:t>
      </w:r>
      <w:r>
        <w:rPr>
          <w:rFonts w:ascii="Times New Roman;sans-serif" w:hAnsi="Times New Roman;sans-serif"/>
          <w:b w:val="false"/>
          <w:color w:val="000000"/>
          <w:sz w:val="20"/>
        </w:rPr>
        <w:t>for disclosure over allowance for credit losses.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includes secondary fibers, recyclables ready for sale, and parts and supplies. Inventory is stated at the lower of cost (first-in, first-out) or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tbl>
      <w:tblPr>
        <w:tblW w:w="3897" w:type="dxa"/>
        <w:jc w:val="left"/>
        <w:tblInd w:w="0" w:type="dxa"/>
        <w:tblLayout w:type="fixed"/>
        <w:tblCellMar>
          <w:top w:w="28" w:type="dxa"/>
          <w:left w:w="28" w:type="dxa"/>
          <w:bottom w:w="28" w:type="dxa"/>
          <w:right w:w="28" w:type="dxa"/>
        </w:tblCellMar>
      </w:tblPr>
      <w:tblGrid>
        <w:gridCol w:w="897"/>
        <w:gridCol w:w="787"/>
        <w:gridCol w:w="791"/>
        <w:gridCol w:w="109"/>
        <w:gridCol w:w="109"/>
        <w:gridCol w:w="109"/>
        <w:gridCol w:w="320"/>
        <w:gridCol w:w="320"/>
        <w:gridCol w:w="455"/>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Useful Life</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10-30 years</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Containers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5-12 years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 years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maintenance and repairs is charged to operations as incurred.</w:t>
      </w:r>
    </w:p>
    <w:p>
      <w:pPr>
        <w:pStyle w:val="TextBody"/>
        <w:bidi w:val="0"/>
        <w:spacing w:lineRule="auto" w:line="288" w:before="120" w:after="283"/>
        <w:jc w:val="left"/>
        <w:rPr/>
      </w:pPr>
      <w:r>
        <w:rPr>
          <w:rFonts w:ascii="Times New Roman;sans-serif" w:hAnsi="Times New Roman;sans-serif"/>
          <w:b w:val="false"/>
          <w:color w:val="000000"/>
          <w:sz w:val="20"/>
        </w:rPr>
        <w:t>Landfill development costs are included in property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 See the “</w:t>
      </w:r>
      <w:r>
        <w:rPr>
          <w:rFonts w:ascii="Times New Roman;sans-serif" w:hAnsi="Times New Roman;sans-serif"/>
          <w:b w:val="false"/>
          <w:i/>
          <w:color w:val="000000"/>
          <w:sz w:val="20"/>
        </w:rPr>
        <w:t>Landfill Accounting</w:t>
      </w:r>
      <w:r>
        <w:rPr>
          <w:color w:val="000000"/>
        </w:rPr>
        <w:t xml:space="preserve">” </w:t>
      </w:r>
      <w:r>
        <w:rPr>
          <w:rFonts w:ascii="Times New Roman;sans-serif" w:hAnsi="Times New Roman;sans-serif"/>
          <w:b w:val="false"/>
          <w:color w:val="000000"/>
          <w:sz w:val="20"/>
        </w:rPr>
        <w:t xml:space="preserve">accounting policy below for additional disclosure about the amortization of landfill development costs and Note 7, </w:t>
      </w:r>
      <w:r>
        <w:rPr>
          <w:rFonts w:ascii="Times New Roman;sans-serif" w:hAnsi="Times New Roman;sans-serif"/>
          <w:b w:val="false"/>
          <w:i/>
          <w:color w:val="000000"/>
          <w:sz w:val="20"/>
        </w:rPr>
        <w:t>Property and Equipment</w:t>
      </w:r>
      <w:r>
        <w:rPr>
          <w:color w:val="000000"/>
        </w:rPr>
        <w:t xml:space="preserve"> </w:t>
      </w:r>
      <w:r>
        <w:rPr>
          <w:rFonts w:ascii="Times New Roman;sans-serif" w:hAnsi="Times New Roman;sans-serif"/>
          <w:b w:val="false"/>
          <w:color w:val="000000"/>
          <w:sz w:val="20"/>
        </w:rPr>
        <w:t>for disclosure about property and equipment.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Landfill Accounting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Life Cycle Accounting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Landfill Development Costs</w:t>
      </w:r>
    </w:p>
    <w:p>
      <w:pPr>
        <w:pStyle w:val="TextBody"/>
        <w:bidi w:val="0"/>
        <w:spacing w:lineRule="auto" w:line="288" w:before="120" w:after="283"/>
        <w:jc w:val="left"/>
        <w:rPr/>
      </w:pPr>
      <w:r>
        <w:rPr>
          <w:rFonts w:ascii="Times New Roman;sans-serif" w:hAnsi="Times New Roman;sans-serif"/>
          <w:b w:val="false"/>
          <w:color w:val="000000"/>
          <w:sz w:val="20"/>
        </w:rPr>
        <w:t>We estimate the total cost to develop each of our landfill sites to its remaining permitted and expansion capacity (see landfill development costs discussed within the “</w:t>
      </w:r>
      <w:r>
        <w:rPr>
          <w:rFonts w:ascii="Times New Roman;sans-serif" w:hAnsi="Times New Roman;sans-serif"/>
          <w:b w:val="false"/>
          <w:i/>
          <w:color w:val="000000"/>
          <w:sz w:val="20"/>
        </w:rPr>
        <w:t>Property and Equipment</w:t>
      </w:r>
      <w:r>
        <w:rPr>
          <w:color w:val="000000"/>
        </w:rPr>
        <w:t xml:space="preserve">” </w:t>
      </w:r>
      <w:r>
        <w:rPr>
          <w:rFonts w:ascii="Times New Roman;sans-serif" w:hAnsi="Times New Roman;sans-serif"/>
          <w:b w:val="false"/>
          <w:color w:val="000000"/>
          <w:sz w:val="20"/>
        </w:rPr>
        <w:t>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 2024, the fiscal year ended December 31, 2023 (“fiscal year 2023”) and the fiscal year ended December 31, 2022 (“fiscal year 2022”) was $1,085, $643 and $330,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Landfill Airspace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apply the following guidelines in determining a landfill’s remaining permitted and expansion airspace:</w:t>
      </w:r>
    </w:p>
    <w:p>
      <w:pPr>
        <w:pStyle w:val="TextBody"/>
        <w:bidi w:val="0"/>
        <w:spacing w:lineRule="auto" w:line="288" w:before="120" w:after="283"/>
        <w:jc w:val="left"/>
        <w:rPr/>
      </w:pPr>
      <w:r>
        <w:rPr>
          <w:rFonts w:ascii="Times New Roman;sans-serif" w:hAnsi="Times New Roman;sans-serif"/>
          <w:b w:val="false"/>
          <w:i/>
          <w:color w:val="000000"/>
          <w:sz w:val="20"/>
        </w:rPr>
        <w:t>Remaining Permitted Airspace.</w:t>
      </w:r>
      <w:r>
        <w:rPr>
          <w:color w:val="000000"/>
        </w:rPr>
        <w:t xml:space="preserve"> </w:t>
      </w:r>
      <w:r>
        <w:rPr>
          <w:rFonts w:ascii="Times New Roman;sans-serif" w:hAnsi="Times New Roman;sans-serif"/>
          <w:b w:val="false"/>
          <w:color w:val="000000"/>
          <w:sz w:val="20"/>
        </w:rPr>
        <w:t>Our engineers, in consultation with third-party engineering consultants and surveyors, are responsible for determining remaining permitted airspace at our landfills. The remaining permitted airspace is determined by an annual survey, which is then used to compare the existing landfill topography to the expected final landfill topography.</w:t>
      </w:r>
    </w:p>
    <w:p>
      <w:pPr>
        <w:pStyle w:val="TextBody"/>
        <w:bidi w:val="0"/>
        <w:spacing w:lineRule="auto" w:line="288" w:before="120" w:after="283"/>
        <w:jc w:val="left"/>
        <w:rPr/>
      </w:pPr>
      <w:r>
        <w:rPr>
          <w:rFonts w:ascii="Times New Roman;sans-serif" w:hAnsi="Times New Roman;sans-serif"/>
          <w:b w:val="false"/>
          <w:i/>
          <w:color w:val="000000"/>
          <w:sz w:val="20"/>
        </w:rPr>
        <w:t>Expansion Airspace</w:t>
      </w:r>
      <w:r>
        <w:rPr>
          <w:rFonts w:ascii="Times New Roman;sans-serif" w:hAnsi="Times New Roman;sans-serif"/>
          <w:b w:val="false"/>
          <w:color w:val="000000"/>
          <w:sz w:val="20"/>
        </w:rPr>
        <w:t>. We currently include unpermitted expansion airspace in our estimate of remaining permitted and expansion airspace in certain circumstances. To be considered expansion airspace all of the following criteria must be met:</w:t>
      </w:r>
      <w:r>
        <w:rPr>
          <w:color w:val="000000"/>
        </w:rPr>
        <w:t>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control the land on which the expansion is sought;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all technical siting criteria have been met or a variance has been obtained or is reasonably expected to be obtained;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not identified any legal or political impediments which we believe will not be resolved in our favor;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are actively working on obtaining any necessary permits and we expect that all required permits will be received;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senior management has approved the project based on a review of the engineering design and determination that the financial return profile meets our investment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Final Capping, Closure and Post-Closure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our landfill asset retirement activities and related accounting:</w:t>
      </w:r>
    </w:p>
    <w:p>
      <w:pPr>
        <w:pStyle w:val="TextBody"/>
        <w:bidi w:val="0"/>
        <w:spacing w:lineRule="auto" w:line="288" w:before="120" w:after="283"/>
        <w:jc w:val="left"/>
        <w:rPr/>
      </w:pPr>
      <w:r>
        <w:rPr>
          <w:rFonts w:ascii="Times New Roman;sans-serif" w:hAnsi="Times New Roman;sans-serif"/>
          <w:b w:val="false"/>
          <w:i/>
          <w:color w:val="000000"/>
          <w:sz w:val="20"/>
        </w:rPr>
        <w:t>Final Capping Costs.</w:t>
      </w:r>
      <w:r>
        <w:rPr>
          <w:color w:val="000000"/>
        </w:rPr>
        <w:t xml:space="preserve"> </w:t>
      </w:r>
      <w:r>
        <w:rPr>
          <w:rFonts w:ascii="Times New Roman;sans-serif" w:hAnsi="Times New Roman;sans-serif"/>
          <w:b w:val="false"/>
          <w:color w:val="000000"/>
          <w:sz w:val="20"/>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pStyle w:val="TextBody"/>
        <w:bidi w:val="0"/>
        <w:spacing w:lineRule="auto" w:line="288" w:before="120" w:after="283"/>
        <w:jc w:val="left"/>
        <w:rPr/>
      </w:pPr>
      <w:r>
        <w:rPr>
          <w:rFonts w:ascii="Times New Roman;sans-serif" w:hAnsi="Times New Roman;sans-serif"/>
          <w:b w:val="false"/>
          <w:i/>
          <w:color w:val="000000"/>
          <w:sz w:val="20"/>
        </w:rPr>
        <w:t>Closure and Post-Closure Costs.</w:t>
      </w:r>
      <w:r>
        <w:rPr>
          <w:color w:val="000000"/>
        </w:rPr>
        <w:t xml:space="preserve"> </w:t>
      </w:r>
      <w:r>
        <w:rPr>
          <w:rFonts w:ascii="Times New Roman;sans-serif" w:hAnsi="Times New Roman;sans-serif"/>
          <w:b w:val="false"/>
          <w:color w:val="000000"/>
          <w:sz w:val="20"/>
        </w:rPr>
        <w:t>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(2.6% as of December 31, 2024). Final capping, closure and post-closure liabilities are then discounted using the credit adjusted risk-free rate in effect at the time the obligation is incurred. The weighted average rate applicable to our asset retirement obligations as of December 31, 2024 is between approximately 6.1% and 10.0%,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$11,350, $9,529 and $7,565 in fiscal years 2024,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We provide for the accrual and amortization of estimated future obligations for closure and post-closure based on tonnage placed into each site. With regards to final capping, the liability is recognized, and the costs are amortized based on the remaining airspace related to the specific final capping event. See Note 10, </w:t>
      </w:r>
      <w:r>
        <w:rPr>
          <w:rFonts w:ascii="Times New Roman;sans-serif" w:hAnsi="Times New Roman;sans-serif"/>
          <w:b w:val="false"/>
          <w:i/>
          <w:color w:val="000000"/>
          <w:sz w:val="20"/>
        </w:rPr>
        <w:t>Final Capping, Closure and Post-Closure Costs</w:t>
      </w:r>
      <w:r>
        <w:rPr>
          <w:color w:val="000000"/>
        </w:rPr>
        <w:t xml:space="preserve"> </w:t>
      </w:r>
      <w:r>
        <w:rPr>
          <w:rFonts w:ascii="Times New Roman;sans-serif" w:hAnsi="Times New Roman;sans-serif"/>
          <w:b w:val="false"/>
          <w:color w:val="000000"/>
          <w:sz w:val="20"/>
        </w:rPr>
        <w:t xml:space="preserve">for disclosure about asset retirement obligations related to final capping, closure and post-closure costs and Note 17, </w:t>
      </w:r>
      <w:r>
        <w:rPr>
          <w:rFonts w:ascii="Times New Roman;sans-serif" w:hAnsi="Times New Roman;sans-serif"/>
          <w:b w:val="false"/>
          <w:i/>
          <w:color w:val="000000"/>
          <w:sz w:val="20"/>
        </w:rPr>
        <w:t xml:space="preserve">Other Items and Charges </w:t>
      </w:r>
      <w:r>
        <w:rPr>
          <w:rFonts w:ascii="Times New Roman;sans-serif" w:hAnsi="Times New Roman;sans-serif"/>
          <w:b w:val="false"/>
          <w:color w:val="000000"/>
          <w:sz w:val="20"/>
        </w:rPr>
        <w:t>for disclosure about the write-off and subsequent partial recovery of historical payments for capping work associated with a veneer failure at a Subtitle D landfill we operate located in Seneca, New York (“Ontario County Landfill”) that occurred in fiscal year 2023.</w:t>
      </w:r>
    </w:p>
    <w:p>
      <w:pPr>
        <w:pStyle w:val="TextBody"/>
        <w:bidi w:val="0"/>
        <w:spacing w:lineRule="auto" w:line="288" w:before="120" w:after="283"/>
        <w:jc w:val="left"/>
        <w:rPr/>
      </w:pPr>
      <w:r>
        <w:rPr>
          <w:rFonts w:ascii="Times New Roman;sans-serif" w:hAnsi="Times New Roman;sans-serif"/>
          <w:b w:val="false"/>
          <w:color w:val="000000"/>
          <w:sz w:val="20"/>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2024 and December 31, 2023 totaled $266,446 and $241,728, respectively. There are no letters of credit securing closure and post-closure obligations as of December 31, 2024 and December 31, 2023. See Note 14, </w:t>
      </w:r>
      <w:r>
        <w:rPr>
          <w:rFonts w:ascii="Times New Roman;sans-serif" w:hAnsi="Times New Roman;sans-serif"/>
          <w:b w:val="false"/>
          <w:i/>
          <w:color w:val="000000"/>
          <w:sz w:val="20"/>
        </w:rPr>
        <w:t xml:space="preserve">Fair Value of Financial Instruments </w:t>
      </w:r>
      <w:r>
        <w:rPr>
          <w:rFonts w:ascii="Times New Roman;sans-serif" w:hAnsi="Times New Roman;sans-serif"/>
          <w:b w:val="false"/>
          <w:color w:val="000000"/>
          <w:sz w:val="20"/>
        </w:rPr>
        <w:t>for disclosure about restricted investment securities securing closure and post-closure obligations.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Accounting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party to three landfill operation and management agreements that we account for as operating leases. These agreements are long-term landfill operating contracts with government bodies whereby we receive tipping revenue, pay normal operating expenses and assume future final capping, closure and post-closure obligations. The government bodies retain ownership of each landfill. There are no bargain purchase options and title to each of the properties does not pass to us at the end of the respective lease terms. We allocate the consideration paid to the landfill airspace rights and underlying land lease based on the relative fair values.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up-front or one-time payments, the landfill operating agreements may require us to make future minimum rental payments, including success or 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respective operating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We recognize a right-of-use asset and a lease liability for core leases classified as operating leases with a term in excess of 12 months in our consolidated balance sheets. For other non-core operating leases, which are comprised of small-dollar-value items such as office equipment, we expense these costs in the period incurred rather than capitalizing such expenditures on our consolidated balance sheets. We identify lease and nonlease components in a contract to which consideration in the contract will be allocated.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 party. See Note 8,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for further disclosure about lease costs and other lease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lineRule="auto" w:line="288" w:before="120" w:after="283"/>
        <w:jc w:val="left"/>
        <w:rPr/>
      </w:pPr>
      <w:r>
        <w:rPr>
          <w:rFonts w:ascii="Times New Roman;sans-serif" w:hAnsi="Times New Roman;sans-serif"/>
          <w:b w:val="false"/>
          <w:i/>
          <w:color w:val="000000"/>
          <w:sz w:val="20"/>
        </w:rPr>
        <w:t>Goodwill.</w:t>
      </w:r>
      <w:r>
        <w:rPr>
          <w:color w:val="000000"/>
        </w:rPr>
        <w:t xml:space="preserve"> </w:t>
      </w:r>
      <w:r>
        <w:rPr>
          <w:rFonts w:ascii="Times New Roman;sans-serif" w:hAnsi="Times New Roman;sans-serif"/>
          <w:b w:val="false"/>
          <w:color w:val="000000"/>
          <w:sz w:val="20"/>
        </w:rPr>
        <w:t>Goodwill is the excess of our purchase consideration over the fair value of the net assets of acquired businesses. We do not amortize goodwill, but as discussed in the “</w:t>
      </w:r>
      <w:r>
        <w:rPr>
          <w:rFonts w:ascii="Times New Roman;sans-serif" w:hAnsi="Times New Roman;sans-serif"/>
          <w:b w:val="false"/>
          <w:i/>
          <w:color w:val="000000"/>
          <w:sz w:val="20"/>
        </w:rPr>
        <w:t>Asset Impairments</w:t>
      </w:r>
      <w:r>
        <w:rPr>
          <w:color w:val="000000"/>
        </w:rPr>
        <w:t xml:space="preserve">” </w:t>
      </w:r>
      <w:r>
        <w:rPr>
          <w:rFonts w:ascii="Times New Roman;sans-serif" w:hAnsi="Times New Roman;sans-serif"/>
          <w:b w:val="false"/>
          <w:color w:val="000000"/>
          <w:sz w:val="20"/>
        </w:rPr>
        <w:t xml:space="preserve">accounting policy below, we assess our goodwill for impairment at least annually. See Note 9, </w:t>
      </w:r>
      <w:r>
        <w:rPr>
          <w:rFonts w:ascii="Times New Roman;sans-serif" w:hAnsi="Times New Roman;sans-serif"/>
          <w:b w:val="false"/>
          <w:i/>
          <w:color w:val="000000"/>
          <w:sz w:val="20"/>
        </w:rPr>
        <w:t>Goodwill and Intangible Assets</w:t>
      </w:r>
      <w:r>
        <w:rPr>
          <w:color w:val="000000"/>
        </w:rPr>
        <w:t xml:space="preserve"> </w:t>
      </w:r>
      <w:r>
        <w:rPr>
          <w:rFonts w:ascii="Times New Roman;sans-serif" w:hAnsi="Times New Roman;sans-serif"/>
          <w:b w:val="false"/>
          <w:color w:val="000000"/>
          <w:sz w:val="20"/>
        </w:rPr>
        <w:t>for disclosure about goodwill.</w:t>
      </w:r>
    </w:p>
    <w:p>
      <w:pPr>
        <w:pStyle w:val="TextBody"/>
        <w:bidi w:val="0"/>
        <w:spacing w:lineRule="auto" w:line="288" w:before="120" w:after="283"/>
        <w:jc w:val="left"/>
        <w:rPr/>
      </w:pPr>
      <w:r>
        <w:rPr>
          <w:rFonts w:ascii="Times New Roman;sans-serif" w:hAnsi="Times New Roman;sans-serif"/>
          <w:b w:val="false"/>
          <w:i/>
          <w:color w:val="000000"/>
          <w:sz w:val="20"/>
        </w:rPr>
        <w:t>Intangible Assets.</w:t>
      </w:r>
      <w:r>
        <w:rPr>
          <w:color w:val="000000"/>
        </w:rPr>
        <w:t xml:space="preserve"> </w:t>
      </w:r>
      <w:r>
        <w:rPr>
          <w:rFonts w:ascii="Times New Roman;sans-serif" w:hAnsi="Times New Roman;sans-serif"/>
          <w:b w:val="false"/>
          <w:color w:val="000000"/>
          <w:sz w:val="20"/>
        </w:rPr>
        <w:t xml:space="preserve">Intangible assets consist primarily of covenants not-to-compete, customer relationships, and trade names. Intangible assets are recorded at fair value and are amortized based on the economic benefit provided or using the sum of years digits or straight-line methods over their estimated useful lives. Covenants not-to-compete, customer relationships and trade names are typically amortized over a term of no more than 10 years. See Note 9, </w:t>
      </w:r>
      <w:r>
        <w:rPr>
          <w:rFonts w:ascii="Times New Roman;sans-serif" w:hAnsi="Times New Roman;sans-serif"/>
          <w:b w:val="false"/>
          <w:i/>
          <w:color w:val="000000"/>
          <w:sz w:val="20"/>
        </w:rPr>
        <w:t>Goodwill and Intangible Assets</w:t>
      </w:r>
      <w:r>
        <w:rPr>
          <w:color w:val="000000"/>
        </w:rPr>
        <w:t xml:space="preserve"> </w:t>
      </w:r>
      <w:r>
        <w:rPr>
          <w:rFonts w:ascii="Times New Roman;sans-serif" w:hAnsi="Times New Roman;sans-serif"/>
          <w:b w:val="false"/>
          <w:color w:val="000000"/>
          <w:sz w:val="20"/>
        </w:rPr>
        <w:t>for disclosure about intangible assets.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Investments in Unconsolidated Entities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 over which we have significant influence over the investees’ operating and financing activities are accounted for under the equity method of accounting. As of December 31, 2024 and December 31, 2023, we had no investments accounted for under the equity method of accounting. Investments in affiliates in which we do not have the ability to exert significant influence over the investees’ operating and financing activities are accounted for under the cost method of accounting. As of December 31, 2024 and December 31, 2023, we had cost method investments totaling $10,967 and $10,967,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pStyle w:val="TextBody"/>
        <w:bidi w:val="0"/>
        <w:spacing w:lineRule="auto" w:line="288" w:before="120" w:after="283"/>
        <w:jc w:val="left"/>
        <w:rPr/>
      </w:pPr>
      <w:r>
        <w:rPr>
          <w:rFonts w:ascii="Times New Roman;sans-serif" w:hAnsi="Times New Roman;sans-serif"/>
          <w:b w:val="false"/>
          <w:color w:val="000000"/>
          <w:sz w:val="20"/>
        </w:rPr>
        <w:t xml:space="preserve">When we assess the carrying value of our investments for potential impairment, determining the fair value of our investments is reliant upon the availability of market information and/or other information provided by third 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color w:val="000000"/>
        </w:rPr>
        <w:t>“</w:t>
      </w:r>
      <w:r>
        <w:rPr>
          <w:rFonts w:ascii="Times New Roman;sans-serif" w:hAnsi="Times New Roman;sans-serif"/>
          <w:b w:val="false"/>
          <w:i/>
          <w:color w:val="000000"/>
          <w:sz w:val="20"/>
        </w:rPr>
        <w:t>Asset Impairments”</w:t>
      </w:r>
      <w:r>
        <w:rPr>
          <w:color w:val="000000"/>
        </w:rPr>
        <w:t xml:space="preserve"> </w:t>
      </w:r>
      <w:r>
        <w:rPr>
          <w:rFonts w:ascii="Times New Roman;sans-serif" w:hAnsi="Times New Roman;sans-serif"/>
          <w:b w:val="false"/>
          <w:color w:val="000000"/>
          <w:sz w:val="20"/>
        </w:rPr>
        <w:t>accounting policy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20" w:after="283"/>
        <w:jc w:val="left"/>
        <w:rPr/>
      </w:pPr>
      <w:r>
        <w:rPr>
          <w:rFonts w:ascii="Times New Roman;sans-serif" w:hAnsi="Times New Roman;sans-serif"/>
          <w:b w:val="false"/>
          <w:color w:val="000000"/>
          <w:sz w:val="20"/>
        </w:rPr>
        <w:t xml:space="preserve">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 See Note 11,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 xml:space="preserve">and Note 14, </w:t>
      </w:r>
      <w:r>
        <w:rPr>
          <w:rFonts w:ascii="Times New Roman;sans-serif" w:hAnsi="Times New Roman;sans-serif"/>
          <w:b w:val="false"/>
          <w:i/>
          <w:color w:val="000000"/>
          <w:sz w:val="20"/>
        </w:rPr>
        <w:t>Fair Value of Financial Instruments</w:t>
      </w:r>
      <w:r>
        <w:rPr>
          <w:color w:val="000000"/>
        </w:rPr>
        <w:t xml:space="preserve"> </w:t>
      </w:r>
      <w:r>
        <w:rPr>
          <w:rFonts w:ascii="Times New Roman;sans-serif" w:hAnsi="Times New Roman;sans-serif"/>
          <w:b w:val="false"/>
          <w:color w:val="000000"/>
          <w:sz w:val="20"/>
        </w:rPr>
        <w:t>for fair value disclosure about debt and financial instruments, respectively. See the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accounting policy below for the fair value disclosure about interest rate derivatives.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pStyle w:val="TextBody"/>
        <w:bidi w:val="0"/>
        <w:spacing w:lineRule="auto" w:line="288" w:before="120" w:after="283"/>
        <w:jc w:val="left"/>
        <w:rPr/>
      </w:pPr>
      <w:r>
        <w:rPr>
          <w:rFonts w:ascii="Times New Roman;sans-serif" w:hAnsi="Times New Roman;sans-serif"/>
          <w:b w:val="false"/>
          <w:color w:val="000000"/>
          <w:sz w:val="20"/>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in the consolidated financial statements in the reporting period in which the adjustment amounts are determined. All acquisition-related transaction and restructuring costs are to be expensed as incurred. See Note 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and Note 17, </w:t>
      </w:r>
      <w:r>
        <w:rPr>
          <w:rFonts w:ascii="Times New Roman;sans-serif" w:hAnsi="Times New Roman;sans-serif"/>
          <w:b w:val="false"/>
          <w:i/>
          <w:color w:val="000000"/>
          <w:sz w:val="20"/>
        </w:rPr>
        <w:t xml:space="preserve">Other Items and Charges </w:t>
      </w:r>
      <w:r>
        <w:rPr>
          <w:rFonts w:ascii="Times New Roman;sans-serif" w:hAnsi="Times New Roman;sans-serif"/>
          <w:b w:val="false"/>
          <w:color w:val="000000"/>
          <w:sz w:val="20"/>
        </w:rPr>
        <w:t>for disclosure about business acquisitions and acquisition related expense, respectively</w:t>
      </w:r>
      <w:r>
        <w:rPr>
          <w:rFonts w:ascii="Times New Roman;sans-serif" w:hAnsi="Times New Roman;sans-serif"/>
          <w:b/>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Environmental Remediation Liabilities</w:t>
      </w:r>
    </w:p>
    <w:p>
      <w:pPr>
        <w:pStyle w:val="TextBody"/>
        <w:bidi w:val="0"/>
        <w:spacing w:lineRule="auto" w:line="288" w:before="120" w:after="283"/>
        <w:jc w:val="left"/>
        <w:rPr/>
      </w:pPr>
      <w:r>
        <w:rPr>
          <w:rFonts w:ascii="Times New Roman;sans-serif" w:hAnsi="Times New Roman;sans-serif"/>
          <w:b w:val="false"/>
          <w:color w:val="000000"/>
          <w:sz w:val="20"/>
        </w:rPr>
        <w:t xml:space="preserve">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 See Note 12,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disclosure about environmental remediation liabilities.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Self-Insurance Liabilities and Related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self-insured for vehicles and workers’ compensation with reinsurance coverage limiting our maximum exposure. In fiscal year 2024, our maximum exposure per individual event under the workers’ compensation plan was $1,500. In fiscal year 2024, our minimum and maximum exposure per individual event under the automobile plan were up to $2,000 and $4,200, respectively. The liability for unpaid claims and associated expenses, including incurred but not reported losses, is determined by management with the assistance of a third-party actuary and reflected in our consolidated balance sheets as an accrued liability. We use a third 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$24,949 and $22,427 as of December 31, 2024 and December 31, 2023, respectively. Our estimated accruals for these liabilities could be significantly different than our ultimate obligations if variables such as the frequency or severity of future events differ significantly from our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pStyle w:val="TextBody"/>
        <w:bidi w:val="0"/>
        <w:spacing w:lineRule="auto" w:line="288" w:before="120" w:after="283"/>
        <w:jc w:val="left"/>
        <w:rPr/>
      </w:pPr>
      <w:r>
        <w:rPr>
          <w:rFonts w:ascii="Times New Roman;sans-serif" w:hAnsi="Times New Roman;sans-serif"/>
          <w:b w:val="false"/>
          <w:color w:val="000000"/>
          <w:sz w:val="20"/>
        </w:rPr>
        <w:t xml:space="preserve">We account for income tax uncertainties according to guidance on the recognition, derecognition and measurement of potential tax benefits associated with tax positions. We recognize interest and penalties relating to income tax matters as a component of income tax expense. See Note 16,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for disclosure related to income taxes.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 and Hedging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consolidated balance sheet as either an asset or liability measured at its fair value. The guidance requires that changes in the derivative’s fair value be recognized currently in earnings unless specific hedge accounting criteria are met. </w:t>
      </w:r>
    </w:p>
    <w:p>
      <w:pPr>
        <w:pStyle w:val="TextBody"/>
        <w:bidi w:val="0"/>
        <w:spacing w:lineRule="auto" w:line="288" w:before="120" w:after="283"/>
        <w:jc w:val="left"/>
        <w:rPr/>
      </w:pPr>
      <w:r>
        <w:rPr>
          <w:rFonts w:ascii="Times New Roman;sans-serif" w:hAnsi="Times New Roman;sans-serif"/>
          <w:b w:val="false"/>
          <w:color w:val="000000"/>
          <w:sz w:val="20"/>
        </w:rPr>
        <w:t xml:space="preserve">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 See Note 11,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 xml:space="preserve">for further disclosure about interest rate derivatives and Note 14, </w:t>
      </w:r>
      <w:r>
        <w:rPr>
          <w:rFonts w:ascii="Times New Roman;sans-serif" w:hAnsi="Times New Roman;sans-serif"/>
          <w:b w:val="false"/>
          <w:i/>
          <w:color w:val="000000"/>
          <w:sz w:val="20"/>
        </w:rPr>
        <w:t>Fair Value of Financial Instruments</w:t>
      </w:r>
      <w:r>
        <w:rPr>
          <w:color w:val="000000"/>
        </w:rPr>
        <w:t xml:space="preserve"> </w:t>
      </w:r>
      <w:r>
        <w:rPr>
          <w:rFonts w:ascii="Times New Roman;sans-serif" w:hAnsi="Times New Roman;sans-serif"/>
          <w:b w:val="false"/>
          <w:color w:val="000000"/>
          <w:sz w:val="20"/>
        </w:rPr>
        <w:t xml:space="preserve">for fair value disclosure about derivative instruments.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Contingent Liabilities</w:t>
      </w:r>
    </w:p>
    <w:p>
      <w:pPr>
        <w:pStyle w:val="TextBody"/>
        <w:bidi w:val="0"/>
        <w:spacing w:lineRule="auto" w:line="288" w:before="120" w:after="283"/>
        <w:jc w:val="left"/>
        <w:rPr/>
      </w:pPr>
      <w:r>
        <w:rPr>
          <w:rFonts w:ascii="Times New Roman;sans-serif" w:hAnsi="Times New Roman;sans-serif"/>
          <w:b w:val="false"/>
          <w:color w:val="000000"/>
          <w:sz w:val="20"/>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12,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disclosure about loss contingencies,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disaggregate our revenues by applicable service line: collection, landfill, transfer, transportation, landfill gas-to-energy, processing, and services provided by our National Accounts business. Under the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do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to customers that are not in exchange for a distinct good or service are recorded as a reduction of revenues. We make rebates to certain customers associated with payments for recycled or organic materials that are received and subsequently processed and sold to other third parties. Rebates are generally recorded as a reduction of revenues upon the sale of such materials, or upon receipt of the recycled materials at our facilities. We did not record revenues in fiscal years 2024, 2023, or 2022 from performance obligations satisfied in previous periods. </w:t>
      </w:r>
    </w:p>
    <w:p>
      <w:pPr>
        <w:pStyle w:val="TextBody"/>
        <w:bidi w:val="0"/>
        <w:spacing w:lineRule="auto" w:line="288" w:before="120" w:after="283"/>
        <w:jc w:val="left"/>
        <w:rPr/>
      </w:pPr>
      <w:r>
        <w:rPr>
          <w:rFonts w:ascii="Times New Roman;sans-serif" w:hAnsi="Times New Roman;sans-serif"/>
          <w:b w:val="false"/>
          <w:color w:val="000000"/>
          <w:sz w:val="20"/>
        </w:rPr>
        <w:t xml:space="preserve">Contract receivables, which are included in Accounts receivable, net, are recorded when billed or when related revenue is earned, if earlier, and represent claims against third parties that will be settled in cash. Accounts receivable, net includes receivables from contracts of $162,916 and $158,931 as of December 31, 2024 and December 31, 2023, respectively. Certain customers are billed in advance and, accordingly, recognition of the related revenues for which payment has been received is deferred as a contract liability until the services are provided and control transferred to the customer. Contract liabilities of $50,690 and $31,472 as of December 31, 2024 and December 31, 2023, respectively, are presented separately on the consolidated balance sheets. Due to the short-term nature of advanced billings, substantially all of the deferred revenue recognized as a contract liability as of December 31, 2023 and December 31, 2022 was recognized as revenue during fiscal years 2024 and 2023, respectively, when the services were performed. See Note 4,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for disclosure over revenues by applicable service 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Asset Impairments</w:t>
      </w:r>
    </w:p>
    <w:p>
      <w:pPr>
        <w:pStyle w:val="TextBody"/>
        <w:bidi w:val="0"/>
        <w:spacing w:lineRule="auto" w:line="288" w:before="120" w:after="283"/>
        <w:jc w:val="left"/>
        <w:rPr/>
      </w:pPr>
      <w:r>
        <w:rPr>
          <w:rFonts w:ascii="Times New Roman;sans-serif" w:hAnsi="Times New Roman;sans-serif"/>
          <w:b w:val="false"/>
          <w:i/>
          <w:color w:val="000000"/>
          <w:sz w:val="20"/>
        </w:rPr>
        <w:t>Recovery of Long-Lived Assets.</w:t>
      </w:r>
      <w:r>
        <w:rPr>
          <w:color w:val="000000"/>
        </w:rPr>
        <w:t xml:space="preserve"> </w:t>
      </w:r>
      <w:r>
        <w:rPr>
          <w:rFonts w:ascii="Times New Roman;sans-serif" w:hAnsi="Times New Roman;sans-serif"/>
          <w:b w:val="false"/>
          <w:color w:val="000000"/>
          <w:sz w:val="20"/>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property and equipment, identifiable intangible assets, and operating lease right-of-use assets. Events or changes in circumstances that may indicate that an asset may be impaired include the following:</w:t>
      </w:r>
      <w:r>
        <w:rPr>
          <w:color w:val="000000"/>
        </w:rPr>
        <w:t>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significant decrease in the market price of an asset or asset group;</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significant adverse change in the extent or manner in which an asset or asset group is being used or in its physical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significant adverse change in legal factors or in the business climate that could affect the value of an asset or asset group, including an adverse action or assessment by a regulator;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accumulation of costs significantly in excess of the amount originally expected for the acquisition or construction of a long-lived asset;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a current period operating or cash flow loss combined with a history of operating or cash flow losses or a projection or forecast that demonstrates continuing losses associated with the use of a long-lived asset or asset group;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current expectation that, more likely than not, a long-lived asset or asset group will be sold or otherwise disposed of significantly before the end of its previously estimated useful life; 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impairment of goodwill at a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pStyle w:val="TextBody"/>
        <w:bidi w:val="0"/>
        <w:spacing w:lineRule="auto" w:line="288" w:before="120" w:after="283"/>
        <w:jc w:val="left"/>
        <w:rPr/>
      </w:pPr>
      <w:r>
        <w:rPr>
          <w:rFonts w:ascii="Times New Roman;sans-serif" w:hAnsi="Times New Roman;sans-serif"/>
          <w:b w:val="false"/>
          <w:i/>
          <w:color w:val="000000"/>
          <w:sz w:val="20"/>
        </w:rPr>
        <w:t>Goodwill.</w:t>
      </w:r>
      <w:r>
        <w:rPr>
          <w:color w:val="000000"/>
        </w:rPr>
        <w:t xml:space="preserve"> </w:t>
      </w:r>
      <w:r>
        <w:rPr>
          <w:rFonts w:ascii="Times New Roman;sans-serif" w:hAnsi="Times New Roman;sans-serif"/>
          <w:b w:val="false"/>
          <w:color w:val="000000"/>
          <w:sz w:val="20"/>
        </w:rPr>
        <w:t xml:space="preserve">We annually assess goodwill for impairment during the fourth quarter of our fiscal year or more frequently if events or circumstances indicate that impairment may exist.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to determine whether goodwill impairment exists at the reporting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pStyle w:val="TextBody"/>
        <w:bidi w:val="0"/>
        <w:spacing w:lineRule="auto" w:line="288" w:before="120" w:after="283"/>
        <w:jc w:val="left"/>
        <w:rPr/>
      </w:pPr>
      <w:r>
        <w:rPr>
          <w:rFonts w:ascii="Times New Roman;sans-serif" w:hAnsi="Times New Roman;sans-serif"/>
          <w:b w:val="false"/>
          <w:color w:val="000000"/>
          <w:sz w:val="20"/>
        </w:rPr>
        <w:t>In addition to an annual goodwill impairment assessment, we would evaluate a reporting unit for impairment if events or circumstances change between annual tests indicating a possible impairment. Examples of such events or circumstances include the following:</w:t>
      </w:r>
      <w:r>
        <w:rPr>
          <w:color w:val="000000"/>
        </w:rPr>
        <w:t>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 significant adverse change in legal status or in the business climate;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adverse action or assessment by a regulator;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a more likely than not expectation that an operating segment or a significant portion thereof will be sold; or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testing for recoverability of a significant asset group within the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elected to perform a quantitative analysis as part of our annual goodwill impairment test for fiscal year 2024. As of October 1, 2024, our Eastern, Western, Mid-Atlantic and Resource Solutions reporting units indicated that the fair value of each reporting unit exceeded its carrying amount, including goodwill. In each case of our Eastern, Western, Mid-Atlantic and Resource Solutions reporting units, the fair value of each reporting unit exceeded its carrying value by in excess of 23%. We incurred no impairment of goodwill as a result of our annual goodwill impairment tests in fiscal years 2024, 2023 or 2022. However, there can be no assurance that goodwill will not be impaired at any time in the future. </w:t>
      </w:r>
    </w:p>
    <w:p>
      <w:pPr>
        <w:pStyle w:val="TextBody"/>
        <w:bidi w:val="0"/>
        <w:spacing w:lineRule="auto" w:line="288" w:before="120" w:after="283"/>
        <w:jc w:val="left"/>
        <w:rPr/>
      </w:pPr>
      <w:r>
        <w:rPr>
          <w:rFonts w:ascii="Times New Roman;sans-serif" w:hAnsi="Times New Roman;sans-serif"/>
          <w:b w:val="false"/>
          <w:i/>
          <w:color w:val="000000"/>
          <w:sz w:val="20"/>
        </w:rPr>
        <w:t>Cost Method Investments.</w:t>
      </w:r>
      <w:r>
        <w:rPr>
          <w:color w:val="000000"/>
        </w:rPr>
        <w:t xml:space="preserve"> </w:t>
      </w:r>
      <w:r>
        <w:rPr>
          <w:rFonts w:ascii="Times New Roman;sans-serif" w:hAnsi="Times New Roman;sans-serif"/>
          <w:b w:val="false"/>
          <w:color w:val="000000"/>
          <w:sz w:val="20"/>
        </w:rPr>
        <w:t>We monitor and assess the carrying value of our cost method investments throughout the year for potential impairment and write them down to their fair value when other-than-temporary declines exist. We incurred no impairment of cost method investments in fiscal year 2024, 2023 or 2022. There can be no assurance that our cost method investments will not be impaired at any time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Defined Benefit Pension Plan </w:t>
      </w:r>
    </w:p>
    <w:p>
      <w:pPr>
        <w:pStyle w:val="TextBody"/>
        <w:bidi w:val="0"/>
        <w:spacing w:lineRule="auto" w:line="288" w:before="120" w:after="283"/>
        <w:jc w:val="left"/>
        <w:rPr/>
      </w:pPr>
      <w:r>
        <w:rPr>
          <w:rFonts w:ascii="Times New Roman;sans-serif" w:hAnsi="Times New Roman;sans-serif"/>
          <w:b w:val="false"/>
          <w:color w:val="000000"/>
          <w:sz w:val="20"/>
        </w:rPr>
        <w:t xml:space="preserve">We make contributions to one qualified multiemployer defined benefit pension plan (“Pension Plan”). The Pension Plan provides retirement benefits to participants based on their service.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 See Note 15, </w:t>
      </w:r>
      <w:r>
        <w:rPr>
          <w:rFonts w:ascii="Times New Roman;sans-serif" w:hAnsi="Times New Roman;sans-serif"/>
          <w:b w:val="false"/>
          <w:i/>
          <w:color w:val="000000"/>
          <w:sz w:val="20"/>
        </w:rPr>
        <w:t>Employee Benefit Plans</w:t>
      </w:r>
      <w:r>
        <w:rPr>
          <w:color w:val="000000"/>
        </w:rPr>
        <w:t xml:space="preserve"> </w:t>
      </w:r>
      <w:r>
        <w:rPr>
          <w:rFonts w:ascii="Times New Roman;sans-serif" w:hAnsi="Times New Roman;sans-serif"/>
          <w:b w:val="false"/>
          <w:color w:val="000000"/>
          <w:sz w:val="20"/>
        </w:rPr>
        <w:t>for disclosure about the Pension Plan.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20" w:after="283"/>
        <w:jc w:val="left"/>
        <w:rPr/>
      </w:pPr>
      <w:r>
        <w:rPr>
          <w:rFonts w:ascii="Times New Roman;sans-serif" w:hAnsi="Times New Roman;sans-serif"/>
          <w:b w:val="false"/>
          <w:color w:val="000000"/>
          <w:sz w:val="20"/>
        </w:rPr>
        <w:t xml:space="preserve">Our equity awards granted generally consist of stock options, restricted stock awards, restricted stock units and market-based performance stock units. The fair value of each stock option grant is estimated using a Black-Scholes option-pricing model. The fair value of restricted stock award and restricted stock unit grants is at a price equal to the fair market value of our Class A common stock at the date of grant. Compensation expense associated with our stock options, restricted stock awards and restricted stock units is recognized as expense in general and administration expense over the employee’s requisite service period. The fair value of market-based performance stock unit grants is valued using a Monte Carlo pricing model and compensation expense is recognized as expense in general and administration expense ratably over the performance period based on our estimated achievement of the established performance criteria. For purposes of calculating stock-based compensation expense, forfeitures are accounted for as they occur. See Note 13, </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for disclosure about stock-based compensation.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00" w:after="100"/>
        <w:jc w:val="left"/>
        <w:rPr/>
      </w:pPr>
      <w:r>
        <w:rPr>
          <w:rFonts w:ascii="Times New Roman;sans-serif" w:hAnsi="Times New Roman;sans-serif"/>
          <w:b w:val="false"/>
          <w:color w:val="000000"/>
          <w:sz w:val="20"/>
        </w:rPr>
        <w:t xml:space="preserve">Basic earnings per share is computed by dividing net income by the weighted average number of common shares outstanding during the period. Diluted earnings per share is computed by dividing net income by the combined weighted average number of common shares outstanding during the period and potentially dilutive shares. Dilutive shares include the assumed exercise of employee stock options, unvested restricted stock awards, unvested restricted stock units and unvested market-based performance stock units based on the expected achievement of performance targets. In computing diluted earnings per share, we utilize the treasury stock method. See Note 18, </w:t>
      </w:r>
      <w:r>
        <w:rPr>
          <w:rFonts w:ascii="Times New Roman;sans-serif" w:hAnsi="Times New Roman;sans-serif"/>
          <w:b w:val="false"/>
          <w:i/>
          <w:color w:val="000000"/>
          <w:sz w:val="20"/>
        </w:rPr>
        <w:t>Earnings Per Share</w:t>
      </w:r>
      <w:r>
        <w:rPr>
          <w:color w:val="000000"/>
        </w:rPr>
        <w:t xml:space="preserve"> </w:t>
      </w:r>
      <w:r>
        <w:rPr>
          <w:rFonts w:ascii="Times New Roman;sans-serif" w:hAnsi="Times New Roman;sans-serif"/>
          <w:b w:val="false"/>
          <w:color w:val="000000"/>
          <w:sz w:val="20"/>
        </w:rPr>
        <w:t>for disclosure about the calculation of earnings per share.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or transactions that have occurred after the consolidated balance sheet date of December 31, 2024 through the date of this filing of the consolidated financial statements with the SEC on this Annual Report on Form 10-K and determined that, except as disclosed, there have been no material subsequent events that have occurred since December 31, 2024 through the date of this filing that would require recognition or disclosure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disaggregate our revenues by applicable service line as follows: collection, landfill, transfer, transportation, landfill gas-to-energy, processing and National Accounts.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Collection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Collection revenues are principally generated by providing waste collection and disposal services to our customers. Services may be provided as needed or as scheduled.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Landfill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Transfer station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Transportation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Landfill gas-to-energy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 services primarily consist of the generation and sale of electricity from landfill gas-to-energy facilities located at certain of our landfills; the generation and sale of renewable natural gas (“RNG”) from a landfill RNG facility; the reservation of electric generating capacity to be used by a customer on demand; and the sale of RECs.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Processing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customers in the form of processing fees, tipping fees, and commodity sales, primarily comprised of newspaper, corrugated containers, plastics, ferrous and aluminum, and organic materials such as our earthlife® soils products including fertilizers, composts and mulches.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National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table of revenues disaggregated by service line and timing of revenue recognition by operating segment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Fiscal Year Ended December 31, 2024 </w:t>
      </w:r>
    </w:p>
    <w:tbl>
      <w:tblPr>
        <w:tblW w:w="10045"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70"/>
        <w:gridCol w:w="1060"/>
        <w:gridCol w:w="139"/>
        <w:gridCol w:w="109"/>
        <w:gridCol w:w="109"/>
        <w:gridCol w:w="109"/>
        <w:gridCol w:w="211"/>
        <w:gridCol w:w="97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329,867 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329,867 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Fiscal Year Ended December 31, 2023 </w:t>
      </w:r>
    </w:p>
    <w:tbl>
      <w:tblPr>
        <w:tblW w:w="10189"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61"/>
        <w:gridCol w:w="894"/>
        <w:gridCol w:w="135"/>
        <w:gridCol w:w="109"/>
        <w:gridCol w:w="109"/>
        <w:gridCol w:w="109"/>
        <w:gridCol w:w="270"/>
        <w:gridCol w:w="1060"/>
        <w:gridCol w:w="139"/>
        <w:gridCol w:w="109"/>
        <w:gridCol w:w="109"/>
        <w:gridCol w:w="109"/>
        <w:gridCol w:w="211"/>
        <w:gridCol w:w="97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292,799 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292,799 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Fiscal Year Ended December 31, 2022 </w:t>
      </w:r>
    </w:p>
    <w:tbl>
      <w:tblPr>
        <w:tblW w:w="10189"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375"/>
        <w:gridCol w:w="721"/>
        <w:gridCol w:w="194"/>
        <w:gridCol w:w="109"/>
        <w:gridCol w:w="109"/>
        <w:gridCol w:w="109"/>
        <w:gridCol w:w="270"/>
        <w:gridCol w:w="1060"/>
        <w:gridCol w:w="139"/>
        <w:gridCol w:w="109"/>
        <w:gridCol w:w="109"/>
        <w:gridCol w:w="109"/>
        <w:gridCol w:w="211"/>
        <w:gridCol w:w="97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BUSINESS COMBINATIONS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we acquired eight businesses: four of which are in our Mid-Atlantic region, including the purchase of all the equity interests of Whitetail Disposal, Inc. and the assets of LMR Disposal, LLC, which together include collection operations in eastern Pennsylvania and western New Jersey; two of which are in our Western region, including the purchase of all equity interests of Royal Carting and Welsh Sanitation and related real estate assets, which consists of collection and transfer operations in the middle and lower Hudson Valley regions of New York as well as western Connecticut; and two of which are tuck-in operations in our Eastern region.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we acquired seven businesses: the equity interests of four wholly-owned subsidiaries of GFL Environmental Inc., which include solid waste collection, transfer and recycling operations in Pennsylvania, Maryland and Delaware (the “GFL Acquisition”); the assets of Consolidated Waste Services, LLC and its affiliates (dba Twin Bridges), consisting of a collection, transfer and recycling business in the greater Albany, New York area (“Twin Bridges Acquisition”); and five additional solid waste collection businesses that provide collection, transfer and recycling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year 2022, we acquired fourteen businesses primarily related to our solid waste collection, transfer, recycling and transportation operations. </w:t>
      </w:r>
    </w:p>
    <w:p>
      <w:pPr>
        <w:pStyle w:val="TextBody"/>
        <w:bidi w:val="0"/>
        <w:spacing w:lineRule="auto" w:line="288" w:before="120" w:after="283"/>
        <w:jc w:val="left"/>
        <w:rPr/>
      </w:pPr>
      <w:r>
        <w:rPr>
          <w:rFonts w:ascii="Times New Roman;sans-serif" w:hAnsi="Times New Roman;sans-serif"/>
          <w:b w:val="false"/>
          <w:color w:val="000000"/>
          <w:sz w:val="20"/>
        </w:rPr>
        <w:t>The operating results of these businesses acquired prior to December 31, 2024</w:t>
      </w:r>
      <w:r>
        <w:rPr>
          <w:color w:val="000000"/>
        </w:rPr>
        <w:t xml:space="preserve"> </w:t>
      </w:r>
      <w:r>
        <w:rPr>
          <w:rFonts w:ascii="Times New Roman;sans-serif" w:hAnsi="Times New Roman;sans-serif"/>
          <w:b w:val="false"/>
          <w:color w:val="000000"/>
          <w:sz w:val="20"/>
        </w:rPr>
        <w:t xml:space="preserve">have been included in the accompanying audited consolidated statements of operations from each date of acquisition, and each purchase price has been allocated to the net assets acquired based on fair values at the date of each acquisition with the residual amounts recorded as goodwill. Due to the integration of certain of these businesses within our existing market areas, it is not practicable to segregate the revenue and earnings of all of the acquired businesses since their respective acquisition dates.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price allocations are based on information existing at the acquisition dates or upon closing the transactions. Acquired intangible assets other than goodwill that are subject to amortization may include customer relationships, trade names and covenants not-to-compete. These are amortized over a two to ten-year period from the date of acquisition.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is primarily associated with the value of acquired businesses based on the current and anticipated operating performance of the business, in excess of the specific values allocated to other assets, new growth opportunities arising from the acquisitions, and expected synergies from combining the acquired businesses with our existing operations and implementing our operating strategies. Approximately $120,754 of goodwill associated with acquisitions completed in fiscal year 2024 is expected to be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purchase price paid and the purchase price allocation for acquisitions follows:</w:t>
      </w:r>
    </w:p>
    <w:tbl>
      <w:tblPr>
        <w:tblW w:w="10205" w:type="dxa"/>
        <w:jc w:val="left"/>
        <w:tblInd w:w="0" w:type="dxa"/>
        <w:tblLayout w:type="fixed"/>
        <w:tblCellMar>
          <w:top w:w="28" w:type="dxa"/>
          <w:left w:w="28" w:type="dxa"/>
          <w:bottom w:w="28" w:type="dxa"/>
          <w:right w:w="28" w:type="dxa"/>
        </w:tblCellMar>
      </w:tblPr>
      <w:tblGrid>
        <w:gridCol w:w="2229"/>
        <w:gridCol w:w="1965"/>
        <w:gridCol w:w="1978"/>
        <w:gridCol w:w="211"/>
        <w:gridCol w:w="826"/>
        <w:gridCol w:w="109"/>
        <w:gridCol w:w="109"/>
        <w:gridCol w:w="109"/>
        <w:gridCol w:w="109"/>
        <w:gridCol w:w="211"/>
        <w:gridCol w:w="826"/>
        <w:gridCol w:w="109"/>
        <w:gridCol w:w="109"/>
        <w:gridCol w:w="109"/>
        <w:gridCol w:w="109"/>
        <w:gridCol w:w="211"/>
        <w:gridCol w:w="721"/>
        <w:gridCol w:w="155"/>
      </w:tblGrid>
      <w:tr>
        <w:trPr/>
        <w:tc>
          <w:tcPr>
            <w:tcW w:w="222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6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acquisitions, net of cash acquired of $11,687, $1,014, and $—,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settlements due from sellers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Holdbacks and additional consideration due to sellers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as follows: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assets </w:t>
            </w:r>
            <w:r>
              <w:rPr>
                <w:rFonts w:ascii="Times New Roman;sans-serif" w:hAnsi="Times New Roman;sans-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Machinery, equipment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Covenants not-to-compete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acquired and liabilities assumed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purchase price to be allocated to 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contract receivables in fiscal year 2024, 2023 and 2022 of $12,936, $17,002 and $6,806, respectively. Substantially all of contractual amounts are expected to be collected.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allocations are preliminary and subject to revision upon finalization of third-party valuations over each respective one-year measurement period. Accordingly, the purchase price allocations for fiscal year 2024 are subject to change. Amounts in the fiscal years 2023 and 2022 are preliminary as disclosed based on information existing at the acquisition dates or upon closing the transaction and have since been updated based upon the finalization of third-party valuations, including the value of certain tangible and intangible assets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pro forma combined information that shows our operational results as though each acquisition completed through December 31, 2024 had occurred as of January 1, 2022 is as follows:</w:t>
      </w:r>
    </w:p>
    <w:tbl>
      <w:tblPr>
        <w:tblW w:w="9912" w:type="dxa"/>
        <w:jc w:val="left"/>
        <w:tblInd w:w="0" w:type="dxa"/>
        <w:tblLayout w:type="fixed"/>
        <w:tblCellMar>
          <w:top w:w="28" w:type="dxa"/>
          <w:left w:w="28" w:type="dxa"/>
          <w:bottom w:w="28" w:type="dxa"/>
          <w:right w:w="28" w:type="dxa"/>
        </w:tblCellMar>
      </w:tblPr>
      <w:tblGrid>
        <w:gridCol w:w="1927"/>
        <w:gridCol w:w="1687"/>
        <w:gridCol w:w="1711"/>
        <w:gridCol w:w="211"/>
        <w:gridCol w:w="976"/>
        <w:gridCol w:w="109"/>
        <w:gridCol w:w="109"/>
        <w:gridCol w:w="109"/>
        <w:gridCol w:w="109"/>
        <w:gridCol w:w="211"/>
        <w:gridCol w:w="976"/>
        <w:gridCol w:w="109"/>
        <w:gridCol w:w="109"/>
        <w:gridCol w:w="109"/>
        <w:gridCol w:w="109"/>
        <w:gridCol w:w="211"/>
        <w:gridCol w:w="976"/>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common stockholders: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common stockholders: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common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results set forth in the table above have been prepared for comparative purposes only and are not necessarily indicative of the actual results of operations had the acquisitions taken place as of January 1, 2022 or the results of our future operations. Furthermore, the unaudited pro forma results do not give effect to all cost savings or incremental costs that may occur as a result of the integration and consolidation of the completed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6.    ACCOUNTS RECEIVABLE, NET OF ALLOWANCE FOR CREDIT LOSSES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to allowance for credit losses follows:</w:t>
      </w:r>
    </w:p>
    <w:tbl>
      <w:tblPr>
        <w:tblW w:w="9589" w:type="dxa"/>
        <w:jc w:val="left"/>
        <w:tblInd w:w="0" w:type="dxa"/>
        <w:tblLayout w:type="fixed"/>
        <w:tblCellMar>
          <w:top w:w="28" w:type="dxa"/>
          <w:left w:w="28" w:type="dxa"/>
          <w:bottom w:w="28" w:type="dxa"/>
          <w:right w:w="28" w:type="dxa"/>
        </w:tblCellMar>
      </w:tblPr>
      <w:tblGrid>
        <w:gridCol w:w="2125"/>
        <w:gridCol w:w="1865"/>
        <w:gridCol w:w="1874"/>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212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Additions - charged to expense </w:t>
            </w:r>
            <w:r>
              <w:rPr>
                <w:rFonts w:ascii="Times New Roman;sans-serif" w:hAnsi="Times New Roman;sans-serif"/>
                <w:b w:val="false"/>
                <w:color w:val="000000"/>
                <w:sz w:val="16"/>
              </w:rPr>
              <w:t>(1)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 reserve for acquired receivables with credit deterioration</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Deductions - write offs charged against the allowance, net of recoveries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20"/>
        </w:rPr>
        <w:t xml:space="preserve">(1)Includes a charge recorded in fiscal year 2024 in expense from acquisition activities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 See Note 17, </w:t>
      </w:r>
      <w:r>
        <w:rPr>
          <w:rFonts w:ascii="Times New Roman;sans-serif" w:hAnsi="Times New Roman;sans-serif"/>
          <w:b w:val="false"/>
          <w:i/>
          <w:color w:val="000000"/>
          <w:sz w:val="20"/>
        </w:rPr>
        <w:t xml:space="preserve">Other Items and Charges </w:t>
      </w:r>
      <w:r>
        <w:rPr>
          <w:rFonts w:ascii="Times New Roman;sans-serif" w:hAnsi="Times New Roman;sans-serif"/>
          <w:b w:val="false"/>
          <w:color w:val="000000"/>
          <w:sz w:val="20"/>
        </w:rPr>
        <w:t>for disclosure regarding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property and equipment is as follows:</w:t>
      </w:r>
    </w:p>
    <w:tbl>
      <w:tblPr>
        <w:tblW w:w="6982" w:type="dxa"/>
        <w:jc w:val="left"/>
        <w:tblInd w:w="0" w:type="dxa"/>
        <w:tblLayout w:type="fixed"/>
        <w:tblCellMar>
          <w:top w:w="28" w:type="dxa"/>
          <w:left w:w="28" w:type="dxa"/>
          <w:bottom w:w="28" w:type="dxa"/>
          <w:right w:w="28" w:type="dxa"/>
        </w:tblCellMar>
      </w:tblPr>
      <w:tblGrid>
        <w:gridCol w:w="1505"/>
        <w:gridCol w:w="1317"/>
        <w:gridCol w:w="1333"/>
        <w:gridCol w:w="211"/>
        <w:gridCol w:w="976"/>
        <w:gridCol w:w="109"/>
        <w:gridCol w:w="109"/>
        <w:gridCol w:w="109"/>
        <w:gridCol w:w="109"/>
        <w:gridCol w:w="213"/>
        <w:gridCol w:w="837"/>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right-of-use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Containers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property and equipment </w:t>
            </w:r>
            <w:r>
              <w:rPr>
                <w:rFonts w:ascii="Times New Roman;sans-serif" w:hAnsi="Times New Roman;sans-serif"/>
                <w:b w:val="false"/>
                <w:color w:val="000000"/>
                <w:sz w:val="16"/>
              </w:rPr>
              <w:t>(1)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and amortization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construction-in-process of $104,686 and $74,408 at December 31, 2024 and December 31, 2023, respectively, that have not been placed in service and, therefore, have not begun depreciating.</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fiscal years 2024, 2023 and 2022 was $133,928, $99,249 and $78,139, respectively. Landfill amortization expense for fiscal years 2024, 2023 and 2022 was $44,498, $40,419 and $31,619,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schedule of lease costs and other lease information follows:</w:t>
      </w:r>
    </w:p>
    <w:tbl>
      <w:tblPr>
        <w:tblW w:w="9108" w:type="dxa"/>
        <w:jc w:val="left"/>
        <w:tblInd w:w="0" w:type="dxa"/>
        <w:tblLayout w:type="fixed"/>
        <w:tblCellMar>
          <w:top w:w="28" w:type="dxa"/>
          <w:left w:w="28" w:type="dxa"/>
          <w:bottom w:w="28" w:type="dxa"/>
          <w:right w:w="28" w:type="dxa"/>
        </w:tblCellMar>
      </w:tblPr>
      <w:tblGrid>
        <w:gridCol w:w="2238"/>
        <w:gridCol w:w="1970"/>
        <w:gridCol w:w="1987"/>
        <w:gridCol w:w="211"/>
        <w:gridCol w:w="721"/>
        <w:gridCol w:w="109"/>
        <w:gridCol w:w="109"/>
        <w:gridCol w:w="109"/>
        <w:gridCol w:w="109"/>
        <w:gridCol w:w="261"/>
        <w:gridCol w:w="893"/>
        <w:gridCol w:w="391"/>
      </w:tblGrid>
      <w:tr>
        <w:trPr/>
        <w:tc>
          <w:tcPr>
            <w:tcW w:w="223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 - vehicles, equipment and property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 - landfill 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15,318 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30,458 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 (years)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(years)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minimum future lease obligations as of December 31, 2024 for each of the next five fiscal years and thereafter are as follows:</w:t>
      </w:r>
    </w:p>
    <w:tbl>
      <w:tblPr>
        <w:tblW w:w="6146" w:type="dxa"/>
        <w:jc w:val="left"/>
        <w:tblInd w:w="0" w:type="dxa"/>
        <w:tblLayout w:type="fixed"/>
        <w:tblCellMar>
          <w:top w:w="28" w:type="dxa"/>
          <w:left w:w="28" w:type="dxa"/>
          <w:bottom w:w="28" w:type="dxa"/>
          <w:right w:w="28" w:type="dxa"/>
        </w:tblCellMar>
      </w:tblPr>
      <w:tblGrid>
        <w:gridCol w:w="1167"/>
        <w:gridCol w:w="1025"/>
        <w:gridCol w:w="1032"/>
        <w:gridCol w:w="276"/>
        <w:gridCol w:w="946"/>
        <w:gridCol w:w="143"/>
        <w:gridCol w:w="109"/>
        <w:gridCol w:w="109"/>
        <w:gridCol w:w="109"/>
        <w:gridCol w:w="239"/>
        <w:gridCol w:w="817"/>
        <w:gridCol w:w="17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2028</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2029</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balance</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GOODWILL AND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and balances related to goodwill by reportable operating segment is as follows:</w:t>
      </w:r>
    </w:p>
    <w:tbl>
      <w:tblPr>
        <w:tblW w:w="9490" w:type="dxa"/>
        <w:jc w:val="left"/>
        <w:tblInd w:w="0" w:type="dxa"/>
        <w:tblLayout w:type="fixed"/>
        <w:tblCellMar>
          <w:top w:w="28" w:type="dxa"/>
          <w:left w:w="28" w:type="dxa"/>
          <w:bottom w:w="28" w:type="dxa"/>
          <w:right w:w="28" w:type="dxa"/>
        </w:tblCellMar>
      </w:tblPr>
      <w:tblGrid>
        <w:gridCol w:w="612"/>
        <w:gridCol w:w="537"/>
        <w:gridCol w:w="546"/>
        <w:gridCol w:w="276"/>
        <w:gridCol w:w="1081"/>
        <w:gridCol w:w="142"/>
        <w:gridCol w:w="109"/>
        <w:gridCol w:w="109"/>
        <w:gridCol w:w="109"/>
        <w:gridCol w:w="211"/>
        <w:gridCol w:w="826"/>
        <w:gridCol w:w="109"/>
        <w:gridCol w:w="109"/>
        <w:gridCol w:w="109"/>
        <w:gridCol w:w="109"/>
        <w:gridCol w:w="589"/>
        <w:gridCol w:w="1726"/>
        <w:gridCol w:w="309"/>
        <w:gridCol w:w="109"/>
        <w:gridCol w:w="109"/>
        <w:gridCol w:w="109"/>
        <w:gridCol w:w="243"/>
        <w:gridCol w:w="1125"/>
        <w:gridCol w:w="177"/>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 Combination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735,670 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1,002,266 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90" w:type="dxa"/>
        <w:jc w:val="left"/>
        <w:tblInd w:w="0" w:type="dxa"/>
        <w:tblLayout w:type="fixed"/>
        <w:tblCellMar>
          <w:top w:w="28" w:type="dxa"/>
          <w:left w:w="28" w:type="dxa"/>
          <w:bottom w:w="28" w:type="dxa"/>
          <w:right w:w="28" w:type="dxa"/>
        </w:tblCellMar>
      </w:tblPr>
      <w:tblGrid>
        <w:gridCol w:w="612"/>
        <w:gridCol w:w="537"/>
        <w:gridCol w:w="546"/>
        <w:gridCol w:w="276"/>
        <w:gridCol w:w="1081"/>
        <w:gridCol w:w="142"/>
        <w:gridCol w:w="109"/>
        <w:gridCol w:w="109"/>
        <w:gridCol w:w="109"/>
        <w:gridCol w:w="211"/>
        <w:gridCol w:w="826"/>
        <w:gridCol w:w="109"/>
        <w:gridCol w:w="109"/>
        <w:gridCol w:w="109"/>
        <w:gridCol w:w="109"/>
        <w:gridCol w:w="762"/>
        <w:gridCol w:w="1466"/>
        <w:gridCol w:w="397"/>
        <w:gridCol w:w="109"/>
        <w:gridCol w:w="109"/>
        <w:gridCol w:w="109"/>
        <w:gridCol w:w="273"/>
        <w:gridCol w:w="1072"/>
        <w:gridCol w:w="199"/>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 Combination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Mid-Atlantic</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735,670 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intangible assets is as follows:</w:t>
      </w:r>
    </w:p>
    <w:tbl>
      <w:tblPr>
        <w:tblW w:w="8981" w:type="dxa"/>
        <w:jc w:val="left"/>
        <w:tblInd w:w="0" w:type="dxa"/>
        <w:tblLayout w:type="fixed"/>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262,295 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81" w:type="dxa"/>
        <w:jc w:val="left"/>
        <w:tblInd w:w="0" w:type="dxa"/>
        <w:tblLayout w:type="fixed"/>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expense for fiscal years 2024, 2023 and 2022 was $56,481, $31,037 and $16,593, respectively.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amortizable intangible assets recorded in the consolidated balance sheets at December 31, 2024, intangible amortization expense for each of the next five fiscal years and thereafter is estimated as follows:</w:t>
      </w:r>
    </w:p>
    <w:tbl>
      <w:tblPr>
        <w:tblW w:w="4310" w:type="dxa"/>
        <w:jc w:val="left"/>
        <w:tblInd w:w="0" w:type="dxa"/>
        <w:tblLayout w:type="fixed"/>
        <w:tblCellMar>
          <w:top w:w="28" w:type="dxa"/>
          <w:left w:w="28" w:type="dxa"/>
          <w:bottom w:w="28" w:type="dxa"/>
          <w:right w:w="28" w:type="dxa"/>
        </w:tblCellMar>
      </w:tblPr>
      <w:tblGrid>
        <w:gridCol w:w="1167"/>
        <w:gridCol w:w="1025"/>
        <w:gridCol w:w="1032"/>
        <w:gridCol w:w="211"/>
        <w:gridCol w:w="72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FINAL CAPPING, CLOSURE AND POST-CLOSURE COSTS</w:t>
      </w:r>
    </w:p>
    <w:p>
      <w:pPr>
        <w:pStyle w:val="TextBody"/>
        <w:bidi w:val="0"/>
        <w:spacing w:lineRule="auto" w:line="288" w:before="120" w:after="283"/>
        <w:jc w:val="left"/>
        <w:rPr/>
      </w:pPr>
      <w:r>
        <w:rPr>
          <w:rFonts w:ascii="Times New Roman;sans-serif" w:hAnsi="Times New Roman;sans-serif"/>
          <w:b w:val="false"/>
          <w:color w:val="000000"/>
          <w:sz w:val="20"/>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The anticipated time frame for paying these costs varies based on the remaining useful life of each landfill, as well as the duration of the post-closure monitoring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to accrued final capping, closure and post-closure liabilities are as follows:</w:t>
      </w:r>
    </w:p>
    <w:tbl>
      <w:tblPr>
        <w:tblW w:w="6414" w:type="dxa"/>
        <w:jc w:val="left"/>
        <w:tblInd w:w="0" w:type="dxa"/>
        <w:tblLayout w:type="fixed"/>
        <w:tblCellMar>
          <w:top w:w="28" w:type="dxa"/>
          <w:left w:w="28" w:type="dxa"/>
          <w:bottom w:w="28" w:type="dxa"/>
          <w:right w:w="28" w:type="dxa"/>
        </w:tblCellMar>
      </w:tblPr>
      <w:tblGrid>
        <w:gridCol w:w="1359"/>
        <w:gridCol w:w="1192"/>
        <w:gridCol w:w="1199"/>
        <w:gridCol w:w="211"/>
        <w:gridCol w:w="826"/>
        <w:gridCol w:w="109"/>
        <w:gridCol w:w="109"/>
        <w:gridCol w:w="109"/>
        <w:gridCol w:w="109"/>
        <w:gridCol w:w="211"/>
        <w:gridCol w:w="82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Revisions in estimates</w:t>
            </w:r>
            <w:r>
              <w:rPr>
                <w:color w:val="000000"/>
              </w:rPr>
              <w:t xml:space="preserve"> </w:t>
            </w:r>
            <w:r>
              <w:rPr>
                <w:rFonts w:ascii="Times New Roman;sans-serif" w:hAnsi="Times New Roman;sans-serif"/>
                <w:b w:val="false"/>
                <w:color w:val="000000"/>
                <w:sz w:val="16"/>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Obligations settled </w:t>
            </w:r>
            <w:r>
              <w:rPr>
                <w:rFonts w:ascii="Times New Roman;sans-serif" w:hAnsi="Times New Roman;sans-serif"/>
                <w:b w:val="false"/>
                <w:color w:val="000000"/>
                <w:sz w:val="16"/>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(Recovery) write-off of capping payments </w:t>
            </w:r>
            <w:r>
              <w:rPr>
                <w:rFonts w:ascii="Times New Roman;sans-serif" w:hAnsi="Times New Roman;sans-serif"/>
                <w:b w:val="false"/>
                <w:color w:val="000000"/>
                <w:sz w:val="16"/>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ans-serif" w:hAnsi="Times New Roman;sans-serif"/>
          <w:b w:val="false"/>
          <w:color w:val="000000"/>
          <w:sz w:val="20"/>
        </w:rPr>
        <w:t xml:space="preserve">(1)Relates to changes in estimates and assumptions concerning anticipated waste flow, costs, including as a result of higher inflation, and timing of future final capping, closure and post-closure activities at our landfills. Fiscal year 2024 includes $8,385 related to the revision in estimates of the post-closure liability for the Town of Southbridge, Massachusetts landfill (“Southbridge Landfill”), related to the final closure permit. See Note 17, </w:t>
      </w:r>
      <w:r>
        <w:rPr>
          <w:rFonts w:ascii="Times New Roman;sans-serif" w:hAnsi="Times New Roman;sans-serif"/>
          <w:b w:val="false"/>
          <w:i/>
          <w:color w:val="000000"/>
          <w:sz w:val="20"/>
        </w:rPr>
        <w:t>Other Items and Charges</w:t>
      </w:r>
      <w:r>
        <w:rPr>
          <w:color w:val="000000"/>
        </w:rPr>
        <w:t xml:space="preserve"> </w:t>
      </w:r>
      <w:r>
        <w:rPr>
          <w:rFonts w:ascii="Times New Roman;sans-serif" w:hAnsi="Times New Roman;sans-serif"/>
          <w:b w:val="false"/>
          <w:color w:val="000000"/>
          <w:sz w:val="20"/>
        </w:rPr>
        <w:t>for further disclosure over the Southbridge Landfill revision.</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(2)May include amounts paid and amounts that are being processed through accounts payable as a part of our disbursement cycle.</w:t>
      </w:r>
    </w:p>
    <w:p>
      <w:pPr>
        <w:pStyle w:val="TextBody"/>
        <w:bidi w:val="0"/>
        <w:spacing w:lineRule="auto" w:line="288" w:before="60" w:after="283"/>
        <w:ind w:left="0" w:right="0" w:hanging="360"/>
        <w:jc w:val="left"/>
        <w:rPr/>
      </w:pPr>
      <w:r>
        <w:rPr>
          <w:rFonts w:ascii="Times New Roman;sans-serif" w:hAnsi="Times New Roman;sans-serif"/>
          <w:b w:val="false"/>
          <w:color w:val="000000"/>
          <w:sz w:val="20"/>
        </w:rPr>
        <w:t xml:space="preserve">(3)Relates to the write-off of historical payments associated with capping work that was deemed no longer viable due to a veneer failure at the Ontario County Landfill, which we operate, that occurred in fiscal year 2023, and subsequent partial recovery in fiscal year 2024 after an engineering evaluation determined that a portion of the affected area was still viable. See Note 17, </w:t>
      </w:r>
      <w:r>
        <w:rPr>
          <w:rFonts w:ascii="Times New Roman;sans-serif" w:hAnsi="Times New Roman;sans-serif"/>
          <w:b w:val="false"/>
          <w:i/>
          <w:color w:val="000000"/>
          <w:sz w:val="20"/>
        </w:rPr>
        <w:t xml:space="preserve">Other Items and Charges </w:t>
      </w:r>
      <w:r>
        <w:rPr>
          <w:rFonts w:ascii="Times New Roman;sans-serif" w:hAnsi="Times New Roman;sans-serif"/>
          <w:b w:val="false"/>
          <w:color w:val="000000"/>
          <w:sz w:val="20"/>
        </w:rPr>
        <w:t>for additional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debt is as follows:</w:t>
      </w:r>
    </w:p>
    <w:tbl>
      <w:tblPr>
        <w:tblW w:w="10205" w:type="dxa"/>
        <w:jc w:val="left"/>
        <w:tblInd w:w="0" w:type="dxa"/>
        <w:tblLayout w:type="fixed"/>
        <w:tblCellMar>
          <w:top w:w="28" w:type="dxa"/>
          <w:left w:w="28" w:type="dxa"/>
          <w:bottom w:w="28" w:type="dxa"/>
          <w:right w:w="28" w:type="dxa"/>
        </w:tblCellMar>
      </w:tblPr>
      <w:tblGrid>
        <w:gridCol w:w="2852"/>
        <w:gridCol w:w="2185"/>
        <w:gridCol w:w="2203"/>
        <w:gridCol w:w="211"/>
        <w:gridCol w:w="976"/>
        <w:gridCol w:w="109"/>
        <w:gridCol w:w="109"/>
        <w:gridCol w:w="109"/>
        <w:gridCol w:w="109"/>
        <w:gridCol w:w="211"/>
        <w:gridCol w:w="976"/>
        <w:gridCol w:w="155"/>
      </w:tblGrid>
      <w:tr>
        <w:trPr/>
        <w:tc>
          <w:tcPr>
            <w:tcW w:w="285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 (“Term Loan Facility”) payable quarterly beginning in the fiscal year ended December 31, 2027 with balance due September 2029; bearing interest at 5.967% as of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 payable quarterly with balance due December 2026 amended and restated in September 2024 as the Term Loan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 payable quarterly with balance due December 2026 amended and restated in September 2024 as the Term Loan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(“Revolving Credit Facility”) due September 2029; bearing interest at term secured overnight financing rate (“Term SOFR”) plus 1.610%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due December 2026 amended and restated in September 2024 as the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Tax-Exempt Bonds: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 (“New York Bonds 2014R-1”) due December 2044 - fixed rate interest period bearing interest at 2.875% through December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2014R-2 (“New York Bonds 2014R-2”) due December 2044 - fixed rate interest period bearing interest at 3.125% through May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2020 (“New York Bonds 2020”) due September 2050 - fixed rate interest period bearing interest at 2.750% through September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2020R-2 (“New York Bonds 2020R-2”) due September 2050 - fixed rate interest period bearing interest at 5.125% through September 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2005R-3 (“FAME Bonds 2005R-3”) due January 2025 - fixed rate interest period bearing interest at 5.25% through January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2015R-1 (“FAME Bonds 2015R-1”) due August 2035 - fixed rate interest period bearing interest at 5.125% through July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2015R-2 (“FAME Bonds 2015R-2”) due August 2035 - fixed rate interest period bearing interest at 4.375% through July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2024 (“FAME Bonds 2024”) due December 2047 - fixed rate interest period bearing interest at 4.625% through May 2035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2013 (“Vermont Bonds 2013”) due April 2036 - fixed rate interest period bearing interest at 4.625% through April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2022A-1 (“Vermont Bonds 2022A-1”) due June 2052 - fixed rate interest period bearing interest at 5.00% through May 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Finance Authority of the State of New Hampshire Solid Waste Disposal Revenue Bonds Series 2013 (“New Hampshire Bonds”) due April 2029 - fixed rate interest period bearing interest at 2.95% through April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maturing through December 2107; bearing interest at a weighted average of 4.6%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maturing through September 2028; bearing interest up to 8.1%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of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unamortized debt issuance costs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maturities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2024, we entered into a second amended and restated credit agreement (“Credit Agreement”), which amended and restated in its entirety our amended and restated credit agreement (“Existing Credit Agreement”). The Credit Agreement provides for a $800,000 aggregate principal amount Term Loan Facility and a $700,000 Revolving Credit Facility, with a $155,000 sublimit for letters of credit (collectively, the “Credit Facility”). The proceeds of the Credit Facility refinanced our term loans under the Existing Credit Agreement, and may be used for working capital, permitted acquisitions, investments and dividends and distributions, and for other general corporate purposes. The Existing Credit Agreement included a $430,000 aggregate principal amount Term Loan A Facility entered into in June 2023 to partially fund the GFL Acquisition.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0.300% to 1.175%</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commitment fee will be charged on undrawn amounts of our Revolving Credit Facility based upon our consolidated net leverage ratio in the range of 0.20% to 0.40% per annum, plus a sustainability adjustment of up to positive or negative 1.0 basis point per annum. The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December 31, 2024, further advances were available under the Credit Facility in the amount of $675,403. The available amount is net of outstanding irrevocable letters of credit totaling $24,597, and as of December 31, 2024 no amount had been drawn.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December 31, 2024,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Tax-Exempt Financings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Industrial revenue bonds are tax-exempt municipal debt securities issued by a government agency on our behalf and sold only to qualified institutional buyers. As of December 31, 2024, we had outstanding $277.0 million aggregate principal amount of tax-exempt bonds in the states of New York, Vermont, Maine and New Hampshire (collectively, the “Industrial Revenue Bonds”), which are unsecured and guaranteed jointly and severally, fully and unconditionally by all of our significant wholly-owned subsidiaries, and require interest payments semi-annually. The Industrial Revenue Bonds have fixed rate interest periods. At the end of each respective fixed rate interest period, the corresponding tax-exempt bond may be converted to a variable rate interest period or remarketed over a new fixed rate interest period. We borrowed the proceeds of the Industrial Revenue Bonds to finance or reimburse certain qualified capital projects and other costs in each respective state of issuance as defined in the related offering memorandum and indenture.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we completed the issuance of $45,000 aggregate principal amount of FAME Bonds 2024, $25,000 of which was restricted as of December 31, 2024 to be used for the repayment in full of FAME Bonds 2005R-3, which matured and were paid in January 2025. In fiscal year 2023, we completed the issuance of $35,000 aggregate principal amount of New York Bonds 2020R-2.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interest expense are as follows:</w:t>
      </w:r>
    </w:p>
    <w:tbl>
      <w:tblPr>
        <w:tblW w:w="8261" w:type="dxa"/>
        <w:jc w:val="left"/>
        <w:tblInd w:w="0" w:type="dxa"/>
        <w:tblLayout w:type="fixed"/>
        <w:tblCellMar>
          <w:top w:w="28" w:type="dxa"/>
          <w:left w:w="28" w:type="dxa"/>
          <w:bottom w:w="28" w:type="dxa"/>
          <w:right w:w="28" w:type="dxa"/>
        </w:tblCellMar>
      </w:tblPr>
      <w:tblGrid>
        <w:gridCol w:w="1609"/>
        <w:gridCol w:w="1410"/>
        <w:gridCol w:w="1420"/>
        <w:gridCol w:w="211"/>
        <w:gridCol w:w="721"/>
        <w:gridCol w:w="109"/>
        <w:gridCol w:w="109"/>
        <w:gridCol w:w="109"/>
        <w:gridCol w:w="109"/>
        <w:gridCol w:w="211"/>
        <w:gridCol w:w="721"/>
        <w:gridCol w:w="109"/>
        <w:gridCol w:w="109"/>
        <w:gridCol w:w="109"/>
        <w:gridCol w:w="109"/>
        <w:gridCol w:w="211"/>
        <w:gridCol w:w="721"/>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long-term debt and finance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debt issuance costs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of credit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(1)Includes interest expense related to a short-term secured bridge financing entered into in connection with the GFL Acquisition and interest expense related to a short-term unsecured bridge financing entered into in connection with the Twin Bridges Acquisition of $395 and $101, respectively, during the fiscal year 2023.</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Debt Modification Expense</w:t>
      </w:r>
    </w:p>
    <w:p>
      <w:pPr>
        <w:pStyle w:val="TextBody"/>
        <w:bidi w:val="0"/>
        <w:spacing w:lineRule="auto" w:line="288" w:before="24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we recognized debt modification expense of $1,396 associated with agent fees and other third-party costs we paid during the refinancing of our Credit Agreement.</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Loss from Termination of Bridge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we wrote-off the unamortized debt issuance costs and recognized a loss from termination of bridge financing upon the extinguishment of both a secured bridge financing agreement in connection with the GFL Acquisition of $3,718, and an unsecured bridge financing agreement in connection with the Twin Bridges Acquisition of $4,473.</w:t>
      </w:r>
    </w:p>
    <w:p>
      <w:pPr>
        <w:pStyle w:val="TextBody"/>
        <w:bidi w:val="0"/>
        <w:spacing w:lineRule="auto" w:line="288" w:before="240" w:after="283"/>
        <w:jc w:val="left"/>
        <w:rPr/>
      </w:pPr>
      <w:r>
        <w:rPr>
          <w:rFonts w:ascii="Times New Roman;sans-serif" w:hAnsi="Times New Roman;sans-serif"/>
          <w:b/>
          <w:color w:val="000000"/>
          <w:sz w:val="20"/>
        </w:rPr>
        <w:t>Cash Flow Hedges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to the notional amount of interest rate derivative agreements follows:</w:t>
      </w:r>
    </w:p>
    <w:tbl>
      <w:tblPr>
        <w:tblW w:w="7085" w:type="dxa"/>
        <w:jc w:val="left"/>
        <w:tblInd w:w="0" w:type="dxa"/>
        <w:tblLayout w:type="fixed"/>
        <w:tblCellMar>
          <w:top w:w="28" w:type="dxa"/>
          <w:left w:w="28" w:type="dxa"/>
          <w:bottom w:w="28" w:type="dxa"/>
          <w:right w:w="28" w:type="dxa"/>
        </w:tblCellMar>
      </w:tblPr>
      <w:tblGrid>
        <w:gridCol w:w="978"/>
        <w:gridCol w:w="859"/>
        <w:gridCol w:w="863"/>
        <w:gridCol w:w="211"/>
        <w:gridCol w:w="826"/>
        <w:gridCol w:w="109"/>
        <w:gridCol w:w="109"/>
        <w:gridCol w:w="109"/>
        <w:gridCol w:w="109"/>
        <w:gridCol w:w="282"/>
        <w:gridCol w:w="966"/>
        <w:gridCol w:w="146"/>
        <w:gridCol w:w="109"/>
        <w:gridCol w:w="109"/>
        <w:gridCol w:w="109"/>
        <w:gridCol w:w="211"/>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Active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Starting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2023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December 31, 2024 </w:t>
            </w:r>
            <w:r>
              <w:rPr>
                <w:rFonts w:ascii="Times New Roman;sans-serif" w:hAnsi="Times New Roman;sans-serif"/>
                <w:b w:val="false"/>
                <w:color w:val="000000"/>
                <w:sz w:val="16"/>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These agreements mature between February 2026 and June 2028 and state that we receive interest based on Term SOFR, restricted by a 0.0% floor, and pay interest at a weighted average rate of approximately 3.60%.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effect of cash flow hedges related to derivative instruments on the consolidated balance sheets follows:</w:t>
      </w:r>
    </w:p>
    <w:tbl>
      <w:tblPr>
        <w:tblW w:w="9817" w:type="dxa"/>
        <w:jc w:val="left"/>
        <w:tblInd w:w="0" w:type="dxa"/>
        <w:tblLayout w:type="fixed"/>
        <w:tblCellMar>
          <w:top w:w="28" w:type="dxa"/>
          <w:left w:w="28" w:type="dxa"/>
          <w:bottom w:w="28" w:type="dxa"/>
          <w:right w:w="28" w:type="dxa"/>
        </w:tblCellMar>
      </w:tblPr>
      <w:tblGrid>
        <w:gridCol w:w="917"/>
        <w:gridCol w:w="805"/>
        <w:gridCol w:w="812"/>
        <w:gridCol w:w="1464"/>
        <w:gridCol w:w="1464"/>
        <w:gridCol w:w="1467"/>
        <w:gridCol w:w="109"/>
        <w:gridCol w:w="109"/>
        <w:gridCol w:w="109"/>
        <w:gridCol w:w="247"/>
        <w:gridCol w:w="721"/>
        <w:gridCol w:w="127"/>
        <w:gridCol w:w="109"/>
        <w:gridCol w:w="109"/>
        <w:gridCol w:w="109"/>
        <w:gridCol w:w="221"/>
        <w:gridCol w:w="757"/>
        <w:gridCol w:w="161"/>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swaps - tax effect </w:t>
            </w:r>
          </w:p>
        </w:tc>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fair value of the Industrial Revenue Bonds was approximately $276,503 and the carrying value was $277,000. The fair value of the Industrial Revenue Bonds is considered to be Level 2 within the fair value hierarchy as the fair value is determined using market approach pricing provided by a third party that utilizes pricing models and pricing systems, mathematical tools and judgment to determine the evaluated price for the security based on the market information of each of the bonds or securities with similar characteristics.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carrying value of our Term Loan Facility was $800,000 and the carrying value of our Revolving Credit Facility was zero dollars. Their fair values are based on current borrowing rates for similar types of borrowing arrangements, or Level 2 inputs, and approximate their carrying values.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Future Maturities of Debt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Aggregate principal maturities of debt as of December 31, 2024 for each of the next five fiscal years and thereafter are as follows:</w:t>
      </w:r>
    </w:p>
    <w:tbl>
      <w:tblPr>
        <w:tblW w:w="4565" w:type="dxa"/>
        <w:jc w:val="left"/>
        <w:tblInd w:w="0" w:type="dxa"/>
        <w:tblLayout w:type="fixed"/>
        <w:tblCellMar>
          <w:top w:w="28" w:type="dxa"/>
          <w:left w:w="28" w:type="dxa"/>
          <w:bottom w:w="28" w:type="dxa"/>
          <w:right w:w="28" w:type="dxa"/>
        </w:tblCellMar>
      </w:tblPr>
      <w:tblGrid>
        <w:gridCol w:w="1167"/>
        <w:gridCol w:w="1025"/>
        <w:gridCol w:w="1032"/>
        <w:gridCol w:w="211"/>
        <w:gridCol w:w="97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damages or injunctive relief, or both. These actions fall within various procedural stages at any point in time, and some are covered in part by insurance. </w:t>
      </w:r>
    </w:p>
    <w:p>
      <w:pPr>
        <w:pStyle w:val="TextBody"/>
        <w:bidi w:val="0"/>
        <w:spacing w:lineRule="auto" w:line="288" w:before="120" w:after="283"/>
        <w:jc w:val="left"/>
        <w:rPr/>
      </w:pPr>
      <w:r>
        <w:rPr>
          <w:rFonts w:ascii="Times New Roman;sans-serif" w:hAnsi="Times New Roman;sans-serif"/>
          <w:b w:val="false"/>
          <w:color w:val="000000"/>
          <w:sz w:val="20"/>
        </w:rPr>
        <w:t xml:space="preserve">In accordance with FASB ASC 450 - Contingencies, we accrue for legal proceedings, inclusive of legal costs, when losses become probable and reasonably estimable. We have recorded an aggregate accrual of $601 relating to our outstanding legal proceedings as of December 31, 2024.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 See Note 17, </w:t>
      </w:r>
      <w:r>
        <w:rPr>
          <w:rFonts w:ascii="Times New Roman;sans-serif" w:hAnsi="Times New Roman;sans-serif"/>
          <w:b w:val="false"/>
          <w:i/>
          <w:color w:val="000000"/>
          <w:sz w:val="20"/>
        </w:rPr>
        <w:t>Other Items and Charges</w:t>
      </w:r>
      <w:r>
        <w:rPr>
          <w:color w:val="000000"/>
        </w:rPr>
        <w:t xml:space="preserve"> </w:t>
      </w:r>
      <w:r>
        <w:rPr>
          <w:rFonts w:ascii="Times New Roman;sans-serif" w:hAnsi="Times New Roman;sans-serif"/>
          <w:b w:val="false"/>
          <w:color w:val="000000"/>
          <w:sz w:val="20"/>
        </w:rPr>
        <w:t>for disclosure regarding a legal settlement charge recorded in fiscal year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Legal Proceedings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North Country Environmental Services Expansion Permit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permit for expansion of the Bethlehem, New Hampshire landfill of our subsidiary, North Country Environmental Services, Inc. (“NCES”), known as “Stage VI”, issued in October 2020 (“Permit”), was appealed by the Conservation Law Foundation (“CLF”) to the New Hampshire Waste Management Council (“Council”) on November 9, 2020 on the grounds it failed to meet the public benefit criteria. Following a hearing on the merits during which the Council found that the New Hampshire Department of Environmental Services (“DES”) had reasonably measured and acted lawfully in determining a capacity need for Stage VI, the hearing officer presiding over the proceedings issued an Order on May 11, 2022, without further hearing, determining instead that DES had acted unlawfully in reaching these conclusions (“Hearing Officer’s Order”), and remanded the Permit to DES on this determination. On December 5, 2022, DES and NCES both separately sought review of the Hearing Officer’s Order on appeal to the New Hampshire Supreme Court (“Supreme Court”). The parties presented oral arguments to the Supreme Court on October 3, 2023. On December 28, 2023, the Supreme Court issued a decision reversing the Hearing Officer's Order and held that the Stage VI Permit was lawfully issued by DES, fully resolving this matter and upholding the Stage VI Permit.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14, 2022, NCES filed an action in Merrimack Superior Court (“Superior Court”) seeking to invalidate the Hearing Officer’s Order as having been adopted in violation of New Hampshire’s statute governing access to public records and meetings in that the Council did not hold a public meeting to deliberate on the Hearing Officer’s Order. The Superior Court dismissed that proceeding by Order dated April 6, 2023, and NCES appealed that decision to the Supreme Court on April 18, 2023. NCES’s brief on appeal was filed with the Supreme Court on August 11, 2023. On September 26, 2023, CLF filed a Motion to Intervene as well as a memorandum of law asking the Supreme Court to uphold the Superior Court’s dismissal, to which NCES filed an Objection in response on October 23, 2023. The Council filed its brief on October 25, 2023. On November 9, 2023, the Supreme Court issued an Order denying CLF’s Motion to Intervene but treating CLF’s memorandum of law as an amicus brief. NCES filed a reply brief on November 14, 2023. On January 18, 2024, the Supreme Court issued an Order setting a deadline of February 2, 2024 for the parties to submit memoranda addressing the mootness of this appeal in light of the Supreme Court’s December 28, 2023 Order reversing the Hearing Officer’s Order and upholding the Stage VI Permit. NCES subsequently filed a Motion for Vacatur of the Superior Court’s April 6, 2023 Order and a Memorandum in Response to the Supreme Court's February 2, 2024 Order on January 23, 2024. On March 18, 2024, the Supreme Court issued an order finding the appeal to be moot and vacating the Superior Court’s April 6, 2023 Order, resolving this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20, 2022, NCES, which has since withdrawn as a party, and our subsidiary, Granite State Landfill, LLC (“GSL”), filed a Petition for Declaratory Judgment (“Petition”) in the Superior Court asking the Superior Court for a determination of the meaning and constitutionality of New Hampshire’s public benefit requirement, the same statute at issue in the Hearing Officer’s Order. CLF was granted intervention in the Petition proceeding on June 8, 2023. On December 19, 2023, GSL filed a Motion To Stay pending the outcome of the Supreme Court’s consideration of the Stage VI Permit appeal. The Stage VI Permit appeal was decided and upheld by Order of December 28, 2023 as discussed above. As NCES prevailed in the Stage VI Permit appeal, GSL and NCES voluntarily non-suited the Petition on January 2, 2024, resolving this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DES issued approval of construction plans for Stage VI, Phase II to NCES (“DES Approval”). CLF appealed the DES Approval to the Council on May 11, 2023, on the grounds that it failed to meet the public benefit criteria, and that the DES Approval conflicts with the Hearing Officer’s May 11, 2022 Order determining that DES had acted unlawfully in issuing the Permit, and requested expedited review. The Council has denied CLF's request for expedited review. CLF withdrew its appeal by notice to the Council on February 7, 2024. In light of CLF's withdrawal of appeal, this matter is fully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North Country Environmental Services Letter of Deficiency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2024, NCES received a Letter of Deficiency (the “Letter”) from DES concerning alleged violations related to leachate management and leachate data and reporting. The Letter required certain actions to correct the deficiencies on a prescribed timeline, and NCES has met the deadlines for information submission. NCES has entered into preliminary discussions with the New Hampshire Department of Justice concerning an administrative order and associated penalties relative to the deficiencies. We believe that a liability related to this matter is probable and, accordingly, have recorded an accrual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Environmental Remediation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inflate the estimated costs in current dollars to the expected time of payment and discount the total cost to present value using a risk-free interest rate. The risk-free interest rates associated with our environmental remediation liabilities as of December 31, 2024 range between 1.5% and 7.1%. A summary of the changes to the aggregate environmental remediation liabilities for the twelve months ended December 31, 2024 and 2023 follows:</w:t>
      </w:r>
    </w:p>
    <w:tbl>
      <w:tblPr>
        <w:tblW w:w="4164" w:type="dxa"/>
        <w:jc w:val="left"/>
        <w:tblInd w:w="0" w:type="dxa"/>
        <w:tblLayout w:type="fixed"/>
        <w:tblCellMar>
          <w:top w:w="28" w:type="dxa"/>
          <w:left w:w="28" w:type="dxa"/>
          <w:bottom w:w="28" w:type="dxa"/>
          <w:right w:w="28" w:type="dxa"/>
        </w:tblCellMar>
      </w:tblPr>
      <w:tblGrid>
        <w:gridCol w:w="696"/>
        <w:gridCol w:w="610"/>
        <w:gridCol w:w="614"/>
        <w:gridCol w:w="211"/>
        <w:gridCol w:w="616"/>
        <w:gridCol w:w="109"/>
        <w:gridCol w:w="109"/>
        <w:gridCol w:w="109"/>
        <w:gridCol w:w="109"/>
        <w:gridCol w:w="211"/>
        <w:gridCol w:w="61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Obligations settled </w:t>
            </w:r>
            <w:r>
              <w:rPr>
                <w:rFonts w:ascii="Times New Roman;sans-serif" w:hAnsi="Times New Roman;sans-serif"/>
                <w:b w:val="false"/>
                <w:color w:val="000000"/>
                <w:sz w:val="16"/>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May include amounts paid and amounts that are being processed through accounts payable as a part of our disbursement cycle.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expected environmental remediation payments, as of December 31, 2024 for each of the next five fiscal years and thereafter are as follows:</w:t>
      </w:r>
    </w:p>
    <w:tbl>
      <w:tblPr>
        <w:tblW w:w="4205" w:type="dxa"/>
        <w:jc w:val="left"/>
        <w:tblInd w:w="0" w:type="dxa"/>
        <w:tblLayout w:type="fixed"/>
        <w:tblCellMar>
          <w:top w:w="28" w:type="dxa"/>
          <w:left w:w="28" w:type="dxa"/>
          <w:bottom w:w="28" w:type="dxa"/>
          <w:right w:w="28" w:type="dxa"/>
        </w:tblCellMar>
      </w:tblPr>
      <w:tblGrid>
        <w:gridCol w:w="1167"/>
        <w:gridCol w:w="1025"/>
        <w:gridCol w:w="1032"/>
        <w:gridCol w:w="211"/>
        <w:gridCol w:w="61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expected aggregate non-inflated, undiscounted environmental remediation liabilities to the amount recognized in our consolidated balance sheet at December 31, 2024 is as follows:</w:t>
      </w:r>
    </w:p>
    <w:tbl>
      <w:tblPr>
        <w:tblW w:w="4220" w:type="dxa"/>
        <w:jc w:val="left"/>
        <w:tblInd w:w="0" w:type="dxa"/>
        <w:tblLayout w:type="fixed"/>
        <w:tblCellMar>
          <w:top w:w="28" w:type="dxa"/>
          <w:left w:w="28" w:type="dxa"/>
          <w:bottom w:w="28" w:type="dxa"/>
          <w:right w:w="28" w:type="dxa"/>
        </w:tblCellMar>
      </w:tblPr>
      <w:tblGrid>
        <w:gridCol w:w="1174"/>
        <w:gridCol w:w="1030"/>
        <w:gridCol w:w="1035"/>
        <w:gridCol w:w="211"/>
        <w:gridCol w:w="61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Undiscounted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discount,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substantial liability incurred by us arising from environmental damage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left"/>
        <w:rPr/>
      </w:pPr>
      <w:r>
        <w:rPr>
          <w:rFonts w:ascii="Times New Roman;sans-serif" w:hAnsi="Times New Roman;sans-serif"/>
          <w:b w:val="false"/>
          <w:color w:val="000000"/>
          <w:sz w:val="20"/>
        </w:rPr>
        <w:t xml:space="preserve">Restricted cash is included with cash and cash equivalents in our consolidated balance sheets. Our restricted cash consists of cash proceeds from the issuance of the FAME Bonds 2024 restricted to be used for the repayment in full of FAME Bonds 2005R-3 on its stated maturity in January 2025. See Note 11,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for disclosure regarding our industrial revenue bonds. A reconciliation of cash, cash equivalents and restricted cash is as follows:</w:t>
      </w:r>
    </w:p>
    <w:tbl>
      <w:tblPr>
        <w:tblW w:w="7642" w:type="dxa"/>
        <w:jc w:val="left"/>
        <w:tblInd w:w="0" w:type="dxa"/>
        <w:tblLayout w:type="fixed"/>
        <w:tblCellMar>
          <w:top w:w="28" w:type="dxa"/>
          <w:left w:w="28" w:type="dxa"/>
          <w:bottom w:w="28" w:type="dxa"/>
          <w:right w:w="28" w:type="dxa"/>
        </w:tblCellMar>
      </w:tblPr>
      <w:tblGrid>
        <w:gridCol w:w="1271"/>
        <w:gridCol w:w="1116"/>
        <w:gridCol w:w="1122"/>
        <w:gridCol w:w="109"/>
        <w:gridCol w:w="109"/>
        <w:gridCol w:w="109"/>
        <w:gridCol w:w="276"/>
        <w:gridCol w:w="1081"/>
        <w:gridCol w:w="142"/>
        <w:gridCol w:w="109"/>
        <w:gridCol w:w="109"/>
        <w:gridCol w:w="109"/>
        <w:gridCol w:w="276"/>
        <w:gridCol w:w="1081"/>
        <w:gridCol w:w="142"/>
        <w:gridCol w:w="109"/>
        <w:gridCol w:w="109"/>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358,303 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STOCKHOLDERS' EQUITY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Public Offering of Class A Common Stock</w:t>
      </w:r>
    </w:p>
    <w:p>
      <w:pPr>
        <w:pStyle w:val="TextBody"/>
        <w:bidi w:val="0"/>
        <w:spacing w:lineRule="auto" w:line="288" w:before="120" w:after="283"/>
        <w:jc w:val="left"/>
        <w:rPr/>
      </w:pPr>
      <w:r>
        <w:rPr>
          <w:rFonts w:ascii="Times New Roman;sans-serif" w:hAnsi="Times New Roman;sans-serif"/>
          <w:b w:val="false"/>
          <w:color w:val="000000"/>
          <w:sz w:val="20"/>
        </w:rPr>
        <w:t>On September 19, 2024, we completed a public offering of 5,175 shares of our Class A common stock at a public offering price of $100.00 per share. After deducting stock issuance costs, including underwriting discounts, commissions and offering expenses, the offering resulted in net proceeds of $496,245. The net proceeds from this offering were and are to be used to repay borrowings under our Revolving Credit Facility and are further available to fund acquisition activity</w:t>
      </w:r>
      <w:r>
        <w:rPr>
          <w:color w:val="000000"/>
        </w:rPr>
        <w:t xml:space="preserve"> </w:t>
      </w:r>
      <w:r>
        <w:rPr>
          <w:rFonts w:ascii="Times New Roman;sans-serif" w:hAnsi="Times New Roman;sans-serif"/>
          <w:b w:val="false"/>
          <w:color w:val="000000"/>
          <w:sz w:val="20"/>
        </w:rPr>
        <w:t>and for general corporate purposes.</w:t>
      </w:r>
    </w:p>
    <w:p>
      <w:pPr>
        <w:pStyle w:val="TextBody"/>
        <w:bidi w:val="0"/>
        <w:spacing w:lineRule="auto" w:line="288" w:before="120" w:after="283"/>
        <w:jc w:val="left"/>
        <w:rPr/>
      </w:pPr>
      <w:r>
        <w:rPr>
          <w:rFonts w:ascii="Times New Roman;sans-serif" w:hAnsi="Times New Roman;sans-serif"/>
          <w:b w:val="false"/>
          <w:color w:val="000000"/>
          <w:sz w:val="20"/>
        </w:rPr>
        <w:t>On June 16, 2023, we completed a public offering of 6,053 shares of our Class A common stock at a public offering price of $85.50 per share. After deducting stock issuance costs, including underwriting discounts, commissions and offering expenses, the offering resulted in net proceeds of $496,231. The net proceeds from this offering were and are to be used to fund acquisition activity, including the GFL Acquisition and the Twin Bridges Acquisition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to pay certain costs associated with acquisition activities, as discussed in Note 17, </w:t>
      </w:r>
      <w:r>
        <w:rPr>
          <w:rFonts w:ascii="Times New Roman;sans-serif" w:hAnsi="Times New Roman;sans-serif"/>
          <w:b w:val="false"/>
          <w:i/>
          <w:color w:val="000000"/>
          <w:sz w:val="20"/>
        </w:rPr>
        <w:t>Other Items and Charges</w:t>
      </w:r>
      <w:r>
        <w:rPr>
          <w:rFonts w:ascii="Times New Roman;sans-serif" w:hAnsi="Times New Roman;sans-serif"/>
          <w:b w:val="false"/>
          <w:color w:val="000000"/>
          <w:sz w:val="20"/>
        </w:rPr>
        <w:t xml:space="preserve">, and to repay borrowings and/or debt securities as discussed Note 11, </w:t>
      </w:r>
      <w:r>
        <w:rPr>
          <w:rFonts w:ascii="Times New Roman;sans-serif" w:hAnsi="Times New Roman;sans-serif"/>
          <w:b w:val="false"/>
          <w:i/>
          <w:color w:val="000000"/>
          <w:sz w:val="20"/>
        </w:rPr>
        <w:t>Debt.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up to 944 shares of preferred stock in one or more series. As of December 31, 2024 and December 31, 2023, we had no shares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bidi w:val="0"/>
        <w:spacing w:lineRule="auto" w:line="288" w:before="120" w:after="283"/>
        <w:jc w:val="left"/>
        <w:rPr/>
      </w:pPr>
      <w:r>
        <w:rPr>
          <w:rFonts w:ascii="Times New Roman;sans-serif" w:hAnsi="Times New Roman;sans-serif"/>
          <w:b w:val="false"/>
          <w:i/>
          <w:color w:val="000000"/>
          <w:sz w:val="20"/>
        </w:rPr>
        <w:t>Amended and Restated 2016 Incentive Plan.</w:t>
      </w:r>
      <w:r>
        <w:rPr>
          <w:color w:val="000000"/>
        </w:rPr>
        <w:t xml:space="preserve"> </w:t>
      </w:r>
      <w:r>
        <w:rPr>
          <w:rFonts w:ascii="Times New Roman;sans-serif" w:hAnsi="Times New Roman;sans-serif"/>
          <w:b w:val="false"/>
          <w:color w:val="000000"/>
          <w:sz w:val="20"/>
        </w:rPr>
        <w:t xml:space="preserve">In fiscal year 2024, our stockholders approved the amendment and restatement of our 2016 Incentive Plan (the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were 2,205 Class A common stock equivalents available for future grant under the Amended 2016 Plan, inclusive of additional Class A common stock equivalents that were previously issued under terminated plans and have become available for grant because such awards expired or otherwise resulted in shares not being issued.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equity awards granted primarily consist of stock options, restricted stock awards, restricted stock units and market-based performance stock units.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are granted at a price equal to the prevailing fair value of our Class A common stock at the date of grant. Generally, stock options granted have a term not to exceed ten years and vest over a one year to five-year period from the date of grant.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 historical life of the vested stock options, giving consideration to vesting schedules and historical exercise patterns; and the expected volatility, calculated using the weekly historical volatility of our Class A common stock over the expected life of the stock option.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and restricted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Market-based performance stock units vest at a future date following the grant date and are based on the attainment of performance targets and market achievements.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is as follows:</w:t>
      </w:r>
    </w:p>
    <w:tbl>
      <w:tblPr>
        <w:tblW w:w="8288" w:type="dxa"/>
        <w:jc w:val="left"/>
        <w:tblInd w:w="0" w:type="dxa"/>
        <w:tblLayout w:type="fixed"/>
        <w:tblCellMar>
          <w:top w:w="28" w:type="dxa"/>
          <w:left w:w="28" w:type="dxa"/>
          <w:bottom w:w="28" w:type="dxa"/>
          <w:right w:w="28" w:type="dxa"/>
        </w:tblCellMar>
      </w:tblPr>
      <w:tblGrid>
        <w:gridCol w:w="1010"/>
        <w:gridCol w:w="889"/>
        <w:gridCol w:w="891"/>
        <w:gridCol w:w="375"/>
        <w:gridCol w:w="375"/>
        <w:gridCol w:w="376"/>
        <w:gridCol w:w="109"/>
        <w:gridCol w:w="109"/>
        <w:gridCol w:w="109"/>
        <w:gridCol w:w="253"/>
        <w:gridCol w:w="741"/>
        <w:gridCol w:w="132"/>
        <w:gridCol w:w="109"/>
        <w:gridCol w:w="109"/>
        <w:gridCol w:w="109"/>
        <w:gridCol w:w="349"/>
        <w:gridCol w:w="349"/>
        <w:gridCol w:w="351"/>
        <w:gridCol w:w="109"/>
        <w:gridCol w:w="109"/>
        <w:gridCol w:w="109"/>
        <w:gridCol w:w="261"/>
        <w:gridCol w:w="763"/>
        <w:gridCol w:w="19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December 31, 2024</w:t>
            </w:r>
          </w:p>
        </w:tc>
        <w:tc>
          <w:tcPr>
            <w:tcW w:w="7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2023 and 2022, stock-based compensation expense for stock options was $579, $516 and $248,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2023 and 2022, the aggregate intrinsic value of stock options exercised was $2,625, $1,302 and $1,467,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$1,528 of unrecognized stock-based compensation expense related to outstanding stock options to be recognized over a weighted average period of 2.9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Black-Scholes valuation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Stock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award, restricted stock unit and performance stock unit activity is as follows:</w:t>
      </w:r>
    </w:p>
    <w:tbl>
      <w:tblPr>
        <w:tblW w:w="9698" w:type="dxa"/>
        <w:jc w:val="left"/>
        <w:tblInd w:w="0" w:type="dxa"/>
        <w:tblLayout w:type="fixed"/>
        <w:tblCellMar>
          <w:top w:w="28" w:type="dxa"/>
          <w:left w:w="28" w:type="dxa"/>
          <w:bottom w:w="28" w:type="dxa"/>
          <w:right w:w="28" w:type="dxa"/>
        </w:tblCellMar>
      </w:tblPr>
      <w:tblGrid>
        <w:gridCol w:w="1010"/>
        <w:gridCol w:w="889"/>
        <w:gridCol w:w="891"/>
        <w:gridCol w:w="644"/>
        <w:gridCol w:w="644"/>
        <w:gridCol w:w="646"/>
        <w:gridCol w:w="109"/>
        <w:gridCol w:w="109"/>
        <w:gridCol w:w="109"/>
        <w:gridCol w:w="220"/>
        <w:gridCol w:w="642"/>
        <w:gridCol w:w="114"/>
        <w:gridCol w:w="109"/>
        <w:gridCol w:w="109"/>
        <w:gridCol w:w="109"/>
        <w:gridCol w:w="485"/>
        <w:gridCol w:w="485"/>
        <w:gridCol w:w="486"/>
        <w:gridCol w:w="109"/>
        <w:gridCol w:w="109"/>
        <w:gridCol w:w="109"/>
        <w:gridCol w:w="303"/>
        <w:gridCol w:w="1036"/>
        <w:gridCol w:w="22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and Performance Stock</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w:t>
              <w:b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vested</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canceled</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2024</w:t>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2024</w:t>
            </w:r>
          </w:p>
        </w:tc>
        <w:tc>
          <w:tcPr>
            <w:tcW w:w="128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34,625 </w:t>
            </w:r>
          </w:p>
        </w:tc>
        <w:tc>
          <w:tcPr>
            <w:tcW w:w="2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(1)Performance stock unit grants are included at 100%. Attainment of maximum performance targets and market achievements would result in the issuance of an additional 130 shares of Class A common stock currently included in unvested. The market-based performance stock unit grants that vested in fiscal year 2024 resulted in the issuance of 38 additional shares of Class A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years 2024, 2023 and 2022, stock-based compensation expense related to restricted stock awards, restricted stock units and performance stock units was $11,001, $8,116 and $7,530,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2023 and 2022, the total fair value of other stock awards vested was $8,409, $12,048 and $17,011,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total unrecognized stock-based compensation expense related to outstanding restricted stock units was $5,865, which will be recognized over a weighted average period of 2.0 years. As of December 31, 2024, total unrecognized stock-based compensation expense related to performance stock units based on our estimated achievement of the established performance criteria was $5,032, which will be recognized over a weighted average period of 1.7 years.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market-based performance stock units granted during fiscal year 2024 was $105.35 per award, which was calculated using a Monte Carlo pricing model assuming a risk-free interest rate of 4.3% and an expected volatility of 25.3%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recorded $607, $451 and $376 of stock-based compensation expense related to our Second Amended and Restated 1997 Employee Stock Purchase Plan (“ESPP”) during fiscal years 2024, 2023 and 2022,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 for income taxes associated with stock-based compensation during fiscal years 2024, 2023 and 2022 was $(1,907), $(2,330) and $(1,744), respectively.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 (Loss), Net of Tax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net of tax is a component of stockholders' equity included in the accompanying consolidated balance sheets and includes, as applicable, the effective portion of changes in the fair value of our cash flow hedges and the changes in fair value of our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balances of each component of accumulated other comprehensive (loss) income, net of tax are as follows:</w:t>
      </w:r>
    </w:p>
    <w:tbl>
      <w:tblPr>
        <w:tblW w:w="7972" w:type="dxa"/>
        <w:jc w:val="left"/>
        <w:tblInd w:w="0" w:type="dxa"/>
        <w:tblLayout w:type="fixed"/>
        <w:tblCellMar>
          <w:top w:w="28" w:type="dxa"/>
          <w:left w:w="28" w:type="dxa"/>
          <w:bottom w:w="28" w:type="dxa"/>
          <w:right w:w="28" w:type="dxa"/>
        </w:tblCellMar>
      </w:tblPr>
      <w:tblGrid>
        <w:gridCol w:w="2075"/>
        <w:gridCol w:w="1821"/>
        <w:gridCol w:w="1833"/>
        <w:gridCol w:w="109"/>
        <w:gridCol w:w="109"/>
        <w:gridCol w:w="322"/>
        <w:gridCol w:w="1056"/>
        <w:gridCol w:w="166"/>
        <w:gridCol w:w="109"/>
        <w:gridCol w:w="109"/>
        <w:gridCol w:w="109"/>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related to items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items in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items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reclassifications out of accumulated other comprehensive income (loss), net of tax for fiscal years 2024, 2023 and 2022 is as follows:</w:t>
      </w:r>
    </w:p>
    <w:tbl>
      <w:tblPr>
        <w:tblW w:w="10205" w:type="dxa"/>
        <w:jc w:val="left"/>
        <w:tblInd w:w="0" w:type="dxa"/>
        <w:tblLayout w:type="fixed"/>
        <w:tblCellMar>
          <w:top w:w="28" w:type="dxa"/>
          <w:left w:w="28" w:type="dxa"/>
          <w:bottom w:w="28" w:type="dxa"/>
          <w:right w:w="28" w:type="dxa"/>
        </w:tblCellMar>
      </w:tblPr>
      <w:tblGrid>
        <w:gridCol w:w="1035"/>
        <w:gridCol w:w="909"/>
        <w:gridCol w:w="912"/>
        <w:gridCol w:w="293"/>
        <w:gridCol w:w="931"/>
        <w:gridCol w:w="151"/>
        <w:gridCol w:w="151"/>
        <w:gridCol w:w="151"/>
        <w:gridCol w:w="151"/>
        <w:gridCol w:w="293"/>
        <w:gridCol w:w="931"/>
        <w:gridCol w:w="151"/>
        <w:gridCol w:w="151"/>
        <w:gridCol w:w="151"/>
        <w:gridCol w:w="151"/>
        <w:gridCol w:w="293"/>
        <w:gridCol w:w="931"/>
        <w:gridCol w:w="151"/>
        <w:gridCol w:w="109"/>
        <w:gridCol w:w="109"/>
        <w:gridCol w:w="109"/>
        <w:gridCol w:w="580"/>
        <w:gridCol w:w="580"/>
        <w:gridCol w:w="831"/>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 Net of Tax</w:t>
            </w:r>
          </w:p>
        </w:tc>
        <w:tc>
          <w:tcPr>
            <w:tcW w:w="50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Amounts Reclassified Out of Accumulated Other Comprehensive Income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Consolidated</w:t>
              <w:br/>
              <w:t>Statements of Operations</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Assets and Liabilities Accounted for at Fair Value on a Recurring Basis</w:t>
      </w:r>
    </w:p>
    <w:p>
      <w:pPr>
        <w:pStyle w:val="TextBody"/>
        <w:bidi w:val="0"/>
        <w:spacing w:lineRule="auto" w:line="288" w:before="120" w:after="283"/>
        <w:jc w:val="left"/>
        <w:rPr/>
      </w:pPr>
      <w:r>
        <w:rPr>
          <w:rFonts w:ascii="Times New Roman;sans-serif" w:hAnsi="Times New Roman;sans-serif"/>
          <w:b w:val="false"/>
          <w:color w:val="000000"/>
          <w:sz w:val="20"/>
        </w:rPr>
        <w:t xml:space="preserve">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balance sheet at fair value. See Note 11,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for disclosure about the fair value of debt.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Summaries of our financial assets and liabilities that are measured at fair value on a recurring basis are as follows:</w:t>
      </w:r>
    </w:p>
    <w:tbl>
      <w:tblPr>
        <w:tblW w:w="9437" w:type="dxa"/>
        <w:jc w:val="left"/>
        <w:tblInd w:w="0" w:type="dxa"/>
        <w:tblLayout w:type="fixed"/>
        <w:tblCellMar>
          <w:top w:w="28" w:type="dxa"/>
          <w:left w:w="28" w:type="dxa"/>
          <w:bottom w:w="28" w:type="dxa"/>
          <w:right w:w="28" w:type="dxa"/>
        </w:tblCellMar>
      </w:tblPr>
      <w:tblGrid>
        <w:gridCol w:w="1471"/>
        <w:gridCol w:w="1296"/>
        <w:gridCol w:w="1312"/>
        <w:gridCol w:w="334"/>
        <w:gridCol w:w="977"/>
        <w:gridCol w:w="175"/>
        <w:gridCol w:w="135"/>
        <w:gridCol w:w="135"/>
        <w:gridCol w:w="135"/>
        <w:gridCol w:w="321"/>
        <w:gridCol w:w="938"/>
        <w:gridCol w:w="167"/>
        <w:gridCol w:w="135"/>
        <w:gridCol w:w="135"/>
        <w:gridCol w:w="135"/>
        <w:gridCol w:w="447"/>
        <w:gridCol w:w="861"/>
        <w:gridCol w:w="328"/>
      </w:tblGrid>
      <w:tr>
        <w:trPr/>
        <w:tc>
          <w:tcPr>
            <w:tcW w:w="147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December 31, 2024 Using:</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bl>
    <w:tbl>
      <w:tblPr>
        <w:tblW w:w="9413" w:type="dxa"/>
        <w:jc w:val="center"/>
        <w:tblInd w:w="0" w:type="dxa"/>
        <w:tblLayout w:type="fixed"/>
        <w:tblCellMar>
          <w:top w:w="28" w:type="dxa"/>
          <w:left w:w="28" w:type="dxa"/>
          <w:bottom w:w="28" w:type="dxa"/>
          <w:right w:w="28" w:type="dxa"/>
        </w:tblCellMar>
      </w:tblPr>
      <w:tblGrid>
        <w:gridCol w:w="1471"/>
        <w:gridCol w:w="1296"/>
        <w:gridCol w:w="1312"/>
        <w:gridCol w:w="334"/>
        <w:gridCol w:w="977"/>
        <w:gridCol w:w="175"/>
        <w:gridCol w:w="131"/>
        <w:gridCol w:w="131"/>
        <w:gridCol w:w="131"/>
        <w:gridCol w:w="289"/>
        <w:gridCol w:w="987"/>
        <w:gridCol w:w="150"/>
        <w:gridCol w:w="131"/>
        <w:gridCol w:w="131"/>
        <w:gridCol w:w="131"/>
        <w:gridCol w:w="447"/>
        <w:gridCol w:w="861"/>
        <w:gridCol w:w="328"/>
      </w:tblGrid>
      <w:tr>
        <w:trPr/>
        <w:tc>
          <w:tcPr>
            <w:tcW w:w="147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December 31, 2023 Using:</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EMPLOYEE BENEFIT PLANS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Defined Contribution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offer our eligible employees the opportunity to contribute to a 401(k) plan. Under the provisions of the 401(k) plans, participants may direct us to defer a portion of their compensation to a 401(k) plan, subject to Internal Revenue Code limitations. In fiscal year 2024, we provided an employer matching contribution for hourly employees equal to 100% of every dollar an employee invests up to 1% of annual income and 50% of additional employee contributions up to a maximum contribution into a 401(k) plan of 3% of annual income. In fiscal year 2024, we provided an employer matching contribution for salaried employees equal to 50% of every dollar an employee invests in a 401(k) plan up to a maximum contribution of one thousand five hundred dollars or up to 2% of annual income, whichever is greater, per employee per calendar year. Participants vest in employer contributions ratable over a two-year period. Employer contributions for fiscal years 2024, 2023 and 2022 amounted to $5,831, $4,371 and $3,558,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offer our eligible employees the opportunity to participate in an employee stock purchase plan. Under the ESPP, qualified employees may purchase shares of Class A common stock by payroll deduction at a 15% discount from the market price. In June 2023, our stockholders approved an amendment and restatement of the ESPP to increase the number of shares of Class A common stock reserved for issuance under the ESPP by 400 shares of Class A common stock. Class A common stock issued under our ESPP during fiscal years 2024, 2023 and 2022 amounted to 30, 24 and 22 shares, respectively. As of December 31, 2024, 377 shares of Class A common stock were available for distribution under our ESPP.</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Defined Benefit Pension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contribute to a multiemployer defined benefit pension plan. The Pension Plan, under the terms of a collective bargaining agreement covers certain of our union represented employees. In the fiscal year ended December 31, 2019, we reached an agreement to withdraw from the Pension Plan by entering into Withdrawal and Re-entry Agreements with the Pension Plan. The withdrawal generated a fixed yearly contingent liability for us for a period of approximately seventeen (17) years, that capped our gross payments at $4,224, significantly reducing our cash exposure from the potential $18,511 withdrawal liability as determined based on a complete withdrawal prior to withdrawing from the Pension Plan. As of December 31, 2024, we had a remaining obligation of $1,402 in aggregate principal amount associated with our withdrawal. Upon re-entry as a new employer in the Pension Plan, our contributions are projected to fully fund the defined benefits accrued by our employees in the Pension Plan, thereby eliminating future accruals of withdrawal liability. As of December 31, 2024, our employees were fully funded, subject to the terms of the Withdrawal and Re-entry Agreements. Subsequent withdrawal from the Pension Plan, under certain circumstances, may result in a change in the payment schedule required to settle the remaining obligation associated with our withdrawal. During fiscal years 2024, 2023 and 2022, we made contributions to the Pension Plan of $500, $479 and $442,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provision for income taxes is as follows:</w:t>
      </w:r>
    </w:p>
    <w:tbl>
      <w:tblPr>
        <w:tblW w:w="5996" w:type="dxa"/>
        <w:jc w:val="left"/>
        <w:tblInd w:w="0" w:type="dxa"/>
        <w:tblLayout w:type="fixed"/>
        <w:tblCellMar>
          <w:top w:w="28" w:type="dxa"/>
          <w:left w:w="28" w:type="dxa"/>
          <w:bottom w:w="28" w:type="dxa"/>
          <w:right w:w="28" w:type="dxa"/>
        </w:tblCellMar>
      </w:tblPr>
      <w:tblGrid>
        <w:gridCol w:w="822"/>
        <w:gridCol w:w="718"/>
        <w:gridCol w:w="739"/>
        <w:gridCol w:w="211"/>
        <w:gridCol w:w="616"/>
        <w:gridCol w:w="109"/>
        <w:gridCol w:w="109"/>
        <w:gridCol w:w="109"/>
        <w:gridCol w:w="109"/>
        <w:gridCol w:w="211"/>
        <w:gridCol w:w="721"/>
        <w:gridCol w:w="109"/>
        <w:gridCol w:w="109"/>
        <w:gridCol w:w="109"/>
        <w:gridCol w:w="109"/>
        <w:gridCol w:w="211"/>
        <w:gridCol w:w="721"/>
        <w:gridCol w:w="154"/>
      </w:tblGrid>
      <w:tr>
        <w:trPr/>
        <w:tc>
          <w:tcPr>
            <w:tcW w:w="8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 periodic basis, we reassess the valuation allowance on our deferred income tax assets, weighing positive and negative evidence to assess the recoverability of the deferred tax assets. In the fourth quarter of fiscal year 2024, we assessed the valuation allowance and considered positive evidence, including significant cumulative consolidated income over the three years ended December 31, 2024, revenue growth and expectations of future profitability, and negative evidence, including the impact of significant risks and uncertainties in the business and restrictions on tax loss utilization in certain state jurisdictions. We also considered the impact of acquisitions, including of Whitetail Disposal, Inc. and its integration into the company. After assessing both the positive evidence and the negative evidence, we determined it is more likely than not that certain state deferred tax assets would be realized in the future, and therefore released a portion of the valuation allowance as of December 31, 2024, resulting in a benefit from income taxes of $3,166. As of December 31, 2024, we maintained a valuation allowance of $8,456 primarily related to certain state net operating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for fiscal year 2024 was a decrease of $2,530.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ability to implement certain strategies, such as a potential sale of assets that would, if necessary, be implemented to accelerate taxable income and use expiring deferred tax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differences in the provision for income taxes and the amounts determined by applying the Federal statutory rate to income before income taxes are as follows:</w:t>
      </w:r>
    </w:p>
    <w:tbl>
      <w:tblPr>
        <w:tblW w:w="10205" w:type="dxa"/>
        <w:jc w:val="left"/>
        <w:tblInd w:w="0" w:type="dxa"/>
        <w:tblLayout w:type="fixed"/>
        <w:tblCellMar>
          <w:top w:w="28" w:type="dxa"/>
          <w:left w:w="28" w:type="dxa"/>
          <w:bottom w:w="28" w:type="dxa"/>
          <w:right w:w="28" w:type="dxa"/>
        </w:tblCellMar>
      </w:tblPr>
      <w:tblGrid>
        <w:gridCol w:w="2199"/>
        <w:gridCol w:w="1897"/>
        <w:gridCol w:w="1904"/>
        <w:gridCol w:w="211"/>
        <w:gridCol w:w="616"/>
        <w:gridCol w:w="271"/>
        <w:gridCol w:w="109"/>
        <w:gridCol w:w="109"/>
        <w:gridCol w:w="109"/>
        <w:gridCol w:w="211"/>
        <w:gridCol w:w="721"/>
        <w:gridCol w:w="271"/>
        <w:gridCol w:w="109"/>
        <w:gridCol w:w="109"/>
        <w:gridCol w:w="109"/>
        <w:gridCol w:w="211"/>
        <w:gridCol w:w="721"/>
        <w:gridCol w:w="318"/>
      </w:tblGrid>
      <w:tr>
        <w:trPr/>
        <w:tc>
          <w:tcPr>
            <w:tcW w:w="219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statutory 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effect of change in state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 tax attributes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non-deductible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Deductible stock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disproportionate tax effects in other comprehensive (loss)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21,887 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tbl>
      <w:tblPr>
        <w:tblW w:w="7103" w:type="dxa"/>
        <w:jc w:val="left"/>
        <w:tblInd w:w="0" w:type="dxa"/>
        <w:tblLayout w:type="fixed"/>
        <w:tblCellMar>
          <w:top w:w="28" w:type="dxa"/>
          <w:left w:w="28" w:type="dxa"/>
          <w:bottom w:w="28" w:type="dxa"/>
          <w:right w:w="28" w:type="dxa"/>
        </w:tblCellMar>
      </w:tblPr>
      <w:tblGrid>
        <w:gridCol w:w="1659"/>
        <w:gridCol w:w="1455"/>
        <w:gridCol w:w="1460"/>
        <w:gridCol w:w="211"/>
        <w:gridCol w:w="796"/>
        <w:gridCol w:w="109"/>
        <w:gridCol w:w="109"/>
        <w:gridCol w:w="109"/>
        <w:gridCol w:w="109"/>
        <w:gridCol w:w="211"/>
        <w:gridCol w:w="721"/>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business and state tax credit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limitation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swaps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after valuation allowance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over book depreciation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swaps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deferred tax (liability) asset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 deferred tax liability at December 31, 2024 is reflected on the consolidated balance sheet as a long-term deferred federal and state tax liability of $(19,089).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for federal income tax purposes, net operating loss carryforwards of approximately $83,211, which do not expire. We have state net operating loss carryforwards of approximately $125,708 that expire in the fiscal years ending December 31, 2025 through 2044 or that do not expire in certain jurisdictions. In addition, we have $3,900 general business credit carryforwards which expire in the fiscal years ending December 31, 2025 through 2044 and zero state credit carryforwards. Sections 382 and 383 of the Internal Revenue Code can limit the amount of net operating loss and credit carryforwards which may be used in a tax year in the event of certain stock ownership changes.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 To the extent interest and penalties are not assessed with respect to uncertain tax positions, amounts accrued are reflected as a reduction of the overall income tax provision. As of December 31, 2024 and 2023, we did not have any uncertain tax positions.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income tax, as well as the income tax of multiple state jurisdictions. For federal tax purposes, income tax returns from years ending 2021 through 2024 are open for assessment. Tax years 1999 through 2020 are open for examination to the extent of any NOLs or credits that have been carried forward from those years.</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17.     OTHER ITEMS AND CHARGES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Landfill Capping (Recovery) Charge - Veneer Failure</w:t>
      </w:r>
    </w:p>
    <w:p>
      <w:pPr>
        <w:pStyle w:val="TextBody"/>
        <w:bidi w:val="0"/>
        <w:spacing w:lineRule="auto" w:line="288" w:before="120" w:after="283"/>
        <w:jc w:val="left"/>
        <w:rPr/>
      </w:pPr>
      <w:r>
        <w:rPr>
          <w:rFonts w:ascii="Times New Roman;sans-serif" w:hAnsi="Times New Roman;sans-serif"/>
          <w:b w:val="false"/>
          <w:color w:val="000000"/>
          <w:sz w:val="20"/>
        </w:rPr>
        <w:t xml:space="preserve">In fiscal year 2023, we recorded a charge of $3,870 consisting of both (i) the write-off of historical payments associated with capping work that was deemed no longer viable due to a veneer failure and (ii) the related operating expenses incurred to clean up the affected capping material at the Ontario County Landfill that we operate. In fiscal year 2024, we recorded a recovery of $(1,739) consisting of both (i) a partial reversal of historical payments written off after an engineering evaluation determined that a portion of the area affected by the veneer failure was deemed to still be viable as well as (ii) a recovery of operating expenses incurred during the clean up of the affected capping material as part of a settlement with a third party. See Note 10, </w:t>
      </w:r>
      <w:r>
        <w:rPr>
          <w:rFonts w:ascii="Times New Roman;sans-serif" w:hAnsi="Times New Roman;sans-serif"/>
          <w:b w:val="false"/>
          <w:i/>
          <w:color w:val="000000"/>
          <w:sz w:val="20"/>
        </w:rPr>
        <w:t xml:space="preserve">Final Capping, Closure and Post-Closure Costs </w:t>
      </w:r>
      <w:r>
        <w:rPr>
          <w:rFonts w:ascii="Times New Roman;sans-serif" w:hAnsi="Times New Roman;sans-serif"/>
          <w:b w:val="false"/>
          <w:color w:val="000000"/>
          <w:sz w:val="20"/>
        </w:rPr>
        <w:t xml:space="preserve">for disclosure over our remaining estimated costs associated with obligations for final capping closure and post-closure of our landfills.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Southbridge Landfill Closure Charge</w:t>
      </w:r>
    </w:p>
    <w:p>
      <w:pPr>
        <w:pStyle w:val="TextBody"/>
        <w:bidi w:val="0"/>
        <w:spacing w:lineRule="auto" w:line="288" w:before="120" w:after="283"/>
        <w:jc w:val="left"/>
        <w:rPr/>
      </w:pPr>
      <w:r>
        <w:rPr>
          <w:rFonts w:ascii="Times New Roman;sans-serif" w:hAnsi="Times New Roman;sans-serif"/>
          <w:b w:val="false"/>
          <w:color w:val="000000"/>
          <w:sz w:val="20"/>
        </w:rPr>
        <w:t>In the fiscal year ended December 31, 2017, we initiated a plan to cease operations of the Southbridge Landfill and later closed it in November 2018 when the Southbridge Landfill reached its final capacity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Accordingly, in fiscal years 2024, 2023 and 2022, we recorded charges associated with the closure of the Southbridge Landfill as follows:</w:t>
      </w:r>
    </w:p>
    <w:tbl>
      <w:tblPr>
        <w:tblW w:w="6401" w:type="dxa"/>
        <w:jc w:val="left"/>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466"/>
        <w:gridCol w:w="109"/>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Legal and transaction costs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Landfill closure project charge </w:t>
            </w:r>
            <w:r>
              <w:rPr>
                <w:rFonts w:ascii="Times New Roman;sans-serif" w:hAnsi="Times New Roman;sans-serif"/>
                <w:b w:val="false"/>
                <w:color w:val="000000"/>
                <w:sz w:val="16"/>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(1)We incurred legal costs as well as other transaction costs associated with various matters as part of the Southbridge Landfill closure.</w:t>
      </w:r>
    </w:p>
    <w:p>
      <w:pPr>
        <w:pStyle w:val="TextBody"/>
        <w:bidi w:val="0"/>
        <w:spacing w:lineRule="auto" w:line="288" w:before="60" w:after="283"/>
        <w:ind w:left="0" w:right="0" w:hanging="360"/>
        <w:jc w:val="left"/>
        <w:rPr/>
      </w:pPr>
      <w:r>
        <w:rPr>
          <w:rFonts w:ascii="Times New Roman;sans-serif" w:hAnsi="Times New Roman;sans-serif"/>
          <w:b w:val="false"/>
          <w:color w:val="000000"/>
          <w:sz w:val="20"/>
        </w:rPr>
        <w:t xml:space="preserve">(2)Includes a non-cash charge in fiscal year 2024 associated with our receipt of a final closure permit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third-party inspections, inspection of the final cover, leachate sampling, post-closure monitoring, and other post-closure requirements. We have revised the accrued post-closure liability for the Southbridge Landfill to reflect the estimated cost of satisfying the expanded Conditions as currently specified in the Closure Permit. See Note 10, </w:t>
      </w:r>
      <w:r>
        <w:rPr>
          <w:rFonts w:ascii="Times New Roman;sans-serif" w:hAnsi="Times New Roman;sans-serif"/>
          <w:b w:val="false"/>
          <w:i/>
          <w:color w:val="000000"/>
          <w:sz w:val="20"/>
        </w:rPr>
        <w:t xml:space="preserve">Final Capping, Closure and Post-Closure Costs </w:t>
      </w:r>
      <w:r>
        <w:rPr>
          <w:rFonts w:ascii="Times New Roman;sans-serif" w:hAnsi="Times New Roman;sans-serif"/>
          <w:b w:val="false"/>
          <w:color w:val="000000"/>
          <w:sz w:val="20"/>
        </w:rPr>
        <w:t>for disclosure regarding our landfill final capping, closure and post-closure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Expense from Acquisition Activities</w:t>
      </w:r>
    </w:p>
    <w:p>
      <w:pPr>
        <w:pStyle w:val="TextBody"/>
        <w:bidi w:val="0"/>
        <w:spacing w:lineRule="auto" w:line="288" w:before="120" w:after="283"/>
        <w:jc w:val="left"/>
        <w:rPr/>
      </w:pPr>
      <w:r>
        <w:rPr>
          <w:rFonts w:ascii="Times New Roman;sans-serif" w:hAnsi="Times New Roman;sans-serif"/>
          <w:b w:val="false"/>
          <w:color w:val="000000"/>
          <w:sz w:val="20"/>
        </w:rPr>
        <w:t xml:space="preserve">In the fiscal years 2024, 2023 and 2022, we recognized expenses of $24,879, $15,038 and $4,613, respectively, comprised primarily of legal, consulting, rebranding and other costs associated with the due diligence, acquisition and integration of acquired businesses. Fiscal year 2024 includes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 See Note 6, </w:t>
      </w:r>
      <w:r>
        <w:rPr>
          <w:rFonts w:ascii="Times New Roman;sans-serif" w:hAnsi="Times New Roman;sans-serif"/>
          <w:b w:val="false"/>
          <w:i/>
          <w:color w:val="000000"/>
          <w:sz w:val="20"/>
        </w:rPr>
        <w:t>Accounts Receivable, Net of Allowance for Credit Losses</w:t>
      </w:r>
      <w:r>
        <w:rPr>
          <w:color w:val="000000"/>
        </w:rPr>
        <w:t xml:space="preserve"> </w:t>
      </w:r>
      <w:r>
        <w:rPr>
          <w:rFonts w:ascii="Times New Roman;sans-serif" w:hAnsi="Times New Roman;sans-serif"/>
          <w:b w:val="false"/>
          <w:color w:val="000000"/>
          <w:sz w:val="20"/>
        </w:rPr>
        <w:t xml:space="preserve">for disclosure over bad debt expense and Note 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for disclosure regarding acquisition activity.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Legal Settlement</w:t>
      </w:r>
    </w:p>
    <w:p>
      <w:pPr>
        <w:pStyle w:val="TextBody"/>
        <w:bidi w:val="0"/>
        <w:spacing w:lineRule="auto" w:line="288" w:before="120" w:after="283"/>
        <w:jc w:val="left"/>
        <w:rPr/>
      </w:pPr>
      <w:r>
        <w:rPr>
          <w:rFonts w:ascii="Times New Roman;sans-serif" w:hAnsi="Times New Roman;sans-serif"/>
          <w:b w:val="false"/>
          <w:color w:val="000000"/>
          <w:sz w:val="20"/>
        </w:rPr>
        <w:t xml:space="preserve">In fiscal year 2023, we recorded a charge of $6,150 due to reaching an agreement at a mediation held on June 20, 2023 with the collective class members of a class action lawsuit relating to certain claims under the Fair Labor Standards Act of 1938 as well as state wage and hours laws. The settlement agreement, which received court approval, was executed on July 24, 2023 and subsequently paid in fiscal year 2024. See Note 12,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disclosure regarding our aggregate legal proceedings accrual.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Environmental Remediation Charge </w:t>
      </w:r>
    </w:p>
    <w:p>
      <w:pPr>
        <w:pStyle w:val="TextBody"/>
        <w:bidi w:val="0"/>
        <w:spacing w:lineRule="auto" w:line="288" w:before="120" w:after="283"/>
        <w:jc w:val="left"/>
        <w:rPr/>
      </w:pPr>
      <w:r>
        <w:rPr>
          <w:rFonts w:ascii="Times New Roman;sans-serif" w:hAnsi="Times New Roman;sans-serif"/>
          <w:b w:val="false"/>
          <w:color w:val="000000"/>
          <w:sz w:val="20"/>
        </w:rPr>
        <w:t xml:space="preserve">In fiscal year 2022, we recorded a charge of $759 associated with the investigation of potential remediation at an inactive waste disposal site that adjoins one of the landfills we operate. See Note 12,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disclosure regarding environmental remediation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18.     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numerator and denominators used in the computation of earnings per share is as follows:</w:t>
      </w:r>
    </w:p>
    <w:tbl>
      <w:tblPr>
        <w:tblW w:w="8337" w:type="dxa"/>
        <w:jc w:val="left"/>
        <w:tblInd w:w="0" w:type="dxa"/>
        <w:tblLayout w:type="fixed"/>
        <w:tblCellMar>
          <w:top w:w="28" w:type="dxa"/>
          <w:left w:w="28" w:type="dxa"/>
          <w:bottom w:w="28" w:type="dxa"/>
          <w:right w:w="28" w:type="dxa"/>
        </w:tblCellMar>
      </w:tblPr>
      <w:tblGrid>
        <w:gridCol w:w="1634"/>
        <w:gridCol w:w="1437"/>
        <w:gridCol w:w="1444"/>
        <w:gridCol w:w="211"/>
        <w:gridCol w:w="721"/>
        <w:gridCol w:w="109"/>
        <w:gridCol w:w="109"/>
        <w:gridCol w:w="109"/>
        <w:gridCol w:w="109"/>
        <w:gridCol w:w="211"/>
        <w:gridCol w:w="721"/>
        <w:gridCol w:w="109"/>
        <w:gridCol w:w="109"/>
        <w:gridCol w:w="109"/>
        <w:gridCol w:w="109"/>
        <w:gridCol w:w="211"/>
        <w:gridCol w:w="721"/>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weighted average shares outstanding </w:t>
            </w:r>
            <w:r>
              <w:rPr>
                <w:rFonts w:ascii="Times New Roman;sans-serif" w:hAnsi="Times New Roman;sans-serif"/>
                <w:b w:val="false"/>
                <w:color w:val="000000"/>
                <w:sz w:val="16"/>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potentially dilutive securities: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and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potentially issuable shares</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Adjustments associated with the timing of 5,175 shares of Class A common stock issued as part of the public offering, completed on September 19, 2024, and 6,053 shares of Class A common stock issued as part of the public offering, completed on June 16, 2023. See Note 13,</w:t>
      </w:r>
      <w:r>
        <w:rPr>
          <w:color w:val="000000"/>
        </w:rPr>
        <w:t xml:space="preserve"> </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for disclosure regarding the public offerings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19.     RELATED PARTY TRANSACTIONS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2023 and 2022, we retained the services of Casella Construction, Inc. (“CCI”), a company substantially owned by sons of John Casella, our Chairman and Chief Executive Officer, and Douglas Casella, a member of our Board of Directors, as a contractor in developing or closing certain landfills owned by us as well as providing transportation and construction services. Total purchased services charged to operations or capitalized to landfills for fiscal years 2024, 2023 and 2022 were $7,762, $7,682 and $12,297, respectively, of which $477 and $595 were outstanding and included in either accounts payable or other current liabilities as of December 31,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total purchased services, we provided various waste collection and disposal services to CCI. Total revenues recorded for fiscal years 2024, 2023 and 2022 were $242, $241 and $141, respectively.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fiscal year ended April 30, 1994, we entered into two leases for operating facilities with a partnership of which John Casella, our Chairman and Chief Executive Officer, and Douglas Casella, a member of our Board of Directors, are the general partners. The lease related to our corporate headquarters in Rutland, Vermont has been extended through February 2039 and the lease associated with our Montpelier, Vermont facility has been extended through May 2039. The terms of the lease agreements require monthly payments of approximately $34, subject to a fixed annual escalation. Total expense charged to operations for fiscal years 2024, 2023 and 2022 under these agreements was $554, $284 and $273,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Landfill Post-closure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notified by the permitting authority. In fiscal years 2024, 2023 and 2022, we paid $14, $3 and $10, respectively, pursuant to this agreement. As of December 31, 2024 and December 31, 2023, we have accrued $17 and $17, respectively, for costs associated with its post-closure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     SEGMENT REPORTING</w:t>
      </w:r>
    </w:p>
    <w:p>
      <w:pPr>
        <w:pStyle w:val="TextBody"/>
        <w:bidi w:val="0"/>
        <w:spacing w:lineRule="auto" w:line="288" w:before="120" w:after="283"/>
        <w:jc w:val="left"/>
        <w:rPr/>
      </w:pPr>
      <w:r>
        <w:rPr>
          <w:rFonts w:ascii="Times New Roman;sans-serif" w:hAnsi="Times New Roman;sans-serif"/>
          <w:b w:val="false"/>
          <w:color w:val="000000"/>
          <w:sz w:val="20"/>
        </w:rPr>
        <w:t xml:space="preserve">We report selected information about our reportable operating segments in a manner consistent with that used for internal management reporting. We classify our solid waste operations on a geographic basis through three regional operating segments, our Eastern, Western and Mid-Atlantic regions. Revenues associated with our solid waste operations are derived mainly from solid waste collection and disposal services, including landfill, transfer station and transportation, while also providing landfill gas-to-energy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are comprised of processing services and services provided by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Operating income by segment reported in fiscal years 2023 and 2022 have been updated to conform with the presentation for fiscal year 2024, which does not have Corporate Entities costs allocated to our reportable operating segments. See Note 9, </w:t>
      </w:r>
      <w:r>
        <w:rPr>
          <w:rFonts w:ascii="Times New Roman;sans-serif" w:hAnsi="Times New Roman;sans-serif"/>
          <w:b w:val="false"/>
          <w:i/>
          <w:color w:val="000000"/>
          <w:sz w:val="20"/>
        </w:rPr>
        <w:t>Goodwill and Intangible Assets</w:t>
      </w:r>
      <w:r>
        <w:rPr>
          <w:color w:val="000000"/>
        </w:rPr>
        <w:t xml:space="preserve"> </w:t>
      </w:r>
      <w:r>
        <w:rPr>
          <w:rFonts w:ascii="Times New Roman;sans-serif" w:hAnsi="Times New Roman;sans-serif"/>
          <w:b w:val="false"/>
          <w:color w:val="000000"/>
          <w:sz w:val="20"/>
        </w:rPr>
        <w:t xml:space="preserve">for the breakout of goodwill by reportable operating segment. </w:t>
      </w:r>
    </w:p>
    <w:p>
      <w:pPr>
        <w:pStyle w:val="TextBody"/>
        <w:bidi w:val="0"/>
        <w:spacing w:lineRule="auto" w:line="288" w:before="120" w:after="283"/>
        <w:jc w:val="left"/>
        <w:rPr/>
      </w:pPr>
      <w:r>
        <w:rPr>
          <w:rFonts w:ascii="Times New Roman;sans-serif" w:hAnsi="Times New Roman;sans-serif"/>
          <w:b w:val="false"/>
          <w:color w:val="000000"/>
          <w:sz w:val="20"/>
        </w:rPr>
        <w:t xml:space="preserve">The accounting policies of our reportable operating segments are the same as those described in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Our President is our CODM. Our CODM uses operating income in evaluating reportable operating segment performance in order to properly allocate resources and make key operating decisions. Intercompany revenue and expenses are eliminated in the computation of consolidated gross revenues and operating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CODM uses operating income for each reportable operating segment in the annual budget and forecasting process and considers budget-to-actual and forecast-to-actual variances on a monthly basis when making decisions about the allocation of operating and capital resources to each reportable operating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concerning our reportable segments for fiscal years 2024, 2023 and 2022,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Fiscal Year Ended December 31, 2024:</w:t>
      </w:r>
    </w:p>
    <w:tbl>
      <w:tblPr>
        <w:tblW w:w="13133" w:type="dxa"/>
        <w:jc w:val="left"/>
        <w:tblInd w:w="0" w:type="dxa"/>
        <w:tblLayout w:type="fixed"/>
        <w:tblCellMar>
          <w:top w:w="28" w:type="dxa"/>
          <w:left w:w="28" w:type="dxa"/>
          <w:bottom w:w="28" w:type="dxa"/>
          <w:right w:w="28" w:type="dxa"/>
        </w:tblCellMar>
      </w:tblPr>
      <w:tblGrid>
        <w:gridCol w:w="581"/>
        <w:gridCol w:w="459"/>
        <w:gridCol w:w="266"/>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41"/>
        <w:gridCol w:w="109"/>
        <w:gridCol w:w="109"/>
        <w:gridCol w:w="109"/>
        <w:gridCol w:w="109"/>
        <w:gridCol w:w="292"/>
        <w:gridCol w:w="562"/>
        <w:gridCol w:w="152"/>
        <w:gridCol w:w="109"/>
        <w:gridCol w:w="109"/>
        <w:gridCol w:w="109"/>
        <w:gridCol w:w="211"/>
        <w:gridCol w:w="97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capping (recovery) charge - veneer failure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Fiscal Year Ended December 31, 2023:</w:t>
      </w:r>
    </w:p>
    <w:tbl>
      <w:tblPr>
        <w:tblW w:w="13118" w:type="dxa"/>
        <w:jc w:val="left"/>
        <w:tblInd w:w="0" w:type="dxa"/>
        <w:tblLayout w:type="fixed"/>
        <w:tblCellMar>
          <w:top w:w="28" w:type="dxa"/>
          <w:left w:w="28" w:type="dxa"/>
          <w:bottom w:w="28" w:type="dxa"/>
          <w:right w:w="28" w:type="dxa"/>
        </w:tblCellMar>
      </w:tblPr>
      <w:tblGrid>
        <w:gridCol w:w="581"/>
        <w:gridCol w:w="459"/>
        <w:gridCol w:w="266"/>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(281,736)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(281,736)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(281,736)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capping (recovery) charge - veneer failure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Fiscal Year Ended December 31, 2022:</w:t>
      </w:r>
    </w:p>
    <w:tbl>
      <w:tblPr>
        <w:tblW w:w="12888" w:type="dxa"/>
        <w:jc w:val="left"/>
        <w:tblInd w:w="0" w:type="dxa"/>
        <w:tblLayout w:type="fixed"/>
        <w:tblCellMar>
          <w:top w:w="28" w:type="dxa"/>
          <w:left w:w="28" w:type="dxa"/>
          <w:bottom w:w="28" w:type="dxa"/>
          <w:right w:w="28" w:type="dxa"/>
        </w:tblCellMar>
      </w:tblPr>
      <w:tblGrid>
        <w:gridCol w:w="611"/>
        <w:gridCol w:w="459"/>
        <w:gridCol w:w="266"/>
        <w:gridCol w:w="211"/>
        <w:gridCol w:w="826"/>
        <w:gridCol w:w="109"/>
        <w:gridCol w:w="109"/>
        <w:gridCol w:w="109"/>
        <w:gridCol w:w="109"/>
        <w:gridCol w:w="211"/>
        <w:gridCol w:w="826"/>
        <w:gridCol w:w="109"/>
        <w:gridCol w:w="109"/>
        <w:gridCol w:w="109"/>
        <w:gridCol w:w="109"/>
        <w:gridCol w:w="301"/>
        <w:gridCol w:w="579"/>
        <w:gridCol w:w="156"/>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Mid-Atlantic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(239,951)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(239,951)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(239,951)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(1)Operations under the Mid-Atlantic region commenced July 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our total revenue attributable to services provided are as follows:</w:t>
      </w:r>
    </w:p>
    <w:tbl>
      <w:tblPr>
        <w:tblW w:w="10205" w:type="dxa"/>
        <w:jc w:val="left"/>
        <w:tblInd w:w="0" w:type="dxa"/>
        <w:tblLayout w:type="fixed"/>
        <w:tblCellMar>
          <w:top w:w="28" w:type="dxa"/>
          <w:left w:w="28" w:type="dxa"/>
          <w:bottom w:w="28" w:type="dxa"/>
          <w:right w:w="28" w:type="dxa"/>
        </w:tblCellMar>
      </w:tblPr>
      <w:tblGrid>
        <w:gridCol w:w="714"/>
        <w:gridCol w:w="627"/>
        <w:gridCol w:w="634"/>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317"/>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Ended </w:t>
              <w:br/>
              <w:t>December 31,</w:t>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2024. In making this assessment, our management used the criteria set forth by the Committee of Sponsoring Organizations of the Treadway Commission in Internal Control-Integrated Framework in 2013. Based on its assessment, management concluded that, as of December 31, 2024, our internal control over financial reporting is effective based on those criteria. The effectiveness of our internal control over financial reporting as of December 31, 2024 has been audited by RSM US LLP, an independent registered public accounting firm. RSM US LLP has issued an attestation report on our internal control over financial reporting, which is included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the acquisitions of LMR Disposal LLC, Roxburg Station LLC and AMP Holdings LLC (collectively “LMR”) on July 1, 2024; the equity interests of Whitetail Disposal, Inc. (“Whitetail”) on August 1, 2024; Royal Carting Holdings Corp., Welsh Sanitation Holdings Corp., Panichi Holding Corp., Valley 82 Holding Corp., Kejem Properties, LLC, Hopewell Industrial Properties LLC, Milbrook Properties LLC, and Watch Hill Holding Corp. (collectively, “Royal”) on October 1, 2024; and Tiger Waste Disposal Services, Inc. and Gra-Jen Properties, LLC (collectively “Tiger”) on December 2, 2024. Since we have not yet fully incorporated the internal controls and procedures of the LMR, Whitetail, Royal and Tiger from its assessment of the effectiveness of the Company’s internal control over financial reporting as of December 31, 2024. Collectively, the LMR, Whitetail, Royal and Tiger constituted approximately 16% of our total assets as of December 31, 2024 and 5% of our total revenues for the year ended December 31,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occurred during the fiscal quarter ended December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Director and Officer Trading Arrangements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compensation of our directors and officers (as defined in Rule 16a-1(f) under the Securities Exchange Act of 1934, as amended (“Exchange Act”)) is in the form of equity awards, including restricted stock units and performance stock units, and, from time to time, directors and officers engage in open-market transactions with respect to the securities acquired pursuant to such equity awards or other securities of ours, including to satisfy tax withholding obligations when equity awards vest or are exercised, and for diversification or other personal reasons.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enables directors and officers to prearrange transactions in our securities in a manner that avoids concerns about initiating transactions while in possession of material nonpublic information.</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for the fourth quarter of fiscal year 2024, each trading arrangement for the sale or purchase of our securities adopted or terminated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tbl>
      <w:tblPr>
        <w:tblW w:w="10205" w:type="dxa"/>
        <w:jc w:val="left"/>
        <w:tblInd w:w="0" w:type="dxa"/>
        <w:tblLayout w:type="fixed"/>
        <w:tblCellMar>
          <w:top w:w="28" w:type="dxa"/>
          <w:left w:w="28" w:type="dxa"/>
          <w:bottom w:w="28" w:type="dxa"/>
          <w:right w:w="28" w:type="dxa"/>
        </w:tblCellMar>
      </w:tblPr>
      <w:tblGrid>
        <w:gridCol w:w="597"/>
        <w:gridCol w:w="523"/>
        <w:gridCol w:w="529"/>
        <w:gridCol w:w="109"/>
        <w:gridCol w:w="109"/>
        <w:gridCol w:w="109"/>
        <w:gridCol w:w="557"/>
        <w:gridCol w:w="326"/>
        <w:gridCol w:w="328"/>
        <w:gridCol w:w="109"/>
        <w:gridCol w:w="109"/>
        <w:gridCol w:w="109"/>
        <w:gridCol w:w="514"/>
        <w:gridCol w:w="491"/>
        <w:gridCol w:w="492"/>
        <w:gridCol w:w="109"/>
        <w:gridCol w:w="109"/>
        <w:gridCol w:w="109"/>
        <w:gridCol w:w="465"/>
        <w:gridCol w:w="465"/>
        <w:gridCol w:w="466"/>
        <w:gridCol w:w="109"/>
        <w:gridCol w:w="109"/>
        <w:gridCol w:w="109"/>
        <w:gridCol w:w="511"/>
        <w:gridCol w:w="511"/>
        <w:gridCol w:w="512"/>
        <w:gridCol w:w="109"/>
        <w:gridCol w:w="109"/>
        <w:gridCol w:w="109"/>
        <w:gridCol w:w="372"/>
        <w:gridCol w:w="372"/>
        <w:gridCol w:w="539"/>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Action Taken (Date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Nature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Duration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Securities</w:t>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J. Ligon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Sustainable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 (12/16/2024)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Through and including 04/01/2026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4,000 shares</w:t>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officers terminated a Rule 10b5-1 trading arrangement or adopted or terminated a non-Rule 10b5-1 trading arrangement (as defined in Item 408(c) of Regulation S-K) during the fourth quarter of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(except for information required with respect to our executive officers which is set forth under “Information about our Executive Officers” in Item 1 of Part I of this Annual Report on Form 10-K) has been omitted from this Annual Report on Form 10-K, and is incorporated herein by reference from our definitive proxy statement for the 2025 Annual Meeting of Stockholders that we intend to file with the Securities and Exchange Commission within 120 days after the end of fiscal year ended December 31, 2024 (the “Proxy Statement”), under the sections captioned “Board of Directors”, “Corporate Governance” and “Ownership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(other than the information required by Item 402(v) of Regulation S-K) is incorporated herein by reference from the Proxy Statement under the sections captioned “Executive and Director Compensation and Related Matters”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information about the securities authorized for issuance under our equity compensation plans as of December 31, 2024:</w:t>
      </w:r>
    </w:p>
    <w:tbl>
      <w:tblPr>
        <w:tblW w:w="10185" w:type="dxa"/>
        <w:jc w:val="left"/>
        <w:tblInd w:w="0" w:type="dxa"/>
        <w:tblLayout w:type="fixed"/>
        <w:tblCellMar>
          <w:top w:w="28" w:type="dxa"/>
          <w:left w:w="28" w:type="dxa"/>
          <w:bottom w:w="28" w:type="dxa"/>
          <w:right w:w="28" w:type="dxa"/>
        </w:tblCellMar>
      </w:tblPr>
      <w:tblGrid>
        <w:gridCol w:w="1832"/>
        <w:gridCol w:w="1607"/>
        <w:gridCol w:w="1616"/>
        <w:gridCol w:w="460"/>
        <w:gridCol w:w="460"/>
        <w:gridCol w:w="461"/>
        <w:gridCol w:w="109"/>
        <w:gridCol w:w="109"/>
        <w:gridCol w:w="109"/>
        <w:gridCol w:w="324"/>
        <w:gridCol w:w="948"/>
        <w:gridCol w:w="169"/>
        <w:gridCol w:w="109"/>
        <w:gridCol w:w="109"/>
        <w:gridCol w:w="109"/>
        <w:gridCol w:w="488"/>
        <w:gridCol w:w="488"/>
        <w:gridCol w:w="678"/>
      </w:tblGrid>
      <w:tr>
        <w:trPr/>
        <w:tc>
          <w:tcPr>
            <w:tcW w:w="183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securities</w:t>
              <w:br/>
              <w:t>to be issued upon</w:t>
              <w:br/>
              <w:t>exercise of</w:t>
              <w:br/>
              <w:t>outstanding</w:t>
              <w:br/>
              <w:t>options, warrants</w:t>
              <w:br/>
              <w:t>and rights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 of</w:t>
              <w:br/>
              <w:t>outstanding</w:t>
              <w:br/>
              <w:t>options, warrants</w:t>
              <w:br/>
              <w:t>and rights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w:t>
              <w:br/>
              <w:t>available for future</w:t>
              <w:br/>
              <w:t>issuance</w:t>
              <w:br/>
              <w:t>under equity</w:t>
              <w:br/>
              <w:t>compensation</w:t>
              <w:br/>
              <w:t>plans (excluding</w:t>
              <w:br/>
              <w:t>securities reflected</w:t>
              <w:br/>
              <w:t>in column (a) (3))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2,581,721 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298,249 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2,581,721 </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(1)Performance stock units, including market-based performance stock units, are included at the 100% attainment level. Attainment of maximum performance targets and market achievements could result in the issuance of an additional 129,884 shares of Class A common stock.</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exercise price of outstanding options, warrants and rights excludes restricted stock units and other equity-based awards that do not have an exercise price.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(3)Includes 2,204,782 shares of our Class A common stock issuable under our Amended and Restated 2016 Incentive Plan and 376,939 shares of our Class A common stock issuable under our Second Amended and Restated 1997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from the Proxy Statement under the section captioned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from the Proxy Statement under the section captioned “Proposal 3 - Ratification of the Appointment of Independent Auditors”.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71"/>
        <w:gridCol w:w="151"/>
        <w:gridCol w:w="151"/>
        <w:gridCol w:w="109"/>
        <w:gridCol w:w="109"/>
        <w:gridCol w:w="109"/>
        <w:gridCol w:w="2802"/>
        <w:gridCol w:w="2733"/>
        <w:gridCol w:w="3870"/>
      </w:tblGrid>
      <w:tr>
        <w:trPr/>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included under Item 8.</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 RSM US LLP.</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December 31, 2023.</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fiscal years 2024, 2023 and 2022.</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fiscal years 2024, 2023 and 2022.</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Stockholders’ Equity for fiscal years 2024, 2023 and 2022.</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fiscal years 2024, 2023 and 2022.</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the required information is not significant or is included in the consolidated financial statements or notes thereto, or is not applicable.</w:t>
            </w:r>
          </w:p>
        </w:tc>
      </w:tr>
      <w:tr>
        <w:trPr/>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944"/>
        <w:gridCol w:w="2944"/>
        <w:gridCol w:w="2971"/>
        <w:gridCol w:w="109"/>
        <w:gridCol w:w="109"/>
        <w:gridCol w:w="15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Equity Purchase Agreement, dated as of April 21, 2023, by and among the sellers identified therein, GFL Environmental Inc., Casella Mid-Atlantic, LLC, and, solely with respect to Section 9.17 thereof, Casella Waste Systems, Inc. (incorporated herein by reference to Exhibit 2.1 to the quarterly report on Form 10-Q of Casella as filed on July 27, 2023 (file no. 000-23211)).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Second Amended and Restated Certificate of Incorporation of Casella Waste Systems, Inc., as amended (incorporated herein by reference to Exhibit 3.1 to the quarterly report on Form 10-Q of Casella as filed on December 7, 2007(file no. 000-23211)).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Fourth Amended and Restated By-Laws of Casella Waste Systems, Inc. (incorporated herein by reference to Exhibit 3.2 to the annual report on Form 10-K of Casella as filed on February 17, 2023 (file no. 000-23211)</w:t>
              </w:r>
            </w:hyperlink>
            <w:hyperlink r:id="rId6">
              <w:r>
                <w:rPr>
                  <w:rStyle w:val="InternetLink"/>
                  <w:rFonts w:ascii="Times New Roman;sans-serif" w:hAnsi="Times New Roman;sans-serif"/>
                  <w:b w:val="false"/>
                  <w:color w:val="000080"/>
                  <w:sz w:val="20"/>
                  <w:u w:val="single"/>
                </w:rPr>
                <w:t>)</w:t>
              </w:r>
            </w:hyperlink>
            <w:hyperlink r:id="rId7">
              <w:r>
                <w:rPr>
                  <w:rStyle w:val="InternetLink"/>
                  <w:rFonts w:ascii="Times New Roman;sans-serif" w:hAnsi="Times New Roman;sans-serif"/>
                  <w:b w:val="false"/>
                  <w:color w:val="000080"/>
                  <w:sz w:val="20"/>
                  <w:u w:val="single"/>
                </w:rPr>
                <w: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stock certificate of Casella Class A common stock (incorporated herein by reference to Exhibit 4 to Amendment No. 2 to the registration statement on Form S-1 of Casella as filed on October 9, 1997 (file no. 333-33135)).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Certificate of Designation creating Series A Convertible Preferred Stock (incorporated herein by reference to Exhibit 4.1 to the current report on Form 8-K of Casella as filed on August 18, 2000 (file no. 000-23211)).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20"/>
                  <w:u w:val="single"/>
                </w:rPr>
                <w:t>Description of Securities Registered Under Section 12 of the Exchange Act</w:t>
              </w:r>
            </w:hyperlink>
            <w:r>
              <w:rPr>
                <w:color w:val="000000"/>
              </w:rPr>
              <w:t xml:space="preserve"> </w:t>
            </w:r>
            <w:r>
              <w:rPr>
                <w:rFonts w:ascii="Times New Roman;sans-serif" w:hAnsi="Times New Roman;sans-serif"/>
                <w:b w:val="false"/>
                <w:color w:val="0000FF"/>
                <w:sz w:val="20"/>
                <w:u w:val="single"/>
              </w:rPr>
              <w:t>(incorporated herein by reference to Exhibit 4.3 to the annual report on Form 10-K of Casella as filed on February 19, 2021 (file no. 000-23211)).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FAME Financing Agreement, dated as of August 1, 2015, between Casella and the Finance Authority of Maine (incorporated herein by reference to Exhibit 4.1 to the current report on Form 8-K of Casella as filed on August 27, 2015 (file no. 000-23211)).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FAME Guaranty Agreement, dated as of August 1, 2015, by and between the guarantors named therein and U.S. Bank National Association, as trustee (incorporated herein by reference to Exhibit 4.2 to the current report on Form 8-K of Casella Waste Systems, Inc. as filed on August 27, 2015 (file no. 000-23211)).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Loan Agreement, dated as of December 1, 2014, between New York State Environmental Facilities Corporation and Casella (incorporated herein by reference to Exhibit 4.1 to the current report on Form 8-K of Casella as filed on December 18, 2014 (file no. 000-23211)).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NYSEFC Amended and Restated Guaranty Agreement, dated as of June 1, 2016, by and between the guarantors named therein and U.S. Bank National Association, as Trustee (incorporated herein by reference to Exhibit 4.1 to the current report on Form 8-K of Casella as filed on June 2, 2016 (file no. 000-23211)).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3004"/>
        <w:gridCol w:w="2912"/>
        <w:gridCol w:w="2942"/>
        <w:gridCol w:w="109"/>
        <w:gridCol w:w="109"/>
        <w:gridCol w:w="15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BFA Guaranty Agreement, dated as of October 1, 2014, by and among U.S. Bank National Association, as Trustee, and the guarantors identified therein (incorporated herein by reference to Exhibit 10.1 to the current report on Form 8-K of Casella as filed on October 16, 2014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Financing Agreement dated as of March 1, 2013 between Casella Waste Systems, Inc. and the Vermont Economic Development Authority, relating to issuance of Vermont Economic Development Authority Solid Waste Disposal Revenue Bonds (incorporated herein by reference to Exhibit 10.1 to the current report on Form 8-K of Casella as filed April 5, 2013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VEDA Guaranty Agreement, dated as of March 1, 2013, by and among U.S. Bank National Association, as Trustee, and the guarantors identified therein (incorporated herein by reference to Exhibit 4.8 to the annual report on Form 10-K of Casella as filed on June 27, 2014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Financing Agreement dated as of March 1, 2013 between Casella Waste Systems, Inc. and the Business Finance Authority of the State of New Hampshire, relating to issuance of Business Finance Authority of the State of New Hampshire Solid Waste Disposal Revenue Bonds (incorporated herein by reference to Exhibit 10.2 to the current report on Form 8-K of Casella as filed on April 5, 2013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Financing Agreement between Casella Waste Systems, Inc. and Finance Authority of Maine, dated as of December 1, 2005, relating to issuance of Finance Authority of Maine Solid Waste Disposal Revenue Bonds (Casella Waste Services, Inc. Project) Series 2005 (incorporated herein by reference to Exhibit 10.1 to the current report on Form 8-K of Casella as filed on January 4, 2006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Financing Agreement between Casella Waste Systems, Inc. and Finance Authority of Maine, dated as of December 1, 2024, relating to issuance of Finance Authority of Maine Solid Waste Disposal Revenue Bonds (Casella Waste Services, Inc. Project) Series 2024 (incorporated herein by reference to Exhibit 4.1 to the current report on Form 8-K of Casella as filed on December 23, 2024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First Amendment dated as of February 1, 2012 to Financing Agreement dated as of December 1, 2005, by and among Finance Authority of Maine, U.S. Bank National Association, as Trustee, Bank of America, as Credit Provider, and Casella (incorporated herein by reference to Exhibit 10.1 to the quarterly report on Form 10-Q of Casella as filed on March 2, 2012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Second Amendment dated as of February 1, 2017 to Financing Agreement dated as of December 1, 2005, by and among Finance Authority of Maine, U.S. Bank National Association, as Trustee, Bank of America, as Credit Provider, and Casella (incorporated herein by reference to Exhibit 4.2 to the current report on Form 8-K as filed on February 7, 2017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FAME Amended and Restated Guaranty Agreement, dated as of February 1, 2017, by and among U.S. Bank National Association, as Trustee, and the guarantors identified therein (incorporated herein by reference to Exhibit 4.1 to the current report on Form 8-K of Casella as filed on February 7, 2017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Loan Agreement, dated as of September 1, 2020, between New York State Environmental Facilities Corporation and Casella Waste Systems, Inc (incorporated herein by reference to Exhibit 4.1 to the Current Report on Form 8-K of Casella as filed on September 2, 2020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Guaranty Agreement, dated as of September 1, 2020, by and between the guarantors named therein and U.S. Bank National Association, as trustee (incorporated herein by reference to Exhibit 4.2 to the Current Report on Form 8-K of Casella as filed on September 2, 2020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Loan Agreement, dated as of June 1, 2022, between Vermont Economic Development Authority and Casella Waste Systems, Inc. (incorporated herein by reference to Exhibit 4.1 to the Current Report on Form 8-K of Casella as filed on June 1, 2022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Guaranty Agreement, dated as of June 1, 2022, by and between the guarantors named therein and U.S. Bank Trust Company, National Association, as trustee (incorporated herein by reference to Exhibit 4.2 to the Current Report on Form 8-K of Casella as filed on June 1, 2022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Amended and Restated Guaranty Agreement, dated as of August 1, 2023, by the guarantors named therein, in favor of U.S. Bank Trust Company, National Association, as trustee (incorporated herein by reference to Exhibit 4.2 to the Current Report on Form 8-K of Casella as filed on August 24, 2023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Guaranty Agreement, dated as of December 1, 2024, by the guarantors named therein, in favor of U.S. Bank Trust Company, National Association, as trustee (incorporated herein by reference to Exhibit 4.2 to the Current Report on Form 8-K of Casella as filed on December 23, 2024 (file no. 000-23211)).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39"/>
        <w:gridCol w:w="209"/>
        <w:gridCol w:w="211"/>
        <w:gridCol w:w="109"/>
        <w:gridCol w:w="109"/>
        <w:gridCol w:w="109"/>
        <w:gridCol w:w="2984"/>
        <w:gridCol w:w="2914"/>
        <w:gridCol w:w="2945"/>
        <w:gridCol w:w="109"/>
        <w:gridCol w:w="109"/>
        <w:gridCol w:w="158"/>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01123124.htm">
              <w:r>
                <w:rPr>
                  <w:rStyle w:val="InternetLink"/>
                  <w:rFonts w:ascii="Times New Roman;sans-serif" w:hAnsi="Times New Roman;sans-serif"/>
                  <w:b w:val="false"/>
                  <w:color w:val="0000FF"/>
                  <w:sz w:val="20"/>
                  <w:u w:val="single"/>
                </w:rPr>
                <w:t>Commercial Lease, dated February 14, 2024, by and between Casella Waste Systems, Inc. and Casella Associates, LLC (Rutland lease)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02123124.htm">
              <w:r>
                <w:rPr>
                  <w:rStyle w:val="InternetLink"/>
                  <w:rFonts w:ascii="Times New Roman;sans-serif" w:hAnsi="Times New Roman;sans-serif"/>
                  <w:b w:val="false"/>
                  <w:color w:val="0000FF"/>
                  <w:sz w:val="20"/>
                  <w:u w:val="single"/>
                </w:rPr>
                <w:t>Commercial Lease, dated May 16, 2024, by and between Casella Waste Systems, Inc. and Casella Associates, LLC (Montpelier lease)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Lease, Operations and Maintenance Agreement between CV Landfill, Inc. and Casella Waste Systems, Inc. dated June 30, 1994 (incorporated herein by reference to Exhibit 10.20 to the registration statement on Form S-1 of Casella as filed on August 7, 1997 (file no. 333-33135)).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Employment Agreement between Casella Waste Systems, Inc. and John W. Casella dated December 8, 1999 (incorporated herein by reference to Exhibit 10.43 to the annual report on Form 10-K of Casella as filed on August 4, 2000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Amendment to Employment Agreement by and between Casella Waste Systems, Inc. and John W. Casella dated as of December 30, 2008 (incorporated herein by reference to Exhibit 10.3 to the quarterly report on Form 10-Q of Casella as filed on March 6, 2009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2006 Stock Incentive Plan, as amended (incorporated herein by reference to Exhibit 10.13 to the annual report on Form 10-K of Casella as filed on March 2, 2016 (file no. 000-023211)).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Incentive Stock Option Agreement granted under 2006 Stock Incentive Plan (incorporated herein by reference to Exhibit 10.14 to the annual report on Form 10-K of Casella as filed on June 27, 2014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Restricted Stock Agreement granted under 2006 Stock Incentive Plan (incorporated herein by reference to Exhibit 10.15 to the annual report on Form 10-K of Casella as filed on June 27, 2014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Form of Restricted Share Unit Agreement granted under 2006 Stock Incentive Plan (employee with employment contract) (incorporated herein by reference to Exhibit 10.16 to the annual report on Form 10-K of Casella as filed on June 27, 2014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Restricted Share Unit Agreement granted under 2006 Stock Incentive Plan (employee with no employment contract) (incorporated herein by reference to Exhibit 10.17 to the annual report on Form 10-K of Casella as filed on June 27, 2014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Form of Restricted Stock Unit Agreement granted under 2006 Stock Incentive Plan (employee with employment contract) (incorporated herein by reference to Exhibit 10.18 to the annual report on Form 10-K of Casella as filed on June 27, 2014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Form of Restricted Stock Unit Agreement granted under 2006 Stock Incentive Plan (employee with no employment contract) (incorporated herein by reference to Exhibit 10.19 to the annual report on Form 10-K of Casella as filed on June 27, 2014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Form of Performance Share Unit Agreement granted under 2006 Stock Incentive Plan (incorporated herein by reference to Exhibit 10.2 to the quarterly report on Form 10-Q of Casella as filed on September 4, 2008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 xml:space="preserve">Form of Restricted Stock Unit Agreement granted under 2006 Stock Incentive Plan (adopted March 1, 2016) (employee with employment contract) (incorporated herein by reference to Exhibit 10.2 to the current report on Form 8-K of Casella as filed on March 7, 2016 (file no. 000-23211)).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Form of Restricted Stock Unit Agreement granted under 2006 Stock Incentive Plan (adopted March 1, 2016) (employee with no employment contract) (incorporated herein by reference to Exhibit 10.3 to the current report on Form 8-K of Casella as filed on March 7, 2016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Amended and Restated Employment Agreement between Casella Waste Systems, Inc. and Edwin D. Johnson dated as of June 20, 2022 (incorporated herein by reference to Exhibit 10.1 to the Current Report on Form 8-K of Casella as filed on June 22, 2022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Amendment to Amended and Restated Employment Agreement between Casella Waste Systems, Inc. and Edwin D. Johnson dated as of July 21, 2022 (incorporated herein by reference to Exhibit 10.5 to the quarterly report on Form 10-Q of Casella as filed on July 29, 2022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Amended and Restated Employment Agreement between Casella Waste Systems, Inc. and Edmond R. Coletta dated as of June 20, 2022 (incorporated herein by reference to Exhibit 10.1 to the Current Report on Form 8-K/A of Casella as filed on June 22, 2022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39"/>
        <w:gridCol w:w="209"/>
        <w:gridCol w:w="211"/>
        <w:gridCol w:w="109"/>
        <w:gridCol w:w="109"/>
        <w:gridCol w:w="109"/>
        <w:gridCol w:w="3146"/>
        <w:gridCol w:w="2835"/>
        <w:gridCol w:w="2863"/>
        <w:gridCol w:w="109"/>
        <w:gridCol w:w="109"/>
        <w:gridCol w:w="157"/>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Employment Agreement between Casella Waste Systems, Inc. and Shelley E. Sayward dated as of January 1, 2021 (incorporated herein by reference to exhibit 10.25 to the annual report on Form 10-K of Casella as filed on February 19, 2021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Amended and Restated Employment Agreement between Casella Waste Systems, Inc. and Christopher B. Heald dated as of October 25, 2021 (incorporated herein by reference to Exhibit 10.1 to the quarterly report on Form 10-Q of Casella as filed on October 29, 2021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Employment Agreement between Casella Waste Systems, Inc. and Kevin Drohan effective as of April 1, 2022 (incorporated herein by reference to Exhibit 10.1 to the Current Report on Form 8-K of Casella as filed on March 31, 2022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 xml:space="preserve">Employment Agreement between Casella Waste Systems, Inc. and Sean Steves effective as of July 1, 2022 (incorporated herein by reference to Exhibit 10.2 to the Current Report on Form 8-K/A of Casella as filed on June 22, 2022 (file no. 000-23211)).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Casella Waste Systems, Inc. Non-Equity Incentive Plan (incorporated herein by reference to Exhibit 10.1 of the current report on Form 8-K of Casella as filed on March 7, 2016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80"/>
                  <w:sz w:val="20"/>
                  <w:u w:val="single"/>
                </w:rPr>
                <w:t xml:space="preserve">Casella Waste Systems, Inc. 2016 Incentive Plan (incorporated herein by reference to Exhibit 99.1 to the Registration Statement on Form S-8 of Casella as filed on November 17, 2016 (file </w:t>
              </w:r>
            </w:hyperlink>
            <w:hyperlink r:id="rId52">
              <w:r>
                <w:rPr>
                  <w:rStyle w:val="InternetLink"/>
                  <w:rFonts w:ascii="Times New Roman;sans-serif" w:hAnsi="Times New Roman;sans-serif"/>
                  <w:b w:val="false"/>
                  <w:color w:val="000080"/>
                  <w:sz w:val="20"/>
                  <w:u w:val="single"/>
                </w:rPr>
                <w:t>n</w:t>
              </w:r>
            </w:hyperlink>
            <w:hyperlink r:id="rId53">
              <w:r>
                <w:rPr>
                  <w:rStyle w:val="InternetLink"/>
                  <w:rFonts w:ascii="Times New Roman;sans-serif" w:hAnsi="Times New Roman;sans-serif"/>
                  <w:b w:val="false"/>
                  <w:color w:val="000080"/>
                  <w:sz w:val="20"/>
                  <w:u w:val="single"/>
                </w:rPr>
                <w:t>o. 333-214683)).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80"/>
                  <w:sz w:val="20"/>
                  <w:u w:val="single"/>
                </w:rPr>
                <w:t xml:space="preserve">Form of Restricted Stock Unit Agreement under 2016 Incentive Plan (employee with employment contract) (incorporated herein by reference to Exhibit 10.1 to the current report on Form 8-K of Casella as filed on November 22, 2016 (file </w:t>
              </w:r>
            </w:hyperlink>
            <w:hyperlink r:id="rId55">
              <w:r>
                <w:rPr>
                  <w:rStyle w:val="InternetLink"/>
                  <w:rFonts w:ascii="Times New Roman;sans-serif" w:hAnsi="Times New Roman;sans-serif"/>
                  <w:b w:val="false"/>
                  <w:color w:val="000080"/>
                  <w:sz w:val="20"/>
                  <w:u w:val="single"/>
                </w:rPr>
                <w:t>n</w:t>
              </w:r>
            </w:hyperlink>
            <w:hyperlink r:id="rId56">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80"/>
                  <w:sz w:val="20"/>
                  <w:u w:val="single"/>
                </w:rPr>
                <w:t xml:space="preserve">Form of Restricted Stock Unit Agreement under 2016 Incentive Plan (employee with no employment contract) (incorporated herein by reference to Exhibit 10.2 to the current report on Form 8-K of Casella as filed on November 22, 2016 (file </w:t>
              </w:r>
            </w:hyperlink>
            <w:hyperlink r:id="rId58">
              <w:r>
                <w:rPr>
                  <w:rStyle w:val="InternetLink"/>
                  <w:rFonts w:ascii="Times New Roman;sans-serif" w:hAnsi="Times New Roman;sans-serif"/>
                  <w:b w:val="false"/>
                  <w:color w:val="000080"/>
                  <w:sz w:val="20"/>
                  <w:u w:val="single"/>
                </w:rPr>
                <w:t>n</w:t>
              </w:r>
            </w:hyperlink>
            <w:hyperlink r:id="rId59">
              <w:r>
                <w:rPr>
                  <w:rStyle w:val="InternetLink"/>
                  <w:rFonts w:ascii="Times New Roman;sans-serif" w:hAnsi="Times New Roman;sans-serif"/>
                  <w:b w:val="false"/>
                  <w:color w:val="000080"/>
                  <w:sz w:val="20"/>
                  <w:u w:val="single"/>
                </w:rPr>
                <w:t xml:space="preserve">o. 000-23211)).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80"/>
                  <w:sz w:val="20"/>
                  <w:u w:val="single"/>
                </w:rPr>
                <w:t xml:space="preserve">Form of Performance-Based Stock Unit Agreement under 2016 Incentive Plan (employee with employment contract) (incorporated herein by reference to Exhibit 10.3 to the current report on Form 8-K of Casella as filed on November 22, 2016 (file </w:t>
              </w:r>
            </w:hyperlink>
            <w:hyperlink r:id="rId61">
              <w:r>
                <w:rPr>
                  <w:rStyle w:val="InternetLink"/>
                  <w:rFonts w:ascii="Times New Roman;sans-serif" w:hAnsi="Times New Roman;sans-serif"/>
                  <w:b w:val="false"/>
                  <w:color w:val="000080"/>
                  <w:sz w:val="20"/>
                  <w:u w:val="single"/>
                </w:rPr>
                <w:t>n</w:t>
              </w:r>
            </w:hyperlink>
            <w:hyperlink r:id="rId62">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80"/>
                  <w:sz w:val="20"/>
                  <w:u w:val="single"/>
                </w:rPr>
                <w:t xml:space="preserve">Form of Performance-Based Stock Unit Agreement under 2016 Incentive Plan (employee with no employment contract) (incorporated herein by reference to Exhibit 10.4 to the current report on Form 8-K of Casella as filed on November 22, 2016 (file </w:t>
              </w:r>
            </w:hyperlink>
            <w:hyperlink r:id="rId64">
              <w:r>
                <w:rPr>
                  <w:rStyle w:val="InternetLink"/>
                  <w:rFonts w:ascii="Times New Roman;sans-serif" w:hAnsi="Times New Roman;sans-serif"/>
                  <w:b w:val="false"/>
                  <w:color w:val="000080"/>
                  <w:sz w:val="20"/>
                  <w:u w:val="single"/>
                </w:rPr>
                <w:t>n</w:t>
              </w:r>
            </w:hyperlink>
            <w:hyperlink r:id="rId65">
              <w:r>
                <w:rPr>
                  <w:rStyle w:val="InternetLink"/>
                  <w:rFonts w:ascii="Times New Roman;sans-serif" w:hAnsi="Times New Roman;sans-serif"/>
                  <w:b w:val="false"/>
                  <w:color w:val="000080"/>
                  <w:sz w:val="20"/>
                  <w:u w:val="single"/>
                </w:rPr>
                <w:t xml:space="preserve">o. 000-23211)).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80"/>
                  <w:sz w:val="20"/>
                  <w:u w:val="single"/>
                </w:rPr>
                <w:t xml:space="preserve">Form of Restricted Stock Agreement under 2016 Incentive Plan (incorporated herein by reference to Exhibit 10.5 to the current report on Form 8-K of Casella as filed on November 22, 2016 (file </w:t>
              </w:r>
            </w:hyperlink>
            <w:hyperlink r:id="rId67">
              <w:r>
                <w:rPr>
                  <w:rStyle w:val="InternetLink"/>
                  <w:rFonts w:ascii="Times New Roman;sans-serif" w:hAnsi="Times New Roman;sans-serif"/>
                  <w:b w:val="false"/>
                  <w:color w:val="000080"/>
                  <w:sz w:val="20"/>
                  <w:u w:val="single"/>
                </w:rPr>
                <w:t>n</w:t>
              </w:r>
            </w:hyperlink>
            <w:hyperlink r:id="rId68">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80"/>
                  <w:sz w:val="20"/>
                  <w:u w:val="single"/>
                </w:rPr>
                <w:t xml:space="preserve">Form of Incentive Stock Option Agreement under 2016 Incentive Plan (employee with employment contract) (incorporated herein by reference to Exhibit 10.6 to the current report on Form 8-K of Casella as filed on November 22, 2016 (file </w:t>
              </w:r>
            </w:hyperlink>
            <w:hyperlink r:id="rId70">
              <w:r>
                <w:rPr>
                  <w:rStyle w:val="InternetLink"/>
                  <w:rFonts w:ascii="Times New Roman;sans-serif" w:hAnsi="Times New Roman;sans-serif"/>
                  <w:b w:val="false"/>
                  <w:color w:val="000080"/>
                  <w:sz w:val="20"/>
                  <w:u w:val="single"/>
                </w:rPr>
                <w:t>n</w:t>
              </w:r>
            </w:hyperlink>
            <w:hyperlink r:id="rId71">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80"/>
                  <w:sz w:val="20"/>
                  <w:u w:val="single"/>
                </w:rPr>
                <w:t xml:space="preserve">Form of Nonstatutory Stock Option Agreement under 2016 Incentive Plan (employee with employment contract) (incorporated herein by reference to Exhibit 10.7 to the current report on Form 8-K of Casella as filed on November 22, 2016 (file </w:t>
              </w:r>
            </w:hyperlink>
            <w:hyperlink r:id="rId73">
              <w:r>
                <w:rPr>
                  <w:rStyle w:val="InternetLink"/>
                  <w:rFonts w:ascii="Times New Roman;sans-serif" w:hAnsi="Times New Roman;sans-serif"/>
                  <w:b w:val="false"/>
                  <w:color w:val="000080"/>
                  <w:sz w:val="20"/>
                  <w:u w:val="single"/>
                </w:rPr>
                <w:t>n</w:t>
              </w:r>
            </w:hyperlink>
            <w:hyperlink r:id="rId74">
              <w:r>
                <w:rPr>
                  <w:rStyle w:val="InternetLink"/>
                  <w:rFonts w:ascii="Times New Roman;sans-serif" w:hAnsi="Times New Roman;sans-serif"/>
                  <w:b w:val="false"/>
                  <w:color w:val="000080"/>
                  <w:sz w:val="20"/>
                  <w:u w:val="single"/>
                </w:rPr>
                <w:t xml:space="preserve">o. 000-23211)).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80"/>
                  <w:sz w:val="20"/>
                  <w:u w:val="single"/>
                </w:rPr>
                <w:t xml:space="preserve">Form of Incentive Stock Option Agreement under 2016 Incentive Plan (employee with no employment contract) (incorporated herein by reference to Exhibit 10.8 to the current report on Form 8-K of Casella as filed on November 22, 2016 (file </w:t>
              </w:r>
            </w:hyperlink>
            <w:hyperlink r:id="rId76">
              <w:r>
                <w:rPr>
                  <w:rStyle w:val="InternetLink"/>
                  <w:rFonts w:ascii="Times New Roman;sans-serif" w:hAnsi="Times New Roman;sans-serif"/>
                  <w:b w:val="false"/>
                  <w:color w:val="000080"/>
                  <w:sz w:val="20"/>
                  <w:u w:val="single"/>
                </w:rPr>
                <w:t>n</w:t>
              </w:r>
            </w:hyperlink>
            <w:hyperlink r:id="rId77">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80"/>
                  <w:sz w:val="20"/>
                  <w:u w:val="single"/>
                </w:rPr>
                <w:t xml:space="preserve">Form of Nonstatutory Stock Option Agreement under 2016 Incentive Plan (employee with no employment contract) (incorporated herein by reference to Exhibit 10.9 to the current report on Form 8-K of Casella as filed on November 22, 2016 (file </w:t>
              </w:r>
            </w:hyperlink>
            <w:hyperlink r:id="rId79">
              <w:r>
                <w:rPr>
                  <w:rStyle w:val="InternetLink"/>
                  <w:rFonts w:ascii="Times New Roman;sans-serif" w:hAnsi="Times New Roman;sans-serif"/>
                  <w:b w:val="false"/>
                  <w:color w:val="000080"/>
                  <w:sz w:val="20"/>
                  <w:u w:val="single"/>
                </w:rPr>
                <w:t>n</w:t>
              </w:r>
            </w:hyperlink>
            <w:hyperlink r:id="rId80">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80"/>
                  <w:sz w:val="20"/>
                  <w:u w:val="single"/>
                </w:rPr>
                <w:t xml:space="preserve">Form of Performance-Based Stock Option Agreement under 2016 Incentive Plan (employee with employment contract) (incorporated herein by reference to Exhibit 10.10 to the current report on Form 8-K of Casella as filed on November 22, 2016 (file </w:t>
              </w:r>
            </w:hyperlink>
            <w:hyperlink r:id="rId82">
              <w:r>
                <w:rPr>
                  <w:rStyle w:val="InternetLink"/>
                  <w:rFonts w:ascii="Times New Roman;sans-serif" w:hAnsi="Times New Roman;sans-serif"/>
                  <w:b w:val="false"/>
                  <w:color w:val="000080"/>
                  <w:sz w:val="20"/>
                  <w:u w:val="single"/>
                </w:rPr>
                <w:t>n</w:t>
              </w:r>
            </w:hyperlink>
            <w:hyperlink r:id="rId83">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80"/>
                  <w:sz w:val="20"/>
                  <w:u w:val="single"/>
                </w:rPr>
                <w:t xml:space="preserve">Form of Performance-Based Stock Option Agreement under 2016 Incentive Plan (employee with no employment contract) (incorporated herein by reference to Exhibit 10.11 to the current report on Form 8-K of Casella as filed on November 22, 2016 (file </w:t>
              </w:r>
            </w:hyperlink>
            <w:hyperlink r:id="rId85">
              <w:r>
                <w:rPr>
                  <w:rStyle w:val="InternetLink"/>
                  <w:rFonts w:ascii="Times New Roman;sans-serif" w:hAnsi="Times New Roman;sans-serif"/>
                  <w:b w:val="false"/>
                  <w:color w:val="000080"/>
                  <w:sz w:val="20"/>
                  <w:u w:val="single"/>
                </w:rPr>
                <w:t>n</w:t>
              </w:r>
            </w:hyperlink>
            <w:hyperlink r:id="rId86">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80"/>
                  <w:sz w:val="20"/>
                  <w:u w:val="single"/>
                </w:rPr>
                <w:t xml:space="preserve">Form of Restricted Stock Unit Agreement under 2016 Incentive Plan (non-employee director) (incorporated herein by reference to Exhibit 10.1 to the quarterly report on Form 10-Q of Casella as filed on November 2, 2017 (file </w:t>
              </w:r>
            </w:hyperlink>
            <w:hyperlink r:id="rId88">
              <w:r>
                <w:rPr>
                  <w:rStyle w:val="InternetLink"/>
                  <w:rFonts w:ascii="Times New Roman;sans-serif" w:hAnsi="Times New Roman;sans-serif"/>
                  <w:b w:val="false"/>
                  <w:color w:val="000080"/>
                  <w:sz w:val="20"/>
                  <w:u w:val="single"/>
                </w:rPr>
                <w:t>n</w:t>
              </w:r>
            </w:hyperlink>
            <w:hyperlink r:id="rId89">
              <w:r>
                <w:rPr>
                  <w:rStyle w:val="InternetLink"/>
                  <w:rFonts w:ascii="Times New Roman;sans-serif" w:hAnsi="Times New Roman;sans-serif"/>
                  <w:b w:val="false"/>
                  <w:color w:val="000080"/>
                  <w:sz w:val="20"/>
                  <w:u w:val="single"/>
                </w:rPr>
                <w:t>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36"/>
        <w:gridCol w:w="207"/>
        <w:gridCol w:w="209"/>
        <w:gridCol w:w="109"/>
        <w:gridCol w:w="109"/>
        <w:gridCol w:w="109"/>
        <w:gridCol w:w="3196"/>
        <w:gridCol w:w="2813"/>
        <w:gridCol w:w="2842"/>
        <w:gridCol w:w="109"/>
        <w:gridCol w:w="109"/>
        <w:gridCol w:w="157"/>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"https://www.sec.gov/Archives/edgar/data/911177/000119312524102903/d554722ddef14a.htm" \l "rom554722_16"</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Casella Waste Systems, Inc. Amended and Restated 2016 Incentive Plan (incorporated herein by reference to Appendix A to the Proxy Statement of Casella as filed on April 19, 2024 (File no. 000-23211)).</w:t>
            </w:r>
            <w:r>
              <w:rPr>
                <w:rStyle w:val="InternetLink"/>
                <w:sz w:val="20"/>
                <w:u w:val="single"/>
                <w:b w:val="false"/>
                <w:rFonts w:ascii="Times New Roman;sans-serif" w:hAnsi="Times New Roman;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Form of Restricted Stock Unit Agreement under Amended and Restated 2016 Incentive Plan (employee with employment contract) adopted April 2024 (incorporated herein by reference to Exhibit 10.2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FF"/>
                  <w:sz w:val="20"/>
                  <w:u w:val="single"/>
                </w:rPr>
                <w:t>Form of Restricted Stock Unit Agreement under Amended and Restated 2016 Incentive Plan (employee with no employment contract) adopted April 2024 (incorporated herein by reference to Exhibit 10.3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FF"/>
                  <w:sz w:val="20"/>
                  <w:u w:val="single"/>
                </w:rPr>
                <w:t>Form of Performance-Based Stock Unit Agreement under Amended and Restated 2016 Incentive Plan (employee with employment contract) adopted April 2024 (incorporated herein by reference to Exhibit 10.4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FF"/>
                  <w:sz w:val="20"/>
                  <w:u w:val="single"/>
                </w:rPr>
                <w:t>Form of Performance-Based Stock Unit Agreement under Amended and Restated 2016 Incentive Plan (employee with no employment contract) adopted April 2024 (incorporated herein by reference to Exhibit 10.5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ans-serif" w:hAnsi="Times New Roman;sans-serif"/>
                  <w:b w:val="false"/>
                  <w:color w:val="0000FF"/>
                  <w:sz w:val="20"/>
                  <w:u w:val="single"/>
                </w:rPr>
                <w:t>Form of Restricted Stock Agreement under Amended and Restated 2016 Incentive Plan adopted April 2024 (incorporated herein by reference to Exhibit 10.6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ans-serif" w:hAnsi="Times New Roman;sans-serif"/>
                  <w:b w:val="false"/>
                  <w:color w:val="0000FF"/>
                  <w:sz w:val="20"/>
                  <w:u w:val="single"/>
                </w:rPr>
                <w:t>Form of Incentive Stock Option Agreement under Amended and Restated 2016 Incentive Plan (employee with employment contract) adopted April 2024 (incorporated herein by reference to Exhibit 10.7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000FF"/>
                  <w:sz w:val="20"/>
                  <w:u w:val="single"/>
                </w:rPr>
                <w:t>Form of Nonstatutory Stock Option Agreement under Amended and Restated 2016 Incentive Plan (employee with employment contract) adopted April 2024 (incorporated herein by reference to Exhibit 10.8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ans-serif" w:hAnsi="Times New Roman;sans-serif"/>
                  <w:b w:val="false"/>
                  <w:color w:val="0000FF"/>
                  <w:sz w:val="20"/>
                  <w:u w:val="single"/>
                </w:rPr>
                <w:t>Form of Incentive Stock Option Agreement under Amended and Restated 2016 Incentive Plan (employee with no employment contract) adopted April 2024 (incorporated herein by reference to Exhibit 10.9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ans-serif" w:hAnsi="Times New Roman;sans-serif"/>
                  <w:b w:val="false"/>
                  <w:color w:val="0000FF"/>
                  <w:sz w:val="20"/>
                  <w:u w:val="single"/>
                </w:rPr>
                <w:t>Form of Nonstatutory Stock Option Agreement under Amended and Restated 2016 Incentive Plan (employee with no employment contract) adopted April 2024 (incorporated herein by reference to Exhibit 10.10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ans-serif" w:hAnsi="Times New Roman;sans-serif"/>
                  <w:b w:val="false"/>
                  <w:color w:val="0000FF"/>
                  <w:sz w:val="20"/>
                  <w:u w:val="single"/>
                </w:rPr>
                <w:t>Form of Restricted Stock Unit Agreement under Amended and Restated 2016 Incentive Plan (non-employee director) adopted April 2024 (incorporated herein by reference to Exhibit 10.11 to the quarterly report on Form 10-Q of Casella as filed on August 2,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ans-serif" w:hAnsi="Times New Roman;sans-serif"/>
                  <w:b w:val="false"/>
                  <w:color w:val="0000FF"/>
                  <w:sz w:val="20"/>
                  <w:u w:val="single"/>
                </w:rPr>
                <w:t>Second Amended and Restated Credit Agreement, dated as of September 27, 2024, among Casella Waste Systems, Inc., the subsidiaries of Casella Waste Systems, Inc. identified therein, Bank of America, N.A., as administrative agent, BofA Securities, Inc. and TD Securities (USA) LLC, as Sustainability Coordinators, the other letter of credit issuers and arrangers party thereto (incorporated herein by reference to Exhibit 10.1 to the current report on Form 8-K of Casella as filed on September 30, 2024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ans-serif" w:hAnsi="Times New Roman;sans-serif"/>
                  <w:b w:val="false"/>
                  <w:color w:val="0000FF"/>
                  <w:sz w:val="20"/>
                  <w:u w:val="single"/>
                </w:rPr>
                <w:t>Master Lease Agreement dated as of July 20, 2020 by and between Bank of America Leasing &amp; Capital, LLC and Casella Waste Systems, Inc. (incorporated herein by reference to Exhibit 10.1 to the Current Report on Form 8-K of Casella as filed on July 22, 2020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ans-serif" w:hAnsi="Times New Roman;sans-serif"/>
                  <w:b w:val="false"/>
                  <w:color w:val="0000FF"/>
                  <w:sz w:val="20"/>
                  <w:u w:val="single"/>
                </w:rPr>
                <w:t>Addendum to Master Lease Agreement No. 36629-90000 dated as of July 20, 2020 by and among Bank of America Leasing &amp; Capital, LLC, Casella Waste Systems, Inc. and certain of its subsidiaries (incorporated herein by reference to Exhibit 10.2 to the Current Report on Form 8-K of Casella as filed on July 22, 2020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ans-serif" w:hAnsi="Times New Roman;sans-serif"/>
                  <w:b w:val="false"/>
                  <w:color w:val="0000FF"/>
                  <w:sz w:val="20"/>
                  <w:u w:val="single"/>
                </w:rPr>
                <w:t>Purchase and Sale Agreement dated as of January 23, 2011 among Casella, KTI, CE Holdings II, LLC and CE Holding Company, LLC (incorporated herein by reference to Exhibit 2.1 to the quarterly report on Form 10-Q of Casella as filed on March 3, 2011 (file no. 000-23211)).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48"/>
        <w:gridCol w:w="217"/>
        <w:gridCol w:w="219"/>
        <w:gridCol w:w="109"/>
        <w:gridCol w:w="109"/>
        <w:gridCol w:w="109"/>
        <w:gridCol w:w="2979"/>
        <w:gridCol w:w="2905"/>
        <w:gridCol w:w="2934"/>
        <w:gridCol w:w="109"/>
        <w:gridCol w:w="109"/>
        <w:gridCol w:w="158"/>
      </w:tblGrid>
      <w:tr>
        <w:trPr/>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ans-serif" w:hAnsi="Times New Roman;sans-serif"/>
                  <w:b w:val="false"/>
                  <w:color w:val="0000FF"/>
                  <w:sz w:val="20"/>
                  <w:u w:val="single"/>
                </w:rPr>
                <w:t>Employment Agreement between Casella Waste Systems, Inc. and Paul J. Ligon, dated as of March 6, 2012 (incorporated herein by reference to Exhibit 10.1 to the quarterly report on Form 10-Q of Casella as filed on April 28, 2023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ans-serif" w:hAnsi="Times New Roman;sans-serif"/>
                  <w:b w:val="false"/>
                  <w:color w:val="0000FF"/>
                  <w:sz w:val="20"/>
                  <w:u w:val="single"/>
                </w:rPr>
                <w:t>Specified Acquisition Loan Joinder, dated as of May 25, 2023, by and among Casella Waste Systems, Inc., its subsidiaries party thereto, BofA Securities, Inc., Bank of America, N.A., JPMorgan Chase Bank, N.A., The Huntington National Bank, Citizens Bank, N.A., Comerica Bank, TD Bank, N.A., Capital One, National Association, CoBank, ACB, U.S. Bank National Association, and M&amp;T Bank (incorporated herein by reference to Exhibit 10.2 to the current report on Form 8-K of Casella as filed on July 3, 2023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ans-serif" w:hAnsi="Times New Roman;sans-serif"/>
                  <w:b w:val="false"/>
                  <w:color w:val="0000FF"/>
                  <w:sz w:val="20"/>
                  <w:u w:val="single"/>
                </w:rPr>
                <w:t>Employment Agreement between Casella Waste Systems, Inc. and Bradford J. Helgeson dated as of October 31, 2023 (incorporated herein by reference to Exhibit 10.2 to the quarterly report on Form 10-Q of Casella as filed on November 2, 2023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ans-serif" w:hAnsi="Times New Roman;sans-serif"/>
                  <w:b w:val="false"/>
                  <w:color w:val="0000FF"/>
                  <w:sz w:val="20"/>
                  <w:u w:val="single"/>
                </w:rPr>
                <w:t>Offer Letter between Casella Waste Systems, Inc. and Bradford J. Helgeson dated as of October 31, 2023 (incorporated herein by reference to Exhibit 10.3 to the quarterly report on Form 10-Q of Casella as filed on November 2, 2023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91123124.htm">
              <w:r>
                <w:rPr>
                  <w:rStyle w:val="InternetLink"/>
                  <w:rFonts w:ascii="Times New Roman;sans-serif" w:hAnsi="Times New Roman;sans-serif"/>
                  <w:b w:val="false"/>
                  <w:color w:val="000080"/>
                  <w:sz w:val="20"/>
                  <w:u w:val="single"/>
                </w:rPr>
                <w:t>C</w:t>
              </w:r>
            </w:hyperlink>
            <w:hyperlink w:anchor="cwst-ex191123124.htm">
              <w:r>
                <w:rPr>
                  <w:rStyle w:val="InternetLink"/>
                  <w:rFonts w:ascii="Times New Roman;sans-serif" w:hAnsi="Times New Roman;sans-serif"/>
                  <w:b w:val="false"/>
                  <w:color w:val="000080"/>
                  <w:sz w:val="20"/>
                  <w:u w:val="single"/>
                </w:rPr>
                <w:t>asella Waste Systems</w:t>
              </w:r>
            </w:hyperlink>
            <w:hyperlink w:anchor="cwst-ex191123124.htm">
              <w:r>
                <w:rPr>
                  <w:rStyle w:val="InternetLink"/>
                  <w:rFonts w:ascii="Times New Roman;sans-serif" w:hAnsi="Times New Roman;sans-serif"/>
                  <w:b w:val="false"/>
                  <w:color w:val="000080"/>
                  <w:sz w:val="20"/>
                  <w:u w:val="single"/>
                </w:rPr>
                <w:t xml:space="preserve">, Inc. Amended and Restated Insider </w:t>
              </w:r>
            </w:hyperlink>
            <w:hyperlink w:anchor="cwst-ex191123124.htm">
              <w:r>
                <w:rPr>
                  <w:rStyle w:val="InternetLink"/>
                  <w:rFonts w:ascii="Times New Roman;sans-serif" w:hAnsi="Times New Roman;sans-serif"/>
                  <w:b w:val="false"/>
                  <w:color w:val="000080"/>
                  <w:sz w:val="20"/>
                  <w:u w:val="single"/>
                </w:rPr>
                <w:t>Trading Policy</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211123124k.htm">
              <w:r>
                <w:rPr>
                  <w:rStyle w:val="InternetLink"/>
                  <w:rFonts w:ascii="Times New Roman;sans-serif" w:hAnsi="Times New Roman;sans-serif"/>
                  <w:b w:val="false"/>
                  <w:color w:val="0000FF"/>
                  <w:sz w:val="20"/>
                  <w:u w:val="single"/>
                </w:rPr>
                <w:t>Subsidiaries of Casella Waste Systems, Inc.</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231123124k.htm">
              <w:r>
                <w:rPr>
                  <w:rStyle w:val="InternetLink"/>
                  <w:rFonts w:ascii="Times New Roman;sans-serif" w:hAnsi="Times New Roman;sans-serif"/>
                  <w:b w:val="false"/>
                  <w:color w:val="0000FF"/>
                  <w:sz w:val="20"/>
                  <w:u w:val="single"/>
                </w:rPr>
                <w:t>Consent of RSM US LLP</w:t>
              </w:r>
            </w:hyperlink>
            <w:r>
              <w:rPr>
                <w:rFonts w:ascii="Times New Roman;sans-serif" w:hAnsi="Times New Roman;sans-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1123124k.htm">
              <w:r>
                <w:rPr>
                  <w:rStyle w:val="InternetLink"/>
                  <w:rFonts w:ascii="Times New Roman;sans-serif" w:hAnsi="Times New Roman;sans-serif"/>
                  <w:b w:val="false"/>
                  <w:color w:val="0000FF"/>
                  <w:sz w:val="20"/>
                  <w:u w:val="single"/>
                </w:rPr>
                <w:t>Certification of Principal Executive Officer required by Rule 13a-14(a) or Rule 15d-14(a) of the Securities Exchange Act of 1934, as amended.</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2123124k.htm">
              <w:r>
                <w:rPr>
                  <w:rStyle w:val="InternetLink"/>
                  <w:rFonts w:ascii="Times New Roman;sans-serif" w:hAnsi="Times New Roman;sans-serif"/>
                  <w:b w:val="false"/>
                  <w:color w:val="0000FF"/>
                  <w:sz w:val="20"/>
                  <w:u w:val="single"/>
                </w:rPr>
                <w:t>Certification of Principal Financial Officer required by Rule 13a-14(a) or Rule 15d-14(a) of the Securities Exchange Act of 1934, as amended.</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1123124k.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 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ans-serif" w:hAnsi="Times New Roman;sans-serif"/>
                  <w:b w:val="false"/>
                  <w:color w:val="000080"/>
                  <w:sz w:val="20"/>
                  <w:u w:val="single"/>
                </w:rPr>
                <w:t>Amended and Restated Compensation Clawback Policy</w:t>
              </w:r>
            </w:hyperlink>
            <w:hyperlink r:id="rId109">
              <w:r>
                <w:rPr>
                  <w:rStyle w:val="InternetLink"/>
                  <w:rFonts w:ascii="Times New Roman;sans-serif" w:hAnsi="Times New Roman;sans-serif"/>
                  <w:b w:val="false"/>
                  <w:color w:val="000080"/>
                  <w:sz w:val="20"/>
                  <w:u w:val="single"/>
                </w:rPr>
                <w:t xml:space="preserve"> (</w:t>
              </w:r>
            </w:hyperlink>
            <w:hyperlink r:id="rId110">
              <w:r>
                <w:rPr>
                  <w:rStyle w:val="InternetLink"/>
                  <w:rFonts w:ascii="Times New Roman;sans-serif" w:hAnsi="Times New Roman;sans-serif"/>
                  <w:b w:val="false"/>
                  <w:color w:val="000080"/>
                  <w:sz w:val="20"/>
                  <w:u w:val="single"/>
                </w:rPr>
                <w:t>incorporated herein by reference to Exhibit 97 to the annual report on Form 10-K of Casella as filed on February 16, 2024 (file no. 000-23211)).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This is a management contract or compensatory plan or arrangement.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Submitted Electronically Herewith. Attached as Exhibit 101 to this report are the following formatted in inline XBRL (Extensible Business Reporting Language): (i) Consolidated Balance Sheets as of December 31, 2024 and December 31, 2023, (ii) Consolidated Statements of Operations for fiscal years 2024, 2023 and 2022, (iii) Consolidated Statements of Comprehensive Income for fiscal years 2024, 2023 and 2022, (iv) Consolidated Statement of Stockholders’ Equity for fiscal years 2024, 2023 and 2022, (v) Consolidated Statements of Cash Flows for fiscal years 2024, 2023 and 2022, and (vi) Notes to Consolidated Financial Statements.</w:t>
      </w:r>
    </w:p>
    <w:p>
      <w:pPr>
        <w:pStyle w:val="TextBody"/>
        <w:bidi w:val="0"/>
        <w:spacing w:before="12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fc865e41821b49f48d5488c091e793d0_7">
        <w:r>
          <w:rPr>
            <w:rStyle w:val="InternetLink"/>
            <w:rFonts w:ascii="Times New Roman;sans-serif" w:hAnsi="Times New Roman;sans-serif"/>
            <w:b/>
            <w:color w:val="0000FF"/>
            <w:sz w:val="16"/>
            <w:u w:val="single"/>
          </w:rPr>
          <w:t>Table of Contents</w:t>
        </w:r>
      </w:hyperlink>
    </w:p>
    <w:p>
      <w:pPr>
        <w:pStyle w:val="TextBody"/>
        <w:bidi w:val="0"/>
        <w:spacing w:before="24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Section 13 or 15(d) of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014" w:type="dxa"/>
        <w:jc w:val="left"/>
        <w:tblInd w:w="0" w:type="dxa"/>
        <w:tblLayout w:type="fixed"/>
        <w:tblCellMar>
          <w:top w:w="28" w:type="dxa"/>
          <w:left w:w="28" w:type="dxa"/>
          <w:bottom w:w="28" w:type="dxa"/>
          <w:right w:w="28" w:type="dxa"/>
        </w:tblCellMar>
      </w:tblPr>
      <w:tblGrid>
        <w:gridCol w:w="792"/>
        <w:gridCol w:w="696"/>
        <w:gridCol w:w="702"/>
        <w:gridCol w:w="1116"/>
        <w:gridCol w:w="1116"/>
        <w:gridCol w:w="159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Casella Waste Systems,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18, 2025</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 and Chief</w:t>
              <w:br/>
              <w:t>Executive Officer</w:t>
              <w:br/>
              <w:t>(Principal Executive Officer)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 indicated.</w:t>
      </w:r>
    </w:p>
    <w:p>
      <w:pPr>
        <w:pStyle w:val="TextBody"/>
        <w:bidi w:val="0"/>
        <w:spacing w:lineRule="auto" w:line="288" w:before="0" w:after="0"/>
        <w:jc w:val="left"/>
        <w:rPr>
          <w:color w:val="000000"/>
        </w:rPr>
      </w:pPr>
      <w:r>
        <w:rPr>
          <w:color w:val="000000"/>
        </w:rPr>
        <w:t> </w:t>
      </w:r>
    </w:p>
    <w:tbl>
      <w:tblPr>
        <w:tblW w:w="9728" w:type="dxa"/>
        <w:jc w:val="left"/>
        <w:tblInd w:w="0" w:type="dxa"/>
        <w:tblLayout w:type="fixed"/>
        <w:tblCellMar>
          <w:top w:w="28" w:type="dxa"/>
          <w:left w:w="28" w:type="dxa"/>
          <w:bottom w:w="28" w:type="dxa"/>
          <w:right w:w="28" w:type="dxa"/>
        </w:tblCellMar>
      </w:tblPr>
      <w:tblGrid>
        <w:gridCol w:w="791"/>
        <w:gridCol w:w="697"/>
        <w:gridCol w:w="702"/>
        <w:gridCol w:w="109"/>
        <w:gridCol w:w="109"/>
        <w:gridCol w:w="109"/>
        <w:gridCol w:w="1745"/>
        <w:gridCol w:w="1745"/>
        <w:gridCol w:w="1759"/>
        <w:gridCol w:w="109"/>
        <w:gridCol w:w="109"/>
        <w:gridCol w:w="109"/>
        <w:gridCol w:w="477"/>
        <w:gridCol w:w="477"/>
        <w:gridCol w:w="681"/>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W.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J. Drohan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J. Drohan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R.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R.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G. Doody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G. Doody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Rose Stuckey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Rose Stuckey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Gary Sova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Gary Sova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P. Hulligan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P. Hulligan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K.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K.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L. Battles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L. Battles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Emily Nagle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Emily Nagle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COMMERCIAL LEASE</w:t>
      </w:r>
    </w:p>
    <w:p>
      <w:pPr>
        <w:pStyle w:val="TextBody"/>
        <w:bidi w:val="0"/>
        <w:spacing w:lineRule="auto" w:line="288" w:before="60" w:after="283"/>
        <w:jc w:val="left"/>
        <w:rPr/>
      </w:pPr>
      <w:r>
        <w:rPr>
          <w:rFonts w:ascii="Times New Roman;sans-serif" w:hAnsi="Times New Roman;sans-serif"/>
          <w:b w:val="false"/>
          <w:color w:val="000000"/>
          <w:sz w:val="22"/>
        </w:rPr>
        <w:t>This Commercial Lease ("Lease" or "Agreement") is entered into this 14</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February, 2024 (the “Effective Date”), by and between Casella Waste Systems, Inc., ("Tenant"), with an address of 25 Greens Hill Lane, Rutland, VT 05701, and Casella Associates, LLC ("Landlord"), with a place of business at 25 Greens Hill Lane, Rutland, VT 05701.</w:t>
      </w:r>
    </w:p>
    <w:p>
      <w:pPr>
        <w:pStyle w:val="TextBody"/>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LEASED PREMISES</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1.1The " “Premises” shall consist of 1.03 acres of land and an office building situated at 25 Greens Hill Lane, Rutland, VT 05701.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TERM</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2.1 The term of this Lease shall be for the period of fifteen (15) years commencing on March 1, 2024 (the "Commencement Date") and ending on February 28, 2039 (the “Initial Term”). The Lease may be renewed at the election of the Tenant for an additional five (5) year period (the “Renewal Term”) with written notice to Landlord of not less than six months prior to the end of the Initial Term (the Renewal Term and Initial Term are referred collectively as the “Term” throughout). An Exclusive First Right of Purchase for the Premises is attached as Exhibit A and incorporated herein.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RENT</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3.1 Base Rent. The Tenant shall pay to the Landlord the sum of Seventeen Thousand Thirty-Seven Dollars ($17,037.00) per month due and payable in advance on or before the fifth day of each month, and which shall increase by three percent (3.0%) each year, said increase to take effect on the anniversary date each year of the Term, and Renewal Term if applicable (the “Base Rental”). No security deposit shall be required.</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3.2    Additional Rent. Tenant shall pay all costs, expenses, taxes, and obligations of every kind and nature whatsoever relating to Tenant’s interest in the Premises and the appurtenances to and the use and occupancy thereof by Tenant or anyone claiming by, through or under Tenant hereunder which may arise or become due during or with respect to the Term (including all real estate taxes and insurance premiums, electricity, gas, water, sewer, telephone, refuse disposal, security, janitorial, waste disposal, and other charges for any similar utilities and services supplied to the Premises and actual out-of-pocket, costs payable by Landlord, Tenant or anyone claiming by, through or under Tenant as Tenant hereunder arising by virtue of Tenant’s use and occupancy of the Premises during the Term), provided that Landlord and Tenant shall pro-rate taxes and similar obligations that accrue for periods outside of, but are billed in, the Term. Any amount or payment obligation herein relating to the Premises that is not expressly declared in this Lease to be that of Landlord shall be deemed to be an obligation of Tenant to be performed by Tenant at Tenant’s expense. Tenant assumes the sole responsibility for the condition, use, operation, maintenance, repair, restoration and management of the Premises and Landlord shall have no responsibility in respect thereof except that Landlord shall be responsible for, and shall undertake at Landlord’s expense, all structural repairs or replacements; and, shall undertake all repairs to or replacement of mechanical, electrical, HVAC, plumbing or life safety systems in the building, in excess of Two Hundred Thousand Dollars ($200,000) in the aggregate. Notwithstanding the foregoing, the parties agree that Tenant may undertake emergency repairs without notice or delay, as necessary to maintain Tenant’s operations, and to the extent repairs are the responsibility of the Landlord, Landlord shall reimburse Tenant accordingly, within thirty (30) days of presentment of an invoice for the same.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Should Landlord fail to reimburse Tenant as provided herein, Tenant may deduct unpaid sums from the next ensuing Base Rental installment(s).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USE OF LEASED PREMISES</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4.1    The Tenant shall use the Premises for any purpose associated with use as an office building for purposes and uses that the Landlord shall deem consistent with the purposes and use of the Premises by the Tenant, in its sole judgment. (“Permitted Uses"). Landlord is aware of and has approved the use of the Premises for the Permitted Uses. and consents, as required by section 4.3, to Tenant Alterations as Tenant determines necessary in its sole discretion to accommodate Tenant’s commercial waste services and operations.</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4.2    Tenant agrees to use the Premises in accordance with applicable laws, including local, state and federal environmental laws, and to maintain the Premises in good condition, reasonable wear and tear excepted.</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4.3    Tenant shall not make or suffer or allow to be made any alterations, additions or improvements in or to the Premises (collectively, “Tenant Alterations”) except as Landlord has consented to by virtue of section 4.1 hereof, without first obtaining Landlord’s written consent, which shall not be unreasonably withheld, conditioned, or delayed, based on plans and specifications submitted by Tenant; provided Landlord’s consent to Tenant Alterations in addition to those that Landlord has already consented to by virtue of section 4.1 herein will not be required if (a) the proposed Tenant Alterations will not affect the structure or the mechanical, electrical, HVAC, plumbing or life safety; and (b) the total cost to acquire and install the proposed Tenant Alterations will be no more than (i) One Hundred Thousand Dollars ($100,000.00) in any one instance and (ii) Two Hundred Thousand Dollars ($200,000.00) in the aggregate during any calendar year. Tenant shall notify Landlord prior to commencing Tenant Alterations other than de minimis Tenant Alterations. Tenant agrees that all such work (regardless of whether Landlord’s consent is required) shall be done at Tenant’s sole cost and expense, and in a good and workmanlike manner, that the structural integrity of the Building shall not be impaired.</w:t>
      </w:r>
    </w:p>
    <w:p>
      <w:pPr>
        <w:pStyle w:val="TextBody"/>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CONDITION OF PREMISES</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5.2    At the end of the Term, except for damage caused by fire or other perils, Tenant, at its expense, shall (a) surrender the Premises in the same or similar condition as existed at the time the Premises were accepted and possession taken by Tenant, taking into account items of repair pursuant to Section 5.1, Tenant Alterations consistent with this Lease, and reasonable wear resulting from uses permitted hereunder, (b) have removed all of Tenant's property from the Premises; (c) have repaired any damage to the Premises caused by the removal of Tenant's Property; and (d) leave the Premises free of trash and debris and the Building in "broom clean" condition.</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5.3    All fixtures, machinery, equipment, improvements and appurtenances attached to, or built into, the Premises (collectively, “Fixtures”) at the commencement of or during the Term, whether or not placed there by or at the expense of Tenant, shall become and remain a part of the Premises; shall be deemed the property of Landlord (the “Landlord’s Property”), and shall not be removed by Tenant at the end of the Term unless Landlord requests their removal. All movable non-structural partitions, business and trade fixtures, machinery and equipment, communications equipment and office equipment that are installed in the Premises by, or for the account of, Tenant and without expense to Landlord and that can be removed without structural damage, and all furniture, furnishings and other articles of movable personal property owned by Tenant and located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Premises (collectively, the “Tenant’s Property”) shall be and shall remain the property of Tenant. Upon the end of the Term or any earlier termination of this Lease, Tenant, at its expense, shall remove from the Premises all of Tenant’s Property, any Tenant Alterations (except such items thereof as constitute Landlord’s Property unless Landlord otherwise directs) and any Fixtures designated by Landlord as requiring removal and Tenant shall repair any damage to the Premises resulting from any installation and/or removal thereof. If any items of Tenant’s Property remain at the Premises following the expiration or termination of this Lease, such items shall automatically be deemed abandoned and Landlord may take any action whatsoever as Landlord may desire with respect to such remaining items of Tenant’s Property.</w:t>
      </w:r>
    </w:p>
    <w:p>
      <w:pPr>
        <w:pStyle w:val="TextBody"/>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INSURANCE</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6.1    Tenant's Insurance. Tenant shall be responsible, at its expense, for maintaining adequate insurance insuring the Premises for fire or other casualty, and in an amount not less than One Million Four Hundred Seventy Five Thousand Dollars ($1,475,000); general liability insurance with limits of liability of One Million Dollars ($1,000,000) per occurrence and One Million Dollars ($1,000,000) in the general, for maintaining an umbrella insurance policy with limits of One Million Dollars ($1,000,000). Landlord shall be added to the certificate of insurance as an additional insured and Tenant shall provide a copy of the certificate of insurance to Landlord. In the event of fire or casualty, the parties agree that Landlord shall be entitled to insurance proceeds for the building, except that Tenant shall be entitled to insurance proceeds allocated to Tenant Alterations fixtures, machinery, and other contents.</w:t>
      </w:r>
    </w:p>
    <w:p>
      <w:pPr>
        <w:pStyle w:val="TextBody"/>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DAMAGE OR DESTRUCTION; EMINENT DOMAIN</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7.1    In the event the Premises shall be destroyed or damaged as a result of any fire or other casualty which is not the result of the intentional acts or neglect of Tenant and which precludes or </w:t>
      </w:r>
    </w:p>
    <w:p>
      <w:pPr>
        <w:pStyle w:val="TextBody"/>
        <w:bidi w:val="0"/>
        <w:spacing w:lineRule="auto" w:line="288" w:before="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adversely affects the Tenant’s occupancy of the Premises, then in every such cause, the Rent and Additional Rent herein set forth shall be abated or adjusted according to the extent to which the leased Premises have been rendered unfit for use and occupation by the Tenant and until the demised Premises have been put in as nearly as possible to the condition of the Premises existing immediately prior to such damage. It is understood, however, in the event of total or substantial destruction to the Premises, within one hundred twenty (120) days of the event causing said total or substantial destruction, Tenant may elect to terminate this Lease Agreement with written notice to Landlord. Otherwise, Landlord shall proceed with restoration of the Premises in an expeditious manner so as to facilitate Tenant’s resumption of use and occupation in accordance herewith.</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7.2    If the whole, or any substantial portion, of the Premises is taken or condemned for any public use under any law or by right of eminent domain, or by private purchase in lieu thereof, and such taking would prevent or materially interfere with the Permitted Uses of the Premises, this Lease shall terminate effective when the physical taking of said Premises occurs. If less than a substantial portion of the Premises is so taken or condemned, this Lease shall not terminate, but the Rent and Additional Rent payable hereunder shall be proportionally abated to the extent of any actual loss of use of the Premises by Tenant. Landlord shall be entitled to any and all payment, income, rent or award, or any interest therein whatsoever, which may be paid or made in connection with such a taking or conveyance.</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ind w:left="0" w:right="0" w:hanging="72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MISCELLANEOUS</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    Mutual Indemnification. Each of the parties (each, an "Indemnifying Party") shall indemnify and hold harmless the other party and any director, officer, affiliate, partner, member or elected or appointed official of the other party (each, an "Indemnified Party") from and against any and all claims, actions, suits, judgments, proceedings, liabilities, obligations, losses, and damages, amounts paid in settlement, interest, costs and expenses (including reasonable attorney's fees), penalties (civil, criminal or administrative), court costs and other out-of-pocket expenses incurred in investigating, preparing or defending the foregoing) relating to or arising from personal injury, bodily harm or death, property damage or damage to the environment ("Losses") incurred or suffered by any Indemnified Party to the extent that such Losses arise by reason of, or result from (i) the material breach or inaccuracy of any representation or warranty of the Indemnifying Party contained in this Agreement; (ii) the material breach by the Indemnifying Party of any of its covenants or agreements contained in this Agreement, or (iii) the gross negligence or willful misconduct of the Indemnifying Party or any of its agents, employees or subcontractors; to the extent not waived by the other party, in each case.</w:t>
      </w:r>
    </w:p>
    <w:p>
      <w:pPr>
        <w:pStyle w:val="TextBody"/>
        <w:bidi w:val="0"/>
        <w:spacing w:lineRule="auto" w:line="288" w:before="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indemnification obligations of Indemnifying Party under this Section shall inure to the benefit of the directors, officers, affiliates, employees and elected or appointed officials of Indemnified Party and shall survive expiration or earlier termination of this Agreement.</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8.2    Assignment/Subletting. Tenant shall be permitted to assign its interests in this Lease to a corporate parent or affiliate of equal or greater net worth with notice to the Landlord, and should that occur, Tenant shall be relieved of further obligation hereunder. Tenant shall be permitted to sublet any portion of the Premises with consent of the Landlord, which shall not be unreasonably withheld, provided that the terms of the sublease shall prohibit further sublease by the subtenant, and that the term of the sublease shall not be inconsistent with nor extend beyond the Term of this Lease Agreement. </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8.3    Limitation of Liability. Neither party shall be liable to the other for special, incidental, exemplary, punitive or consequential damages including without limitation loss of use, loss of profits or revenues, or cost of substitute or re-performed services, suffered, asserted or alleged by either party or any third party arising from or relating to this Agreement, regardless of whether those damages are claimed under contract, warranty, indemnity, tort or any other theory at law or in equity.</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8.4    Disclaimer of Joint Venture, Partnership, and Agency. This Agreement shall not be interpreted or construed to create an association, joint venture, or partnership between the parties or to impose any partnership obligation or liability upon either party. Neither party shall have any right, power or authority to enter into any agreement or undertaking for, or act on behalf of, or to act as or be an agent of representative of, or to otherwise bind, the other party.</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8.5    Governing Law. This Agreement and any issues arising hereunder or relating hereto shall be governed by and construed in accordance with the laws of the State of Vermont except for conflicts of laws provisions that would apply the substantive law of another state.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8.6    Representations and Warranties: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Each party represents and warrants to the other that:</w:t>
      </w:r>
    </w:p>
    <w:p>
      <w:pPr>
        <w:pStyle w:val="TextBody"/>
        <w:bidi w:val="0"/>
        <w:spacing w:before="0" w:after="0"/>
        <w:jc w:val="left"/>
        <w:rPr/>
      </w:pPr>
      <w:r>
        <w:rPr/>
      </w:r>
    </w:p>
    <w:p>
      <w:pPr>
        <w:pStyle w:val="TextBody"/>
        <w:bidi w:val="0"/>
        <w:spacing w:lineRule="auto" w:line="28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(a)it is duly qualified to do business and is in good standing in every jurisdiction in which this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Agreement requires its performance;</w:t>
      </w:r>
    </w:p>
    <w:p>
      <w:pPr>
        <w:pStyle w:val="TextBody"/>
        <w:bidi w:val="0"/>
        <w:spacing w:before="0" w:after="0"/>
        <w:jc w:val="left"/>
        <w:rPr/>
      </w:pPr>
      <w:r>
        <w:rPr/>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(b)it has full power and authority to execute, deliver and perform its obligations under this Agreement;</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(c)the execution, delivery and performance of this Agreement have been duly and validly authorized by all necessary action by such party; and</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(d)the execution and delivery of this Agreement by such party and the performance of the terms, covenants and conditions contained herein will not violate the articles of incorporation or by-laws of such party, or any order of a court or arbitrator, and will not conflict with and will not constitute a material breach of, or default under, the provisions of any material contract by which either party is bound.</w: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(ii)    Landlord represents and warrants to Tenant that:</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(a)Landlord represents and warrants to Tenant that as of the date hereof, Landlord owns and holds fee title in and to the Premises and there exist no restrictions applicable to the Premises that are inconsistent with this lease, or materially and adversely affect Tenant's rights and remedies hereunder (or under applicable law).</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(b)Tenant shall have quiet enjoyment of the Premises for the Term.</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(c)Landlord agrees to hold Tenant harmless and indemnify Tenant for any loss, costs or expenses incurred by Tenant as a result of the failure of such representations and warranty to be true.</w: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(iii)    These warranties shall survive the Term.</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8.7    Force Majeure. In no event shall either party be responsible or liable for any failure or delay in the performance of its obligations hereunder arising out of or caused by, directly or indirectly, forces beyond its control, including, without limitation, accidents, acts of war or terrorism, civil or military disturbances, nuclear or natural catastrophes or acts of God, and interruptions, loss or malfunctions of utilities, communications or computer (software and hardware) services; it being understood that the effected party shall use reasonable efforts which are consistent with accepted practices to resume performance as soon as practicable under the circumstances.</w: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8.8    Termination. This Agreement may be terminated:</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(a)at any time by both parties upon mutual written agreement; or</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(b)immediately upon notice by either party in the event that any of the representations and warranties contained in this Agreement are shown to be untrue; or</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(c)by either party in the event of a failure by the other party to perform a material obligation as follows (a "Default"): if the Default has not been cured by the defaulting party within thirty (30) days from receipt of notice from the non-defaulting party, the non-defaulting party may (i) terminate this Agreement immediately upon notice, or (ii) agree in writing that the defaulting party is diligently pursuing a cure, and extend the cure period at its sole discretion, subject to immediate termination upon notice.</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both"/>
        <w:rPr/>
      </w:pPr>
      <w:r>
        <w:rPr/>
      </w:r>
    </w:p>
    <w:p>
      <w:pPr>
        <w:pStyle w:val="TextBody"/>
        <w:bidi w:val="0"/>
        <w:spacing w:lineRule="auto" w:line="288" w:before="100" w:after="283"/>
        <w:ind w:left="0" w:right="0" w:hanging="360"/>
        <w:jc w:val="both"/>
        <w:rPr/>
      </w:pPr>
      <w:r>
        <w:rPr>
          <w:rFonts w:ascii="Times New Roman;sans-serif" w:hAnsi="Times New Roman;sans-serif"/>
          <w:b w:val="false"/>
          <w:color w:val="000000"/>
          <w:sz w:val="22"/>
        </w:rPr>
        <w:t>(d)By Tenant prior to the expiration of either the 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or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anniversary dates of the Agreement with no less than six (6) months’ advance written notice to Landlord, without penalty to Tenant.</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8.9    Entire Agreement. It is understood and agreed that all understandings and agreements heretofore had between and parties thereto are merged in this Agreement, which alone fully and completely expresses their agreement and contains all of the terms agreed upon between the parties with respect to the subject matter of this Agreement, and that this Agreement is entered into after full investigation, neither party relying upon any statement or representation, not embodied in this Agreement, made by the other. All exhibits, schedules and other attachments are a part of this Agreement and the contents thereof are incorporated herein by reference.</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8.10    Amendment. This Agreement may not be amended, modified or supplemented, except in writing and signed by the parties.</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8.11    Non-Waiver. No waiver by any party to this Agreement of any failure or refusal by the other party to comply with its obligations shall be deemed a waiver of any other or subsequent failure or refusal to so comply. No waiver by either Party of any right or remedy hereunder shall be valid unless the same shall be in writing and signed by the Party giving such waiver. No waiver by either Party with respect to any default, misrepresentation, or breach of warranty or covenant hereunder shall be deemed to extend to any prior or subsequent default, misrepresentation, or breach of warranty or covenant hereunder or affect in any way any rights arising by virtue of any prior or subsequent such occurrence.</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8.12    Severability; Modification Required By Law. If any term or provision of this Agreement shall be found by a court of competent jurisdiction to be invalid, illegal or otherwise unenforceable, the same shall not affect the other terms or provisions thereof or hereof or the whole of this Agreement, but such term or provision shall be deemed modified to the extent necessary in the court's opinion to render such term or provision enforceable, and the rights and obligations of the parties shall be construed and enforced accordingly, preserving to the fullest permissible extent the intent and agreement of the parties herein set forth.</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8.13    No Third Party Beneficiaries. Nothing in this Agreement, express or implied, is intended to confer upon any third party any rights, remedies, obligations, or liabilities under or by reason of this Agreement, except as expressly provided in this Agreement.</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8.14    No Brokers. The parties agree that they have entered into this Agreement without the benefit or assistance of any brokers, and each party agrees to indemnify, defend and hold the other harmless from any and all costs, expenses, losses or liabilities arising out of any claim by any person or entity that such person or entity acted as or was retained by the indemnifying party as a finder or broker with respect to the transaction described in this Agreement.</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8.15    Further Acts. Each party agrees to perform any further acts and to execute, acknowledge, and deliver any documents which may be reasonably necessary to carry out the provisions of this Agreement.</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8.16    Counterparts. This Agreement may be executed in one or more counterparts, each of which will be deemed an original, but which together will constitute one and the same instrument.</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8.17    Disputes. If a claim or dispute arises out of this Agreement or its performance, the parties agree to endeavor in good faith to resolve it equitably through negotiation, or if that fails, through non-</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binding mediation under the rules of the American Arbitration Association, before having recourse to the courts. However, prior to or during negotiation or mediation, either party may initiate litigation that would otherwise become barred by a statute of limitations.</w:t>
      </w:r>
    </w:p>
    <w:p>
      <w:pPr>
        <w:pStyle w:val="TextBody"/>
        <w:bidi w:val="0"/>
        <w:spacing w:lineRule="auto" w:line="288" w:before="6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8.18    Notices. All notices to be given under this Agreement shall be in writing and delivered personally, or shall be mailed by U.S. Express, registered or certified mail, return receipt requested or an overnight service with receipt as follows:</w:t>
      </w:r>
    </w:p>
    <w:p>
      <w:pPr>
        <w:pStyle w:val="TextBody"/>
        <w:bidi w:val="0"/>
        <w:spacing w:before="0" w:after="0"/>
        <w:jc w:val="left"/>
        <w:rPr/>
      </w:pPr>
      <w:r>
        <w:rPr/>
      </w:r>
    </w:p>
    <w:tbl>
      <w:tblPr>
        <w:tblW w:w="4430" w:type="dxa"/>
        <w:jc w:val="left"/>
        <w:tblInd w:w="0" w:type="dxa"/>
        <w:tblLayout w:type="fixed"/>
        <w:tblCellMar>
          <w:top w:w="28" w:type="dxa"/>
          <w:left w:w="28" w:type="dxa"/>
          <w:bottom w:w="28" w:type="dxa"/>
          <w:right w:w="28" w:type="dxa"/>
        </w:tblCellMar>
      </w:tblPr>
      <w:tblGrid>
        <w:gridCol w:w="374"/>
        <w:gridCol w:w="330"/>
        <w:gridCol w:w="331"/>
        <w:gridCol w:w="789"/>
        <w:gridCol w:w="789"/>
        <w:gridCol w:w="791"/>
        <w:gridCol w:w="109"/>
        <w:gridCol w:w="109"/>
        <w:gridCol w:w="109"/>
        <w:gridCol w:w="109"/>
        <w:gridCol w:w="109"/>
        <w:gridCol w:w="109"/>
        <w:gridCol w:w="109"/>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Landlord:</w:t>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Casella Associates,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Greens Hill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Rutland, VT 05701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Attn: John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66" w:type="dxa"/>
        <w:jc w:val="left"/>
        <w:tblInd w:w="0" w:type="dxa"/>
        <w:tblLayout w:type="fixed"/>
        <w:tblCellMar>
          <w:top w:w="28" w:type="dxa"/>
          <w:left w:w="28" w:type="dxa"/>
          <w:bottom w:w="28" w:type="dxa"/>
          <w:right w:w="28" w:type="dxa"/>
        </w:tblCellMar>
      </w:tblPr>
      <w:tblGrid>
        <w:gridCol w:w="298"/>
        <w:gridCol w:w="263"/>
        <w:gridCol w:w="264"/>
        <w:gridCol w:w="904"/>
        <w:gridCol w:w="904"/>
        <w:gridCol w:w="907"/>
        <w:gridCol w:w="109"/>
        <w:gridCol w:w="109"/>
        <w:gridCol w:w="109"/>
        <w:gridCol w:w="109"/>
        <w:gridCol w:w="109"/>
        <w:gridCol w:w="10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Tenant:</w:t>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Casella Waste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Greens Hill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Rutland, VT 05701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Attn: Edmond Coletta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046" w:type="dxa"/>
        <w:jc w:val="left"/>
        <w:tblInd w:w="0" w:type="dxa"/>
        <w:tblLayout w:type="fixed"/>
        <w:tblCellMar>
          <w:top w:w="28" w:type="dxa"/>
          <w:left w:w="28" w:type="dxa"/>
          <w:bottom w:w="28" w:type="dxa"/>
          <w:right w:w="28" w:type="dxa"/>
        </w:tblCellMar>
      </w:tblPr>
      <w:tblGrid>
        <w:gridCol w:w="336"/>
        <w:gridCol w:w="296"/>
        <w:gridCol w:w="298"/>
        <w:gridCol w:w="1029"/>
        <w:gridCol w:w="1029"/>
        <w:gridCol w:w="1032"/>
        <w:gridCol w:w="109"/>
        <w:gridCol w:w="109"/>
        <w:gridCol w:w="109"/>
        <w:gridCol w:w="109"/>
        <w:gridCol w:w="109"/>
        <w:gridCol w:w="109"/>
        <w:gridCol w:w="109"/>
        <w:gridCol w:w="109"/>
        <w:gridCol w:w="154"/>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Copy to:</w:t>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Casella Waste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Greens Hill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Rutland, VT 05701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Attn: Office of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executed this Lease as of the Effective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Tenant: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Shelley E. Sayward </w:t>
      </w:r>
      <w:r>
        <w:rPr>
          <w:color w:val="000000"/>
        </w:rPr>
        <w:t>            </w:t>
      </w:r>
      <w:r>
        <w:rPr>
          <w:rFonts w:ascii="Times New Roman;sans-serif" w:hAnsi="Times New Roman;sans-serif"/>
          <w:b w:val="false"/>
          <w:color w:val="000000"/>
          <w:sz w:val="22"/>
          <w:u w:val="single"/>
        </w:rPr>
        <w:t xml:space="preserve">/s/ Edmond R. Coletta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Landlord: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Shelley E. Sayward </w:t>
      </w:r>
      <w:r>
        <w:rPr>
          <w:color w:val="000000"/>
        </w:rPr>
        <w:t>            </w:t>
      </w:r>
      <w:r>
        <w:rPr>
          <w:rFonts w:ascii="Times New Roman;sans-serif" w:hAnsi="Times New Roman;sans-serif"/>
          <w:b w:val="false"/>
          <w:color w:val="000000"/>
          <w:sz w:val="22"/>
          <w:u w:val="single"/>
        </w:rPr>
        <w:t xml:space="preserve">/s/ John W. Casella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1" w:after="283"/>
        <w:jc w:val="center"/>
        <w:rPr>
          <w:rFonts w:ascii="Times New Roman;sans-serif" w:hAnsi="Times New Roman;sans-serif"/>
          <w:b/>
          <w:color w:val="2B2B2B"/>
          <w:sz w:val="22"/>
        </w:rPr>
      </w:pPr>
      <w:r>
        <w:rPr>
          <w:rFonts w:ascii="Times New Roman;sans-serif" w:hAnsi="Times New Roman;sans-serif"/>
          <w:b/>
          <w:color w:val="2B2B2B"/>
          <w:sz w:val="22"/>
        </w:rPr>
        <w:t>EXHIBIT A</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color w:val="2B2B2B"/>
          <w:sz w:val="22"/>
        </w:rPr>
      </w:pPr>
      <w:r>
        <w:rPr>
          <w:rFonts w:ascii="Times New Roman;sans-serif" w:hAnsi="Times New Roman;sans-serif"/>
          <w:b/>
          <w:color w:val="2B2B2B"/>
          <w:sz w:val="22"/>
        </w:rPr>
        <w:t>EXCLUSIVE FIRST RIGHT OF PURCHASE</w:t>
      </w:r>
    </w:p>
    <w:p>
      <w:pPr>
        <w:pStyle w:val="TextBody"/>
        <w:bidi w:val="0"/>
        <w:spacing w:before="1" w:after="283"/>
        <w:jc w:val="left"/>
        <w:rPr/>
      </w:pPr>
      <w:r>
        <w:rPr/>
      </w:r>
    </w:p>
    <w:p>
      <w:pPr>
        <w:pStyle w:val="TextBody"/>
        <w:bidi w:val="0"/>
        <w:spacing w:lineRule="auto" w:line="300" w:before="0" w:after="0"/>
        <w:ind w:left="0" w:right="0" w:firstLine="694"/>
        <w:jc w:val="both"/>
        <w:rPr>
          <w:rFonts w:ascii="Times New Roman;sans-serif" w:hAnsi="Times New Roman;sans-serif"/>
          <w:b w:val="false"/>
          <w:color w:val="2B2B2B"/>
          <w:sz w:val="22"/>
        </w:rPr>
      </w:pPr>
      <w:r>
        <w:rPr>
          <w:rFonts w:ascii="Times New Roman;sans-serif" w:hAnsi="Times New Roman;sans-serif"/>
          <w:b w:val="false"/>
          <w:color w:val="2B2B2B"/>
          <w:sz w:val="22"/>
        </w:rPr>
        <w:t>NOW COMES Casella Associates, LLC ("Landlord"), with a place of business at 25 Greens Hill Lane, Rutland, VT 05701 and Casella Waste Systems, Inc., ("Tenant"), with an address of 25 Greens Hill Lane, Rutland, VT 05701.</w:t>
      </w:r>
    </w:p>
    <w:p>
      <w:pPr>
        <w:pStyle w:val="TextBody"/>
        <w:bidi w:val="0"/>
        <w:spacing w:before="6" w:after="283"/>
        <w:jc w:val="left"/>
        <w:rPr/>
      </w:pPr>
      <w:r>
        <w:rPr/>
      </w:r>
    </w:p>
    <w:p>
      <w:pPr>
        <w:pStyle w:val="TextBody"/>
        <w:bidi w:val="0"/>
        <w:spacing w:lineRule="auto" w:line="297" w:before="1" w:after="283"/>
        <w:ind w:left="0" w:right="0" w:firstLine="695"/>
        <w:jc w:val="both"/>
        <w:rPr/>
      </w:pPr>
      <w:r>
        <w:rPr>
          <w:rFonts w:ascii="Times New Roman;sans-serif" w:hAnsi="Times New Roman;sans-serif"/>
          <w:b w:val="false"/>
          <w:color w:val="2B2B2B"/>
          <w:sz w:val="22"/>
        </w:rPr>
        <w:t>Landlord owns property located at 25 Greens Hill Lane, Rutland, VT (the "Premises"), and, in exchange for the lease arrangement between Landlord and Tenant, and other valuable consideration, Landlord hereby grants to Tenant through the Term of the Lease Agreement as may be extended, whichever is longer, an exclusive first right of purchase should Landlord determine to sell the Premises during the Term of the Lease Agreement. Therefore, the parties agree that should Landlord determine to sell the Premises, in accordance with the Notice provisions of the Lease Agreement,</w:t>
      </w:r>
      <w:r>
        <w:rPr>
          <w:color w:val="000000"/>
        </w:rPr>
        <w:t xml:space="preserve"> </w:t>
      </w:r>
      <w:r>
        <w:rPr>
          <w:rFonts w:ascii="Times New Roman;sans-serif" w:hAnsi="Times New Roman;sans-serif"/>
          <w:b w:val="false"/>
          <w:color w:val="2B2B2B"/>
          <w:sz w:val="22"/>
        </w:rPr>
        <w:t xml:space="preserve">Landlord shall give Tenant written notice of intention to sell, and Tenant shall have thirty (30) days thereafter to provide Landlord with written notice that Tenant will be exercising Tenant’s exclusive first right of purchase as provided herein. Should Tenant fail to provide Landlord with notice that Tenant will be exercising Tenant’s exclusive first right of purchase as provided herein otherwise, the same shall expire and have no further force and effect. If Tenant elects to exercise its first right of purchase, Landlord and Tenant shall engage a licensed appraiser as mutually agreed to appraise the fair market value of the Premises, the cost of which shall be shall split by the parties. The fair market value of the Premises, less Tenant’s book value of Tenant Alterations (including costs of capital), will establish the Tenant’s purchase price for the Premises. Tenant shall have sixty (60) days from the date of completion of the appraisal to elect in writing to purchase the Premises, and shall tender for Landlord’s signature and acceptance, a proposed Purchase and Sale Agreement that shall offer to purchase the Premises for a purchase price established in accordance herewith, and shall call for the Landlord to tender marketable title to the Premises free and clear from encumbrances and establishes a prospective closing date no later than ninety (90) days following execution of the purchase and sale agreement. </w:t>
      </w:r>
      <w:r>
        <w:rPr>
          <w:rFonts w:ascii="Times New Roman;sans-serif" w:hAnsi="Times New Roman;sans-serif"/>
          <w:b w:val="false"/>
          <w:color w:val="2B2B2B"/>
          <w:sz w:val="24"/>
        </w:rPr>
        <w:t xml:space="preserve">If </w:t>
      </w:r>
      <w:r>
        <w:rPr>
          <w:rFonts w:ascii="Times New Roman;sans-serif" w:hAnsi="Times New Roman;sans-serif"/>
          <w:b w:val="false"/>
          <w:color w:val="2B2B2B"/>
          <w:sz w:val="22"/>
        </w:rPr>
        <w:t xml:space="preserve">Tenant does not elect to purchase the Premises as provided herein, this exclusive right of first purchase shall expire and have no further effect. </w:t>
      </w:r>
    </w:p>
    <w:p>
      <w:pPr>
        <w:pStyle w:val="TextBody"/>
        <w:bidi w:val="0"/>
        <w:spacing w:before="1" w:after="283"/>
        <w:ind w:left="0" w:right="0" w:firstLine="695"/>
        <w:jc w:val="both"/>
        <w:rPr/>
      </w:pPr>
      <w:r>
        <w:rPr/>
      </w:r>
    </w:p>
    <w:p>
      <w:pPr>
        <w:pStyle w:val="TextBody"/>
        <w:bidi w:val="0"/>
        <w:spacing w:lineRule="auto" w:line="295" w:before="1" w:after="283"/>
        <w:ind w:left="0" w:right="0" w:firstLine="678"/>
        <w:jc w:val="both"/>
        <w:rPr>
          <w:rFonts w:ascii="Times New Roman;sans-serif" w:hAnsi="Times New Roman;sans-serif"/>
          <w:b w:val="false"/>
          <w:color w:val="2B2B2B"/>
          <w:sz w:val="22"/>
        </w:rPr>
      </w:pPr>
      <w:r>
        <w:rPr>
          <w:rFonts w:ascii="Times New Roman;sans-serif" w:hAnsi="Times New Roman;sans-serif"/>
          <w:b w:val="false"/>
          <w:color w:val="2B2B2B"/>
          <w:sz w:val="22"/>
        </w:rPr>
        <w:t>This exclusive right of first purchase is assignable and shall be binding upon the heirs, successors and assigns of Landlord and Tenant.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Tenant: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Shelley E. Sayward </w:t>
      </w:r>
      <w:r>
        <w:rPr>
          <w:color w:val="000000"/>
        </w:rPr>
        <w:t>            </w:t>
      </w:r>
      <w:r>
        <w:rPr>
          <w:rFonts w:ascii="Times New Roman;sans-serif" w:hAnsi="Times New Roman;sans-serif"/>
          <w:b w:val="false"/>
          <w:color w:val="000000"/>
          <w:sz w:val="22"/>
          <w:u w:val="single"/>
        </w:rPr>
        <w:t xml:space="preserve">/s/ Edmond R. Coletta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Landlord: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Shelley E. Sayward </w:t>
      </w:r>
      <w:r>
        <w:rPr>
          <w:color w:val="000000"/>
        </w:rPr>
        <w:t>            </w:t>
      </w:r>
      <w:r>
        <w:rPr>
          <w:rFonts w:ascii="Times New Roman;sans-serif" w:hAnsi="Times New Roman;sans-serif"/>
          <w:b w:val="false"/>
          <w:color w:val="000000"/>
          <w:sz w:val="22"/>
          <w:u w:val="single"/>
        </w:rPr>
        <w:t xml:space="preserve">/s/ John W. Casella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ans-serif" w:hAnsi="Times New Roman;sans-serif"/>
          <w:b w:val="false"/>
          <w:color w:val="000000"/>
          <w:sz w:val="16"/>
        </w:rPr>
      </w:pPr>
      <w:r>
        <w:rPr>
          <w:rFonts w:ascii="Times New Roman;sans-serif" w:hAnsi="Times New Roman;sans-serif"/>
          <w:b w:val="false"/>
          <w:color w:val="000000"/>
          <w:sz w:val="16"/>
        </w:rPr>
        <w:t>{00005965.I}6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COMMERCIAL LEASE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This Commercial Lease ("Lease" or "Agreement") is entered into this 16</w:t>
      </w:r>
      <w:r>
        <w:rPr>
          <w:rFonts w:ascii="Times New Roman;sans-serif" w:hAnsi="Times New Roman;sans-serif"/>
          <w:b w:val="false"/>
          <w:color w:val="000000"/>
          <w:sz w:val="14"/>
        </w:rPr>
        <w:t xml:space="preserve">th </w:t>
      </w:r>
      <w:r>
        <w:rPr>
          <w:rFonts w:ascii="Times New Roman;sans-serif" w:hAnsi="Times New Roman;sans-serif"/>
          <w:b w:val="false"/>
          <w:color w:val="000000"/>
          <w:sz w:val="22"/>
        </w:rPr>
        <w:t>day of May, 2024 (the “Effective Date”), by and between Casella Waste Systems, Inc., ("Tenant"), with an address of 25 Greens Hill Lane, Rutland, VT 05701, and Casella Associates, LLC ("Landlord"), with a place of business at 25 Greens Hill Lane, Rutland, VT 05701.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LEASED PREMISES</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1.1The " “Premises” shall consist of approximately five (5) acres of land and buildings situated at 408 East Montpelier Road, Montpelier, VT 05701. It is understood by the Tenant and Landlord that the office building on the Premises was condemned, and was demolished and removed by the Tenant, and the Tenant will rebuild a new office building at Tenant’s sole expense.</w:t>
      </w:r>
    </w:p>
    <w:p>
      <w:pPr>
        <w:pStyle w:val="TextBody"/>
        <w:bidi w:val="0"/>
        <w:spacing w:lineRule="auto" w:line="288"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TERM</w:t>
      </w:r>
    </w:p>
    <w:p>
      <w:pPr>
        <w:pStyle w:val="TextBody"/>
        <w:bidi w:val="0"/>
        <w:spacing w:lineRule="auto" w:line="288" w:before="60" w:after="283"/>
        <w:ind w:left="0" w:right="0" w:hanging="360"/>
        <w:jc w:val="left"/>
        <w:rPr/>
      </w:pPr>
      <w:r>
        <w:rPr>
          <w:rFonts w:ascii="Times New Roman;sans-serif" w:hAnsi="Times New Roman;sans-serif"/>
          <w:b w:val="false"/>
          <w:color w:val="000000"/>
          <w:sz w:val="22"/>
        </w:rPr>
        <w:t xml:space="preserve">2.1 The term of this Lease shall be for the period of fifteen (15) years commencing on June 1, 2024 (the "Commencement Date") and ending on May 31, 2039 (the “Initial Term”). The Lease may be renewed at the election of the Tenant for an additional five (5) year period (the “Renewal Term”) with written notice to Landlord of not less than six months prior to the end of the Initial Term (the Renewal Term and Initial Term are referred collectively as the “Term” throughout). An Exclusive First Right of Purchase for the Premises is attached as </w:t>
      </w:r>
      <w:r>
        <w:rPr>
          <w:rFonts w:ascii="Times New Roman;sans-serif" w:hAnsi="Times New Roman;sans-serif"/>
          <w:b/>
          <w:color w:val="000000"/>
          <w:sz w:val="22"/>
          <w:u w:val="single"/>
        </w:rPr>
        <w:t>Exhibit A</w:t>
      </w:r>
      <w:r>
        <w:rPr>
          <w:color w:val="000000"/>
        </w:rPr>
        <w:t xml:space="preserve"> </w:t>
      </w:r>
      <w:r>
        <w:rPr>
          <w:rFonts w:ascii="Times New Roman;sans-serif" w:hAnsi="Times New Roman;sans-serif"/>
          <w:b w:val="false"/>
          <w:color w:val="000000"/>
          <w:sz w:val="22"/>
        </w:rPr>
        <w:t xml:space="preserve">and incorporated herein. </w:t>
      </w:r>
    </w:p>
    <w:p>
      <w:pPr>
        <w:pStyle w:val="TextBody"/>
        <w:bidi w:val="0"/>
        <w:spacing w:lineRule="auto" w:line="288"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RENT</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3.1 Base Rent. The Tenant shall pay to the Landlord the sum of Seventeen Thousand Ninety Dollars ($17,090.00) per month due and payable in advance on or before the fifth day of each month, and which shall increase by three percent (3.0%) each year, said increase to take effect on the anniversary date each year of the Term, and Renewal Term if applicable (the “Base Rental”). No security deposit shall be required.</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3.2    Additional Rent. Tenant shall pay all costs, expenses, taxes, and obligations of every kind and nature whatsoever relating to Tenant’s interest in the Premises and the appurtenances to and the use and occupancy thereof by Tenant or anyone claiming by, through or under Tenant hereunder which may arise or become due during or with respect to the Term (including all real estate taxes and insurance premiums, electricity, gas, water, sewer, telephone, refuse disposal, security, janitorial, waste disposal, and other charges for any similar utilities and services supplied to the Premises and actual out-of-pocket, costs payable by Landlord, Tenant or anyone claiming by, through or under Tenant as Tenant hereunder arising by virtue of Tenant’s use and occupancy of the Premises during the Term), provided that Landlord and Tenant shall pro-rate taxes and similar obligations that accrue for periods outside of, but are billed in, the Term. Any amount or payment obligation herein relating to the Premises that is not expressly declared in this Lease to be that of Landlord shall be deemed to be an obligation of Tenant to be performed by Tenant at Tenant’s expense. Tenant assumes the sole responsibility for the condition, use, operation, maintenance, repair, restoration and management of the Premises and Landlord shall have no responsibility in respect thereof except that Landlord shall be responsible for, and shall undertake at Landlord’s expense, all structural repairs or replacements; and, shall undertake all repairs to or replacement of mechanical, electrical, HVAC, plumbing or life safety systems in the building, in excess of Two Hundred Thousand Dollars ($200,000) in the aggregate. Notwithstanding the foregoing, the parties agree that Tenant may undertake emergency repairs without notice or delay, as necessary to</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maintain Tenant’s operations, and to the extent repairs are the responsibility of the Landlord, Landlord shall reimburse Tenant accordingly, within thirty (30) days of presentment of an invoice for the same. Should Landlord fail to reimburse Tenant as provided herein, Tenant may deduct unpaid sums from the next ensuing Base Rental installment(s).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USE OF LEASED PREMISES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4.1    The Tenant shall use the Premises for any purpose associated with use as a waste and recycling drop off facility, vehicle maintenance garage, vehicle and container storage area, and office building for purposes and uses that the Landlord shall deem consistent with the purposes and use of the Premises by the Tenant, in its sole judgment. (“Permitted Uses"). Landlord is aware of and has approved the use of the Premises for the Permitted Uses. and consents, as required by section 4.3, to Tenant Alterations as Tenant determines necessary in its sole discretion to accommodate Tenant’s commercial waste services, drop off and operations.</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4.2    Tenant agrees to use the Premises in accordance with applicable laws, including local, state and federal environmental laws, and to maintain the Premises in good condition, reasonable wear and tear excepted.</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4.3    Tenant shall not make or suffer or allow to be made any alterations, additions or improvements in or to the Premises (collectively, “Tenant Alterations”) except as Landlord has consented to by virtue of section 4.1 hereof, without first obtaining Landlord’s written consent, which shall not be unreasonably withheld, conditioned, or delayed, based on plans and specifications submitted by Tenant; provided Landlord’s consent to Tenant Alterations in addition to those that Landlord has already consented to by virtue of section 4.1 herein will not be required if (a) the proposed Tenant Alterations will not affect the structure or the mechanical, electrical, HVAC, plumbing or life safety; and (b) the total cost to acquire and install the proposed Tenant Alterations will be no more than (i) One Hundred Thousand Dollars ($100,000.00) in any one instance and (ii) Two Hundred Thousand Dollars ($200,000.00) in the aggregate during any calendar year. Tenant shall notify Landlord prior to commencing Tenant Alterations other than de minimis Tenant Alterations. Tenant agrees that all such work (regardless of whether Landlord’s consent is required) shall be done at Tenant’s sole cost and expense, and in a good and workmanlike manner, that the structural integrity of any building shall not be impaired.</w:t>
      </w:r>
    </w:p>
    <w:p>
      <w:pPr>
        <w:pStyle w:val="TextBody"/>
        <w:bidi w:val="0"/>
        <w:spacing w:before="0" w:after="0"/>
        <w:ind w:left="0" w:right="0" w:hanging="72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CONDITION OF PREMISES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5.2    At the end of the Term, except for damage caused by fire or other perils, Tenant, at its expense, shall (a) surrender the Premises in the same or similar condition as existed at the time the Premises were accepted and possession taken by Tenant, taking into account items of repair pursuant to Section 5.1, Tenant Alterations consistent with this Lease, and reasonable wear resulting from uses permitted hereunder, (b) have removed all of Tenant's property from the Premises; (c) have repaired any damage to the Premises caused by the removal of Tenant's Property; and (d) leave the Premises free of trash and debris and all buildings in "broom clean" condition.</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5.3    All fixtures, machinery, equipment, improvements and appurtenances attached to, or built into, the Premises (collectively, “Fixtures”) at the commencement of or during the Term, whether or not placed there by or at the expense of Tenant, shall become and remain a part of the Premises; shall be deemed the property of Landlord (the “Landlord’s Property”), and shall not be removed by Tenant at the end of the Term unless Landlord requests their removal. All movable non-structural partitions, business and trade fixtures, machinery and equipment, communications equipment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office equipment that are installed in the Premises by, or for the account of, Tenant and without expense to Landlord and that can be removed without structural damage, and all furniture, furnishings and other articles of movable personal property owned by Tenant and located in the Premises (collectively, the “Tenant’s Property”) shall be and shall remain the property of Tenant. Upon the end of the Term or any earlier termination of this Lease, Tenant, at its expense, shall remove from the Premises all of Tenant’s Property, any Tenant Alterations (except such items thereof as constitute Landlord’s Property unless Landlord otherwise directs) and any Fixtures designated by Landlord as requiring removal and Tenant shall repair any damage to the Premises resulting from any installation and/or removal thereof. If any items of Tenant’s Property remain at the Premises following the expiration or termination of this Lease, such items shall automatically be deemed abandoned and Landlord may take any action whatsoever as Landlord may desire with respect to such remaining items of Tenant’s Property.</w:t>
      </w:r>
    </w:p>
    <w:p>
      <w:pPr>
        <w:pStyle w:val="TextBody"/>
        <w:bidi w:val="0"/>
        <w:spacing w:lineRule="auto" w:line="288"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INSURANCE</w:t>
      </w:r>
    </w:p>
    <w:p>
      <w:pPr>
        <w:pStyle w:val="TextBody"/>
        <w:bidi w:val="0"/>
        <w:spacing w:lineRule="auto" w:line="288" w:before="12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6.1    Tenant's Insurance. Tenant shall be responsible, at its expense, for maintaining adequate insurance insuring the Premises for fire or other casualty, and in an amount not less than One Million Three Hundred Fifty Thousand Dollars ($1,350,000); general liability insurance with limits of liability of One Million Dollars ($1,000,000) per occurrence and One Million Dollars ($1,000,000) in the general, for maintaining an umbrella insurance policy with limits of One Million Dollars ($1,000,000). Landlord shall be added to the certificate of insurance as an additional insured and Tenant shall provide a copy of the certificate of insurance to Landlord. In the event of fire or casualty, the parties agree that Landlord shall be entitled to insurance proceeds for structures on the site, except that (1) the Tenant shall be entitled to Tenant Alterations, fixtures, machinery and other contents; and (2) the Tenant shall be entitled to proceeds for the 2024 newly constructed office building except that Landlord shall receive Six Hundred Thousand Dollars ($600,000) of insurance proceeds for the office building. </w:t>
      </w:r>
    </w:p>
    <w:p>
      <w:pPr>
        <w:pStyle w:val="TextBody"/>
        <w:bidi w:val="0"/>
        <w:spacing w:lineRule="auto" w:line="288" w:before="12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DAMAGE OR DESTRUCTION; EMINENT DOMAIN</w:t>
      </w:r>
    </w:p>
    <w:p>
      <w:pPr>
        <w:pStyle w:val="TextBody"/>
        <w:bidi w:val="0"/>
        <w:spacing w:lineRule="auto" w:line="288" w:before="12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7.1    Notwithstanding the existing condemned office building which will be demolished and removed, in the event the Premises shall be destroyed or damaged as a result of any fire or other casualty which is not the result of the intentional acts or neglect of Tenant and which precludes or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adversely affects the Tenant’s occupancy of the Premises, then in every such cause, the Rent and Additional Rent herein set forth shall be abated or adjusted according to the extent to which the leased Premises have been rendered unfit for use and occupation by the Tenant and until the demised Premises have been put in as nearly as possible to the condition of the Premises existing immediately prior to such damage. It is understood, however, in the event of total or substantial destruction to the Premises, within one hundred twenty (120) days of the event causing said total or substantial destruction, Tenant may elect to terminate this Lease Agreement with written notice to Landlord. Otherwise, Landlord shall proceed with restoration of the Premises in an expeditious manner so as to facilitate Tenant’s resumption of use and occupation in accordance herewith.</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7.2    If the whole, or any substantial portion, of the Premises is taken or condemned for any public use under any law or by right of eminent domain, or by private purchase in lieu thereof, and such taking would prevent or materially interfere with the Permitted Uses of the Premises, this Lease shall terminate effective when the physical taking of said Premises occurs. If less than a substantial portion of the Premises is so taken or condemned, this Lease shall not terminate, but the Rent and Additional Rent payable hereunder shall be proportionally abated to the extent of any actual loss of use of the Premises by Tenant. Landlord shall be entitled to any and all payment, income, rent or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award, or any interest therein whatsoever, which may be paid or made in connection with such a taking or conveyance.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MISCELLANEOUS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    Mutual Indemnification. Each of the parties (each, an "Indemnifying Party") shall indemnify and hold harmless the other party and any director, officer, affiliate, partner, member or elected or appointed official of the other party (each, an "Indemnified Party") from and against any and all claims, actions, suits, judgments, proceedings, liabilities, obligations, losses, and damages, amounts paid in settlement, interest, costs and expenses (including reasonable attorney's fees), penalties (civil, criminal or administrative), court costs and other out-of-pocket expenses incurred in investigating, preparing or defending the foregoing) relating to or arising from personal injury, bodily harm or death, property damage or damage to the environment ("Losses") incurred or suffered by any Indemnified Party to the extent that such Losses arise by reason of, or result from (i) the material breach or inaccuracy of any representation or warranty of the Indemnifying Party contained in this Agreement; (ii) the material breach by the Indemnifying Party of any of its covenants or agreements contained in this Agreement, or (iii) the gross negligence or willful misconduct of the Indemnifying Party or any of its agents, employees or subcontractors; to the extent not waived by the other party, in each case.</w: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indemnification obligations of Indemnifying Party under this Section shall inure to the benefit of the directors, officers, affiliates, employees and elected or appointed officials of Indemnified Party and shall survive expiration or earlier termination of this Agreement.</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8.2    Assignment/Subletting. Tenant shall be permitted to assign its interests in this Lease to a corporate parent or affiliate of equal or greater net worth with notice to the Landlord, and should that occur, Tenant shall be relieved of further obligation hereunder. Tenant shall be permitted to sublet any portion of the Premises with consent of the Landlord, which shall not be unreasonably withheld, provided that the terms of the sublease shall prohibit further sublease by the subtenant, and that the term of the sublease shall not be inconsistent with nor extend beyond the Term of this Lease Agreement. </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8.3    Limitation of Liability. Neither party shall be liable to the other for special, incidental, exemplary, punitive or consequential damages including without limitation loss of use, loss of profits or revenues, or cost of substitute or re-performed services, suffered, asserted or alleged by either party or any third party arising from or relating to this Agreement, regardless of whether those damages are claimed under contract, warranty, indemnity, tort or any other theory at law or in equity.</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8.4    Disclaimer of Joint Venture, Partnership, and Agency. This Agreement shall not be interpreted or construed to create an association, joint venture, or partnership between the parties or to impose any partnership obligation or liability upon either party. Neither party shall have any right, power or authority to enter into any agreement or undertaking for, or act on behalf of, or to act as or be an agent of representative of, or to otherwise bind, the other party.</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8.5    Governing Law. This Agreement and any issues arising hereunder or relating hereto shall be governed by and construed in accordance with the laws of the State of Vermont except for conflicts of laws provisions that would apply the substantive law of another state.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8.6    Representations and Warranties: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Each party represents and warrants to the other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(a)it is duly qualified to do business and is in good standing in every jurisdiction in which this Agreement requires its performance;</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(b)it has full power and authority to execute, deliver and perform its obligations under this Agreement;</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(c)the execution, delivery and performance of this Agreement have been duly and validly authorized by all necessary action by such party; and</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(d)the execution and delivery of this Agreement by such party and the performance of the terms, covenants and conditions contained herein will not violate the articles of incorporation or by-laws of such party, or any order of a court or arbitrator, and will not conflict with and will not constitute a material breach of, or default under, the provisions of any material contract by which either party is bound.</w:t>
      </w:r>
    </w:p>
    <w:p>
      <w:pPr>
        <w:pStyle w:val="TextBody"/>
        <w:bidi w:val="0"/>
        <w:spacing w:before="0" w:after="0"/>
        <w:ind w:left="0" w:right="0" w:firstLine="676"/>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    Landlord represents and warrants to Tenant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(a)Landlord represents and warrants to Tenant that as of the date hereof, Landlord owns and holds fee title in and to the Premises and there exist no restrictions applicable to the Premises that are inconsistent with this lease, or materially and adversely affect Tenant's rights and remedies hereunder (or under applicable law).</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(b)Tenant shall have quiet enjoyment of the Premises for the Term.</w:t>
      </w:r>
    </w:p>
    <w:p>
      <w:pPr>
        <w:pStyle w:val="TextBody"/>
        <w:bidi w:val="0"/>
        <w:spacing w:lineRule="auto" w:line="288" w:before="1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(c)Landlord agrees to hold Tenant harmless and indemnify Tenant for any loss, costs or expenses incurred by Tenant as a result of the failure of such representations and warranty to be true.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(iii)    These warranties shall survive the Term.</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8.7    Force Majeure. In no event shall either party be responsible or liable for any failure or delay in the performance of its obligations hereunder arising out of or caused by, directly or indirectly, forces beyond its control, including, without limitation, accidents, acts of war or terrorism, civil or military disturbances, nuclear or natural catastrophes or acts of God, and interruptions, loss or malfunctions of utilities, communications or computer (software and hardware) services; it being understood that the effected party shall use reasonable efforts which are consistent with accepted practices to resume performance as soon as practicable under the circumstances.</w: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8.8    Termination. This Agreement may be terminated: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(a)at any time by both parties upon mutual written agreement; or</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(b)immediately upon notice by either party in the event that any of the representations and warranties contained in this Agreement are shown to be untrue; or</w:t>
      </w:r>
    </w:p>
    <w:p>
      <w:pPr>
        <w:pStyle w:val="TextBody"/>
        <w:bidi w:val="0"/>
        <w:spacing w:lineRule="auto" w:line="288" w:before="6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(c)by either party in the event of a failure by the other party to perform a material obligation as follows (a "Default"): if the Default has not been cured by the defaulting party within thirty (30) days from</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receipt of notice from the non-defaulting party, the non-defaulting party may (i) terminate this Agreement immediately upon notice, or (ii) agree in writing that the defaulting party is diligently pursuing a cure, and extend the cure period at its sole discretion, subject to immediate termination upon notice.</w:t>
      </w:r>
    </w:p>
    <w:p>
      <w:pPr>
        <w:pStyle w:val="TextBody"/>
        <w:bidi w:val="0"/>
        <w:spacing w:lineRule="auto" w:line="288" w:before="60" w:after="283"/>
        <w:ind w:left="0" w:right="0" w:hanging="360"/>
        <w:jc w:val="both"/>
        <w:rPr/>
      </w:pPr>
      <w:r>
        <w:rPr>
          <w:rFonts w:ascii="Times New Roman;sans-serif" w:hAnsi="Times New Roman;sans-serif"/>
          <w:b w:val="false"/>
          <w:color w:val="000000"/>
          <w:sz w:val="22"/>
        </w:rPr>
        <w:t>(d)By Tenant prior to the expiration of either the 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or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anniversary dates of the Agreement with no less than six (6) months’ advance written notice to Landlord, without penalty to Tenant.</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8.9    Entire Agreement. It is understood and agreed that all understandings and agreements heretofore had between and parties thereto are merged in this Agreement, which alone fully and completely expresses their agreement and contains all of the terms agreed upon between the parties with respect to the subject matter of this Agreement, and that this Agreement is entered into after full investigation, neither party relying upon any statement or representation, not embodied in this Agreement, made by the other. All exhibits, schedules and other attachments are a part of this Agreement and the contents thereof are incorporated herein by reference.</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8.10    Amendment. This Agreement may not be amended, modified or supplemented, except in writing and signed by the parties.</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8.11    Non-Waiver. No waiver by any party to this Agreement of any failure or refusal by the other party to comply with its obligations shall be deemed a waiver of any other or subsequent failure or refusal to so comply. No waiver by either Party of any right or remedy hereunder shall be valid unless the same shall be in writing and signed by the Party giving such waiver. No waiver by either Party with respect to any default, misrepresentation, or breach of warranty or covenant hereunder shall be deemed to extend to any prior or subsequent default, misrepresentation, or breach of warranty or covenant hereunder or affect in any way any rights arising by virtue of any prior or subsequent such occurrence.</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8.12    Severability; Modification Required By Law. If any term or provision of this Agreement shall be found by a court of competent jurisdiction to be invalid, illegal or otherwise unenforceable, the same shall not affect the other terms or provisions thereof or hereof or the whole of this Agreement, but such term or provision shall be deemed modified to the extent necessary in the court's opinion to render such term or provision enforceable, and the rights and obligations of the parties shall be construed and enforced accordingly, preserving to the fullest permissible extent the intent and agreement of the parties herein set forth.</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8.13    No Third Party Beneficiaries. Nothing in this Agreement, express or implied, is intended to confer upon any third party any rights, remedies, obligations, or liabilities under or by reason of this Agreement, except as expressly provided in this Agreement.</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8.14    No Brokers. The parties agree that they have entered into this Agreement without the benefit or assistance of any brokers, and each party agrees to indemnify, defend and hold the other harmless from any and all costs, expenses, losses or liabilities arising out of any claim by any person or entity that such person or entity acted as or was retained by the indemnifying party as a finder or broker with respect to the transaction described in this Agreement.</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8.15    Further Acts. Each party agrees to perform any further acts and to execute, acknowledge, and deliver any documents which may be reasonably necessary to carry out the provisions of this Agreement.</w:t>
      </w:r>
    </w:p>
    <w:p>
      <w:pPr>
        <w:pStyle w:val="TextBody"/>
        <w:bidi w:val="0"/>
        <w:spacing w:before="100" w:after="283"/>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8.16    Counterparts. This Agreement may be executed in one or more counterparts, each of which will be deemed an original, but which together will constitute one and the same instrument.</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8.17    Disputes. If a claim or dispute arises out of this Agreement or its performance, the parties agree to endeavor in good faith to resolve it equitably through negotiation, or if that fails, through non-binding mediation under the rules of the American Arbitration Association, before having recourse to the courts. However, prior to or during negotiation or mediation, either party may initiate litigation that would otherwise become barred by a statute of limitations.</w:t>
      </w:r>
    </w:p>
    <w:p>
      <w:pPr>
        <w:pStyle w:val="TextBody"/>
        <w:bidi w:val="0"/>
        <w:spacing w:lineRule="auto" w:line="288" w:before="10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8.18    Notices. All notices to be given under this Agreement shall be in writing and delivered personally, or shall be mailed by U.S. Express, registered or certified mail, return receipt requested or an overnight service with receipt as follows:</w:t>
      </w:r>
    </w:p>
    <w:p>
      <w:pPr>
        <w:pStyle w:val="TextBody"/>
        <w:bidi w:val="0"/>
        <w:spacing w:before="0" w:after="0"/>
        <w:jc w:val="left"/>
        <w:rPr/>
      </w:pPr>
      <w:r>
        <w:rPr/>
      </w:r>
    </w:p>
    <w:tbl>
      <w:tblPr>
        <w:tblW w:w="4430" w:type="dxa"/>
        <w:jc w:val="left"/>
        <w:tblInd w:w="0" w:type="dxa"/>
        <w:tblLayout w:type="fixed"/>
        <w:tblCellMar>
          <w:top w:w="28" w:type="dxa"/>
          <w:left w:w="28" w:type="dxa"/>
          <w:bottom w:w="28" w:type="dxa"/>
          <w:right w:w="28" w:type="dxa"/>
        </w:tblCellMar>
      </w:tblPr>
      <w:tblGrid>
        <w:gridCol w:w="374"/>
        <w:gridCol w:w="330"/>
        <w:gridCol w:w="331"/>
        <w:gridCol w:w="789"/>
        <w:gridCol w:w="789"/>
        <w:gridCol w:w="791"/>
        <w:gridCol w:w="109"/>
        <w:gridCol w:w="109"/>
        <w:gridCol w:w="109"/>
        <w:gridCol w:w="109"/>
        <w:gridCol w:w="109"/>
        <w:gridCol w:w="109"/>
        <w:gridCol w:w="109"/>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Landlord:</w:t>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Casella Associates,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Greens Hill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Rutland, VT 05701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Attn: John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66" w:type="dxa"/>
        <w:jc w:val="left"/>
        <w:tblInd w:w="0" w:type="dxa"/>
        <w:tblLayout w:type="fixed"/>
        <w:tblCellMar>
          <w:top w:w="28" w:type="dxa"/>
          <w:left w:w="28" w:type="dxa"/>
          <w:bottom w:w="28" w:type="dxa"/>
          <w:right w:w="28" w:type="dxa"/>
        </w:tblCellMar>
      </w:tblPr>
      <w:tblGrid>
        <w:gridCol w:w="298"/>
        <w:gridCol w:w="263"/>
        <w:gridCol w:w="264"/>
        <w:gridCol w:w="904"/>
        <w:gridCol w:w="904"/>
        <w:gridCol w:w="907"/>
        <w:gridCol w:w="109"/>
        <w:gridCol w:w="109"/>
        <w:gridCol w:w="109"/>
        <w:gridCol w:w="109"/>
        <w:gridCol w:w="109"/>
        <w:gridCol w:w="10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Tenant:</w:t>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Casella Waste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Greens Hill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Rutland, VT 05701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Attn: Edmond Coletta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046" w:type="dxa"/>
        <w:jc w:val="left"/>
        <w:tblInd w:w="0" w:type="dxa"/>
        <w:tblLayout w:type="fixed"/>
        <w:tblCellMar>
          <w:top w:w="28" w:type="dxa"/>
          <w:left w:w="28" w:type="dxa"/>
          <w:bottom w:w="28" w:type="dxa"/>
          <w:right w:w="28" w:type="dxa"/>
        </w:tblCellMar>
      </w:tblPr>
      <w:tblGrid>
        <w:gridCol w:w="336"/>
        <w:gridCol w:w="296"/>
        <w:gridCol w:w="298"/>
        <w:gridCol w:w="1029"/>
        <w:gridCol w:w="1029"/>
        <w:gridCol w:w="1032"/>
        <w:gridCol w:w="109"/>
        <w:gridCol w:w="109"/>
        <w:gridCol w:w="109"/>
        <w:gridCol w:w="109"/>
        <w:gridCol w:w="109"/>
        <w:gridCol w:w="109"/>
        <w:gridCol w:w="109"/>
        <w:gridCol w:w="109"/>
        <w:gridCol w:w="154"/>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Copy to:</w:t>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Casella Waste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Greens Hill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Rutland, VT 05701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Attn: Office of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executed this Lease as of the Effective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Tenant: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Shelley E. Sayward </w:t>
      </w:r>
      <w:r>
        <w:rPr>
          <w:color w:val="000000"/>
        </w:rPr>
        <w:t>            </w:t>
      </w:r>
      <w:r>
        <w:rPr>
          <w:rFonts w:ascii="Times New Roman;sans-serif" w:hAnsi="Times New Roman;sans-serif"/>
          <w:b w:val="false"/>
          <w:color w:val="000000"/>
          <w:sz w:val="22"/>
          <w:u w:val="single"/>
        </w:rPr>
        <w:t xml:space="preserve">/s/ Edmond R. Coletta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Edmond R. Coletta,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Landlord: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Amy L. Coloutti </w:t>
      </w:r>
      <w:r>
        <w:rPr>
          <w:color w:val="000000"/>
        </w:rPr>
        <w:t>            </w:t>
      </w:r>
      <w:r>
        <w:rPr>
          <w:rFonts w:ascii="Times New Roman;sans-serif" w:hAnsi="Times New Roman;sans-serif"/>
          <w:b w:val="false"/>
          <w:color w:val="000000"/>
          <w:sz w:val="22"/>
          <w:u w:val="single"/>
        </w:rPr>
        <w:t xml:space="preserve">/s/ John W. Casella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John W. Casella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1" w:after="283"/>
        <w:jc w:val="center"/>
        <w:rPr>
          <w:rFonts w:ascii="Times New Roman;sans-serif" w:hAnsi="Times New Roman;sans-serif"/>
          <w:b/>
          <w:color w:val="2B2B2B"/>
          <w:sz w:val="22"/>
        </w:rPr>
      </w:pPr>
      <w:r>
        <w:rPr>
          <w:rFonts w:ascii="Times New Roman;sans-serif" w:hAnsi="Times New Roman;sans-serif"/>
          <w:b/>
          <w:color w:val="2B2B2B"/>
          <w:sz w:val="22"/>
        </w:rPr>
        <w:t>EXHIBIT A</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color w:val="2B2B2B"/>
          <w:sz w:val="22"/>
        </w:rPr>
      </w:pPr>
      <w:r>
        <w:rPr>
          <w:rFonts w:ascii="Times New Roman;sans-serif" w:hAnsi="Times New Roman;sans-serif"/>
          <w:b/>
          <w:color w:val="2B2B2B"/>
          <w:sz w:val="22"/>
        </w:rPr>
        <w:t>EXCLUSIVE FIRST RIGHT OF PURCHASE</w:t>
      </w:r>
    </w:p>
    <w:p>
      <w:pPr>
        <w:pStyle w:val="TextBody"/>
        <w:bidi w:val="0"/>
        <w:spacing w:before="1" w:after="283"/>
        <w:jc w:val="left"/>
        <w:rPr/>
      </w:pPr>
      <w:r>
        <w:rPr/>
      </w:r>
    </w:p>
    <w:p>
      <w:pPr>
        <w:pStyle w:val="TextBody"/>
        <w:bidi w:val="0"/>
        <w:spacing w:lineRule="auto" w:line="300" w:before="0" w:after="0"/>
        <w:ind w:left="0" w:right="0" w:firstLine="694"/>
        <w:jc w:val="both"/>
        <w:rPr>
          <w:rFonts w:ascii="Times New Roman;sans-serif" w:hAnsi="Times New Roman;sans-serif"/>
          <w:b w:val="false"/>
          <w:color w:val="2B2B2B"/>
          <w:sz w:val="22"/>
        </w:rPr>
      </w:pPr>
      <w:r>
        <w:rPr>
          <w:rFonts w:ascii="Times New Roman;sans-serif" w:hAnsi="Times New Roman;sans-serif"/>
          <w:b w:val="false"/>
          <w:color w:val="2B2B2B"/>
          <w:sz w:val="22"/>
        </w:rPr>
        <w:t>NOW COMES Casella Associates, LLC ("Landlord"), with a place of business at 25 Greens Hill Lane, Rutland, VT 05701 and Casella Waste Systems, Inc., ("Tenant"), with an address of 25 Greens Hill Lane, Rutland, VT 05701.</w:t>
      </w:r>
    </w:p>
    <w:p>
      <w:pPr>
        <w:pStyle w:val="TextBody"/>
        <w:bidi w:val="0"/>
        <w:spacing w:before="6" w:after="283"/>
        <w:jc w:val="left"/>
        <w:rPr/>
      </w:pPr>
      <w:r>
        <w:rPr/>
      </w:r>
    </w:p>
    <w:p>
      <w:pPr>
        <w:pStyle w:val="TextBody"/>
        <w:bidi w:val="0"/>
        <w:spacing w:lineRule="auto" w:line="297" w:before="1" w:after="283"/>
        <w:ind w:left="0" w:right="0" w:firstLine="695"/>
        <w:jc w:val="both"/>
        <w:rPr/>
      </w:pPr>
      <w:r>
        <w:rPr>
          <w:rFonts w:ascii="Times New Roman;sans-serif" w:hAnsi="Times New Roman;sans-serif"/>
          <w:b w:val="false"/>
          <w:color w:val="2B2B2B"/>
          <w:sz w:val="22"/>
        </w:rPr>
        <w:t>Landlord owns property located at 408 East Montpelier Road, Montpelier, VT (the "Premises"), and, in exchange for the lease arrangement between Landlord and Tenant, and other valuable consideration, Landlord hereby grants to Tenant through the Term of the Lease Agreement as may be extended, whichever is longer, an exclusive first right of purchase should Landlord determine to sell the Premises during the Term of the Lease Agreement. Therefore, the parties agree that should Landlord determine to sell the Premises, in accordance with the Notice provisions of the Lease Agreement,</w:t>
      </w:r>
      <w:r>
        <w:rPr>
          <w:color w:val="000000"/>
        </w:rPr>
        <w:t xml:space="preserve"> </w:t>
      </w:r>
      <w:r>
        <w:rPr>
          <w:rFonts w:ascii="Times New Roman;sans-serif" w:hAnsi="Times New Roman;sans-serif"/>
          <w:b w:val="false"/>
          <w:color w:val="2B2B2B"/>
          <w:sz w:val="22"/>
        </w:rPr>
        <w:t xml:space="preserve">Landlord shall give Tenant written notice of intention to sell, and Tenant shall have thirty (30) days thereafter to provide Landlord with written notice that Tenant will be exercising Tenant’s exclusive first right of purchase as provided herein. Should Tenant fail to provide Landlord with notice that Tenant will be exercising Tenant’s exclusive first right of purchase as provided herein otherwise, the same shall expire and have no further force and effect. If Tenant elects to exercise its first right of purchase, Landlord and Tenant shall engage a licensed appraiser as mutually agreed to appraise the fair market value of the Premises, the cost of which shall be shall split by the parties. The fair market value of the Premises, less Tenant’s book value of Tenant Alterations (including costs of capital), less Six Hundred Thousand Dollars ($600,000.00) for the value of the office building that was a total loss during the July 2023 flooding event, will establish the Tenant’s purchase price for the Premises. Tenant shall have sixty (60) days from the date of completion of the appraisal to elect in writing to purchase the Premises, and shall tender for Landlord’s signature and acceptance, a proposed Purchase and Sale Agreement that shall offer to purchase the Premises for a purchase price established in accordance herewith, and shall call for the Landlord to tender marketable title to the Premises free and clear from encumbrances and establishes a prospective closing date no later than ninety (90) days following execution of the purchase and sale agreement. </w:t>
      </w:r>
      <w:r>
        <w:rPr>
          <w:rFonts w:ascii="Times New Roman;sans-serif" w:hAnsi="Times New Roman;sans-serif"/>
          <w:b w:val="false"/>
          <w:color w:val="2B2B2B"/>
          <w:sz w:val="24"/>
        </w:rPr>
        <w:t xml:space="preserve">If </w:t>
      </w:r>
      <w:r>
        <w:rPr>
          <w:rFonts w:ascii="Times New Roman;sans-serif" w:hAnsi="Times New Roman;sans-serif"/>
          <w:b w:val="false"/>
          <w:color w:val="2B2B2B"/>
          <w:sz w:val="22"/>
        </w:rPr>
        <w:t xml:space="preserve">Tenant does not elect to purchase the Premises as provided herein, this exclusive right of first purchase shall expire and have no further effect. </w:t>
      </w:r>
    </w:p>
    <w:p>
      <w:pPr>
        <w:pStyle w:val="TextBody"/>
        <w:bidi w:val="0"/>
        <w:spacing w:before="1" w:after="283"/>
        <w:ind w:left="0" w:right="0" w:firstLine="695"/>
        <w:jc w:val="both"/>
        <w:rPr/>
      </w:pPr>
      <w:r>
        <w:rPr/>
      </w:r>
    </w:p>
    <w:p>
      <w:pPr>
        <w:pStyle w:val="TextBody"/>
        <w:bidi w:val="0"/>
        <w:spacing w:lineRule="auto" w:line="295" w:before="1" w:after="283"/>
        <w:ind w:left="0" w:right="0" w:firstLine="678"/>
        <w:jc w:val="both"/>
        <w:rPr>
          <w:rFonts w:ascii="Times New Roman;sans-serif" w:hAnsi="Times New Roman;sans-serif"/>
          <w:b w:val="false"/>
          <w:color w:val="2B2B2B"/>
          <w:sz w:val="22"/>
        </w:rPr>
      </w:pPr>
      <w:r>
        <w:rPr>
          <w:rFonts w:ascii="Times New Roman;sans-serif" w:hAnsi="Times New Roman;sans-serif"/>
          <w:b w:val="false"/>
          <w:color w:val="2B2B2B"/>
          <w:sz w:val="22"/>
        </w:rPr>
        <w:t>This exclusive right of first purchase is assignable and shall be binding upon the heirs, successors and assigns of Landlord and Tenant.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Tenant: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Shelley E. Sayward </w:t>
      </w:r>
      <w:r>
        <w:rPr>
          <w:color w:val="000000"/>
        </w:rPr>
        <w:t>            </w:t>
      </w:r>
      <w:r>
        <w:rPr>
          <w:rFonts w:ascii="Times New Roman;sans-serif" w:hAnsi="Times New Roman;sans-serif"/>
          <w:b w:val="false"/>
          <w:color w:val="000000"/>
          <w:sz w:val="22"/>
          <w:u w:val="single"/>
        </w:rPr>
        <w:t xml:space="preserve">/s/ Edmond R. Coletta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Witness:                        Landlord: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u w:val="single"/>
        </w:rPr>
        <w:t xml:space="preserve">/s/ Amy L. Coloutti </w:t>
      </w:r>
      <w:r>
        <w:rPr>
          <w:color w:val="000000"/>
        </w:rPr>
        <w:t>            </w:t>
      </w:r>
      <w:r>
        <w:rPr>
          <w:rFonts w:ascii="Times New Roman;sans-serif" w:hAnsi="Times New Roman;sans-serif"/>
          <w:b w:val="false"/>
          <w:color w:val="000000"/>
          <w:sz w:val="22"/>
          <w:u w:val="single"/>
        </w:rPr>
        <w:t xml:space="preserve">/s/ John W. Casella </w:t>
      </w:r>
    </w:p>
    <w:p>
      <w:pPr>
        <w:pStyle w:val="TextBody"/>
        <w:bidi w:val="0"/>
        <w:spacing w:lineRule="auto" w:line="288" w:before="3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{00005965.1}6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19.1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CASELLA WASTE SYSTEMS,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INSIDER TRADING POLICY</w:t>
      </w:r>
    </w:p>
    <w:p>
      <w:pPr>
        <w:pStyle w:val="TextBody"/>
        <w:bidi w:val="0"/>
        <w:spacing w:before="0" w:after="0"/>
        <w:jc w:val="center"/>
        <w:rPr/>
      </w:pPr>
      <w:r>
        <w:rPr/>
      </w:r>
    </w:p>
    <w:p>
      <w:pPr>
        <w:pStyle w:val="TextBody"/>
        <w:bidi w:val="0"/>
        <w:spacing w:lineRule="auto" w:line="288"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(Adopted October 31, 2023)</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w:t>
      </w:r>
      <w:r>
        <w:rPr>
          <w:rFonts w:ascii="Times New Roman;sans-serif" w:hAnsi="Times New Roman;sans-serif"/>
          <w:b/>
          <w:color w:val="000000"/>
          <w:sz w:val="24"/>
        </w:rPr>
        <w:t>BACKGROUND AND PURPOSE</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The federal securities laws prohibit any member of the Board of Directors (a “</w:t>
      </w:r>
      <w:r>
        <w:rPr>
          <w:rFonts w:ascii="Times New Roman;sans-serif" w:hAnsi="Times New Roman;sans-serif"/>
          <w:b w:val="false"/>
          <w:color w:val="000000"/>
          <w:sz w:val="24"/>
          <w:u w:val="single"/>
        </w:rPr>
        <w:t>Director</w:t>
      </w:r>
      <w:r>
        <w:rPr>
          <w:color w:val="000000"/>
        </w:rPr>
        <w:t>”</w:t>
      </w:r>
      <w:r>
        <w:rPr>
          <w:rFonts w:ascii="Times New Roman;sans-serif" w:hAnsi="Times New Roman;sans-serif"/>
          <w:b w:val="false"/>
          <w:color w:val="000000"/>
          <w:sz w:val="24"/>
        </w:rPr>
        <w:t>), officer (as defined in Rule 16a-1(f) under the Securities Exchange Act of 1934 (the “Exchange Act”), an “</w:t>
      </w:r>
      <w:r>
        <w:rPr>
          <w:rFonts w:ascii="Times New Roman;sans-serif" w:hAnsi="Times New Roman;sans-serif"/>
          <w:b w:val="false"/>
          <w:color w:val="000000"/>
          <w:sz w:val="24"/>
          <w:u w:val="single"/>
        </w:rPr>
        <w:t>executive officer</w:t>
      </w:r>
      <w:r>
        <w:rPr>
          <w:color w:val="000000"/>
        </w:rPr>
        <w:t>”</w:t>
      </w:r>
      <w:r>
        <w:rPr>
          <w:rFonts w:ascii="Times New Roman;sans-serif" w:hAnsi="Times New Roman;sans-serif"/>
          <w:b w:val="false"/>
          <w:color w:val="000000"/>
          <w:sz w:val="24"/>
        </w:rPr>
        <w:t>) or employee of Casella Waste Systems, Inc. (together with its subsidiaries,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insider trading policy is being adopted in light of these legal requirements, and with the goal of helping:</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prevent inadvertent violations of the insider trading laws;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 xml:space="preserve">avoid embarrassing proxy disclosure of reporting violations by persons subject to Section 16 of the Exchange Act; </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promote compliance with the Company’s obligation to publicly disclose information related to its insider trading policies and procedures and the use of certain trading arrangements by Company insiders;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avoid the appearance of impropriety on the part of those employed by, or associated with, the Company;</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protect the Company from controlling person liability; and</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protect the reputation of the Company, its Directors and its employees.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detailed below, this policy applies to family members and certain other individuals and entities with whom Directors and employees have relationships. While the provisions in Sections 2 and 3 of this policy are not applicable to transactions by the Company itself, transactions by the Company will only be made in accordance with applicable U.S. federal securities laws, including those relating to insider trading.</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applies to transactions in the Company’s securities (collectively referred to in this policy as “Company securities”), including the Company’s common stock, options to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6"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controlled by any of the foregoing persons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“Penalties for Violation.”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General Counsel shall serve as the Compliance Officer for the purposes of this policy, and in the General Counsel’s absence, another employee designated by the Compliance Officer shall be responsible for administration of this policy. </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2.</w:t>
      </w:r>
      <w:r>
        <w:rPr>
          <w:rFonts w:ascii="Times New Roman;sans-serif" w:hAnsi="Times New Roman;sans-serif"/>
          <w:b/>
          <w:color w:val="000000"/>
          <w:sz w:val="24"/>
        </w:rPr>
        <w:t>PROHIBITIONS RELATING TO TRANSACTIONS IN COMPANY SECURITIES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Covered Persons</w:t>
      </w:r>
      <w:r>
        <w:rPr>
          <w:rFonts w:ascii="Times New Roman;sans-serif" w:hAnsi="Times New Roman;sans-serif"/>
          <w:b w:val="false"/>
          <w:color w:val="000000"/>
          <w:sz w:val="24"/>
        </w:rPr>
        <w:t>. This Section 2 applies to the following individuals and entities (collectively, “Covered Persons”):</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all Directors;</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all employees;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the General Counsel determines should not be covered by this policy); and</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corporations, limited liability companies, partnerships, trusts or other entities controlled by any of the above Covered Persons, unless the entity has implemented policies or procedures designed to ensure that such Covered Person cannot influence transactions by the entity involving Company securities.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Prohibition on Trading While Aware of Material Nonpublic Information</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Prohibited Activities</w:t>
      </w:r>
      <w:r>
        <w:rPr>
          <w:rFonts w:ascii="Times New Roman;sans-serif" w:hAnsi="Times New Roman;sans-serif"/>
          <w:b w:val="false"/>
          <w:color w:val="000000"/>
          <w:sz w:val="24"/>
        </w:rPr>
        <w:t>. Except as provided in Section 4, no Covered Person may:</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purchase, sell or gift (which term, as used in this policy, includes charitable donations) any Company securities while such Covered Person is aware of any material nonpublic information concerning the Company or recommend doing so to someone else;</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tip or otherwise disclose to someone else any material nonpublic information concerning the Company if the recipient may misuse that information, such as by purchasing or selling Company securities or tipping that information to others;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purchase, sell or gift any securities of another company while such Covered Person is aware of any material nonpublic information concerning such other company which such Covered Person learned in the course of service as a Director or employee of the Company or recommend doing so to someone else; or</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tip or otherwise disclose to someone else any material nonpublic information concerning another company which such Covered Person learned in the course of service as a Director or employee of the Company if the recipient may misuse that information, such as by purchasing or selling securities of such other company or tipping that information to others.</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Application of Policy After Cessation of Service</w:t>
      </w:r>
      <w:r>
        <w:rPr>
          <w:rFonts w:ascii="Times New Roman;sans-serif" w:hAnsi="Times New Roman;sans-serif"/>
          <w:b w:val="false"/>
          <w:color w:val="000000"/>
          <w:sz w:val="24"/>
        </w:rPr>
        <w:t>. If an individual or entity ceases to be a Covered Person at a time when such individual or entity is aware of material nonpublic information concerning the Company, the prohibitions on purchasing, selling and gifting of Company securities in Section 2.2(a) shall continue to apply until that information has become public or is no longer material.</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Material Nonpublic Information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Material Information</w:t>
      </w:r>
    </w:p>
    <w:p>
      <w:pPr>
        <w:pStyle w:val="TextBody"/>
        <w:bidi w:val="0"/>
        <w:spacing w:lineRule="auto" w:line="276"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Information concerning the Company is considered material if there is a substantial likelihood that a reasonable stockholder would consider the information important in making an investment decision with respect to Company securities. Stated another way, there must be a substantial likelihood that a reasonable stockholder would view the information as having significantly altered the “total mix” of information available about the Company. Material information can include positive or negative information about the Company. Information concerning any of the following subjects, or the Company’s plans with respect to any of these subjects, would often be considered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ind w:left="0" w:right="0" w:hanging="360"/>
        <w:jc w:val="left"/>
        <w:rPr/>
      </w:pPr>
      <w:r>
        <w:rPr>
          <w:color w:val="000000"/>
        </w:rPr>
        <w:t xml:space="preserve">• </w:t>
      </w:r>
      <w:r>
        <w:rPr>
          <w:rFonts w:ascii="Times New Roman;sans-serif" w:hAnsi="Times New Roman;sans-serif"/>
          <w:b w:val="false"/>
          <w:color w:val="000000"/>
          <w:sz w:val="24"/>
        </w:rPr>
        <w:t xml:space="preserve">the Company’s revenues or earnings; </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 xml:space="preserve">a significant merger or acquisition involving the Company; </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a change in control of the Company;</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 xml:space="preserve">a significant change in the management or the Board of Directors of the Company; </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 xml:space="preserve">the public or private sale of a significant amount of securities of the Company; </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the Company’s decision to commence or terminate the payment of cash dividends;</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 xml:space="preserve">the establishment of a program to repurchase securities of the Company; </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a stock split;</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a default on outstanding debt of the Company or a bankruptcy filing;</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 xml:space="preserve">the loss, delay or gain of a significant contract, sale or order or other important development regarding customers, business partners or suppliers; </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a significant cybersecurity incident or investigation of a potential such incident;</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a conclusion by the Company or a notification from its independent auditor that any of the Company’s previously issued financial statements should no longer be relied upon; or</w:t>
      </w:r>
    </w:p>
    <w:p>
      <w:pPr>
        <w:pStyle w:val="TextBody"/>
        <w:bidi w:val="0"/>
        <w:spacing w:lineRule="auto" w:line="276" w:before="0" w:after="240"/>
        <w:ind w:left="0" w:right="0" w:hanging="360"/>
        <w:jc w:val="left"/>
        <w:rPr/>
      </w:pPr>
      <w:r>
        <w:rPr>
          <w:color w:val="000000"/>
        </w:rPr>
        <w:t>•</w:t>
      </w:r>
      <w:r>
        <w:rPr>
          <w:rFonts w:ascii="Times New Roman;sans-serif" w:hAnsi="Times New Roman;sans-serif"/>
          <w:b w:val="false"/>
          <w:color w:val="000000"/>
          <w:sz w:val="24"/>
        </w:rPr>
        <w:t xml:space="preserve">a change in or disagreement (within the meaning of Item 304 of Regulation S-K) with the Company’s independent auditor. </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list is illustrative only and is not intended to provide a comprehensive list of circumstances that could give rise to material information. </w:t>
      </w:r>
    </w:p>
    <w:p>
      <w:pPr>
        <w:pStyle w:val="TextBody"/>
        <w:bidi w:val="0"/>
        <w:spacing w:before="0" w:after="0"/>
        <w:jc w:val="left"/>
        <w:rPr/>
      </w:pPr>
      <w:r>
        <w:rPr/>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Nonpublic Information</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Information concerning the Company is considered nonpublic if it has not been disseminated in a manner making it available to investors generally. </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Information will generally be considered nonpublic unless (1) the information has been disclosed in a press release, in a public filing made with the SEC (such as a Report on Form 10-K, Form 10-Q or Form 8-K), or through a news wire service or daily newspaper of wide</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circulation, and (2) a sufficient amount of time has passed so that the information has had an opportunity to be digested by the marketplace.</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Prohibition on Short Sales, Derivative Transactions and Hedging Transactions</w:t>
      </w:r>
      <w:r>
        <w:rPr>
          <w:rFonts w:ascii="Times New Roman;sans-serif" w:hAnsi="Times New Roman;sans-serif"/>
          <w:b w:val="false"/>
          <w:color w:val="000000"/>
          <w:sz w:val="24"/>
        </w:rPr>
        <w:t>. No Covered Person may engage in any of the following types of transactions with respect to Company securities: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short sales, including short sales “against the box”; 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purchases or sales of puts, calls or other derivative securities; or</w:t>
      </w:r>
    </w:p>
    <w:p>
      <w:pPr>
        <w:pStyle w:val="TextBody"/>
        <w:bidi w:val="0"/>
        <w:spacing w:lineRule="auto" w:line="276"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purchases of financial instruments (including prepaid variable forward contracts, equity swaps, collars and exchange funds) or other transactions that hedge or offset, or are designed to hedge or offset, any decrease in the market value of Company securities.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3.</w:t>
      </w:r>
      <w:r>
        <w:rPr>
          <w:rFonts w:ascii="Times New Roman;sans-serif" w:hAnsi="Times New Roman;sans-serif"/>
          <w:b/>
          <w:color w:val="000000"/>
          <w:sz w:val="24"/>
        </w:rPr>
        <w:t>ADDITIONAL PROHIBITIONS APPLICABLE TO DIRECTORS, EXECUTIVE OFFICERS AND DESIGNATED EMPLOYEES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Further Restricted Insiders</w:t>
      </w:r>
      <w:r>
        <w:rPr>
          <w:rFonts w:ascii="Times New Roman;sans-serif" w:hAnsi="Times New Roman;sans-serif"/>
          <w:b w:val="false"/>
          <w:color w:val="000000"/>
          <w:sz w:val="24"/>
        </w:rPr>
        <w:t>. The prohibitions in Section 3.2 below apply to the following Covered Persons, who are subject to certain additional restrictions as set forth herein (collectively, “Further Restricted Insiders”):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Directors;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executive officers;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such other employees as are designated from time to time by the Board of Directors, the Chief Executive Officer, the Chief Financial Officer or the General Counsel as being subject to this Section 3 (the “Designated Employees”);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General Counsel determines should not be covered by this policy); and</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corporations, limited liability companies, partnerships, trusts or other entities controlled by any of the above Further Restricted Insiders, unless the entity has implemented policies or procedures designed to ensure that such Further Restricted Insider cannot influence transactions by the entity involving Company securities.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Blackout Periods</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Regular Blackout Periods</w:t>
      </w:r>
      <w:r>
        <w:rPr>
          <w:rFonts w:ascii="Times New Roman;sans-serif" w:hAnsi="Times New Roman;sans-serif"/>
          <w:b w:val="false"/>
          <w:color w:val="000000"/>
          <w:sz w:val="24"/>
        </w:rPr>
        <w:t>. Except as provided in Section 4, no Further Restricted Insider may purchase, sell or gift any securities of the Company (including exercising any option) during the period beginning two weeks prior to the end of each fiscal quarter and ending upon the completion of the second full trading day after the public announcement of earnings for such quarter (a “regular blackout period”).</w:t>
      </w:r>
    </w:p>
    <w:p>
      <w:pPr>
        <w:pStyle w:val="TextBody"/>
        <w:bidi w:val="0"/>
        <w:spacing w:lineRule="auto" w:line="288" w:before="0" w:after="240"/>
        <w:ind w:left="0" w:right="0" w:firstLine="126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Corporate News Blackout Periods</w:t>
      </w:r>
      <w:r>
        <w:rPr>
          <w:rFonts w:ascii="Times New Roman;sans-serif" w:hAnsi="Times New Roman;sans-serif"/>
          <w:b w:val="false"/>
          <w:color w:val="000000"/>
          <w:sz w:val="24"/>
        </w:rPr>
        <w:t>. The Company may from time to time notify Directors, executive officers and other specified employees that an additional blackout period (a “corporate news blackout period”) is in effect in view of significant events or developments involving the Company. In such event, except as provided in Section 4, no person who is notified of a corporate news blackout period may purchase, sell or gift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Awareness of Material Non-Public Information when a Blackout Period is Not in Effect</w:t>
      </w:r>
      <w:r>
        <w:rPr>
          <w:rFonts w:ascii="Times New Roman;sans-serif" w:hAnsi="Times New Roman;sans-serif"/>
          <w:b w:val="false"/>
          <w:color w:val="000000"/>
          <w:sz w:val="24"/>
        </w:rPr>
        <w:t>. Even if no blackout period is then in effect, if a Further Restricted Insider is aware of material nonpublic information the prohibitions contained in Section 2.2(a) apply.</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Prohibition on Pledges</w:t>
      </w:r>
      <w:r>
        <w:rPr>
          <w:rFonts w:ascii="Times New Roman;sans-serif" w:hAnsi="Times New Roman;sans-serif"/>
          <w:b w:val="false"/>
          <w:color w:val="000000"/>
          <w:sz w:val="24"/>
        </w:rPr>
        <w:t>. No Further Restricted Insider may purchase Company securities on margin, borrow against Company securities held in a margin account, or pledge Company securities as collateral for a loan. However, an exception may be granted in extraordinary situations where a Further Restricted Insider wishes to pledge Company securities as collateral for a loan (other than a margin loan) and clearly demonstrates the financial capacity to repay the loan without resort to the pledged securities. Any Further Restricted Insider who wishes to pledge Company securities as collateral for a loan must submit a request for approval to the Chief Financial Officer or the General Counsel. In addition, any such request by a Director or executive officer of the Company must also be reviewed and approved by the Audit Committee of the Board of Directors.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4.</w:t>
      </w:r>
      <w:r>
        <w:rPr>
          <w:rFonts w:ascii="Times New Roman;sans-serif" w:hAnsi="Times New Roman;sans-serif"/>
          <w:b/>
          <w:color w:val="000000"/>
          <w:sz w:val="24"/>
        </w:rPr>
        <w:t>EXCEPTIONS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Exceptions</w:t>
      </w:r>
      <w:r>
        <w:rPr>
          <w:rFonts w:ascii="Times New Roman;sans-serif" w:hAnsi="Times New Roman;sans-serif"/>
          <w:b w:val="false"/>
          <w:color w:val="000000"/>
          <w:sz w:val="24"/>
        </w:rPr>
        <w:t>. The prohibitions in Sections 2.2(a) and 3.2 on purchasing, selling and gifting of Company securities do not apply to:</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 xml:space="preserve">exercises of stock options or other equity awards that would otherwise expire or the surrender of shares to the Company in payment of the exercise price or in satisfaction of any tax withholding obligations, in each case in a manner permitted by the applicable equity award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securities so acquired may not be sold (either outright or in connection with a “cashless” exercise transaction through a broker) while the Covered Person is aware of material nonpublic information or during an applicable blackout period;</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 xml:space="preserve">acquisitions or dispositions of Company common stock under a 401(k) plan or other individual account plan of the Company that are made pursuant to standing instructions, in a form approved by the Company, not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entered into or modified while the Covered Person is aware of material nonpublic information or during an applicable blackout period;</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 xml:space="preserve">other purchases of securities from the Company (including purchases under the Company’s employee stock purchase plan pursuant to standing instructions, in a form approved by the Company) or sales of securities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transaction involves the exercise of stock options or other equity awards, the transaction must be permitted by the first bullet above;</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bona fide gifts that are approved in advance by the Chief Financial Officer or the General Counsel;</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 xml:space="preserve">purchases, sales or gifts made pursuant to a binding contract, written plan or specific instruction which satisfies the applicable affirmative defense conditions of Rule 10b5-1(c), including as applicable the requirements applicable to an eligible sell-to-cover transaction as defined in Rule 10b5-1(c)(1)(ii)(D)(3), or for which the affirmative defense is available under Rule 10b5-1(c) because such plan was adopted prior to February 27, 2023, met the affirmative defense conditions in effect at the time of adoption, and was not modified or changed on or after February 27, 2023 (a “trading plan”);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such trading plan: (1) is in writing and (2) was submitted to the Company for review prior to its adoption; and </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 xml:space="preserve">purchases, sales or gifts made pursuant to a binding contract, written plan or specific instruction which satisfies the definition of a “non-Rule 10b5-1 trading arrangement” as such term is defined in Item 408(c) of Regulation S-K,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non-Rule 10b5-1 trading arrangement: (1) is in writing and (2) was submitted to the Company for review prior to its adoption</w:t>
      </w:r>
      <w:r>
        <w:rPr>
          <w:rFonts w:ascii="Times New Roman;sans-serif" w:hAnsi="Times New Roman;sans-serif"/>
          <w:b w:val="false"/>
          <w:color w:val="000000"/>
          <w:sz w:val="23"/>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Partnership Distributions</w:t>
      </w:r>
      <w:r>
        <w:rPr>
          <w:rFonts w:ascii="Times New Roman;sans-serif" w:hAnsi="Times New Roman;sans-serif"/>
          <w:b w:val="false"/>
          <w:color w:val="000000"/>
          <w:sz w:val="24"/>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Underwritten Public Offering</w:t>
      </w:r>
      <w:r>
        <w:rPr>
          <w:rFonts w:ascii="Times New Roman;sans-serif" w:hAnsi="Times New Roman;sans-serif"/>
          <w:b w:val="false"/>
          <w:color w:val="000000"/>
          <w:sz w:val="24"/>
        </w:rPr>
        <w:t>. Nothing in this policy is intended to limit the ability of any Covered Person to sell Company securities as a selling stockholder in an underwritten public offering pursuant to an effective registration statement in accordance with applicable securities law.</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5.</w:t>
      </w:r>
      <w:r>
        <w:rPr>
          <w:rFonts w:ascii="Times New Roman;sans-serif" w:hAnsi="Times New Roman;sans-serif"/>
          <w:b/>
          <w:color w:val="000000"/>
          <w:sz w:val="24"/>
        </w:rPr>
        <w:t>NOTICE AND PRE-CLEARANCE OF TRANSACTIONS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Pre-Clearance Persons</w:t>
      </w:r>
      <w:r>
        <w:rPr>
          <w:rFonts w:ascii="Times New Roman;sans-serif" w:hAnsi="Times New Roman;sans-serif"/>
          <w:b w:val="false"/>
          <w:color w:val="000000"/>
          <w:sz w:val="24"/>
        </w:rPr>
        <w:t>. The requirements in Section 5.2 below apply to the following Covered Persons, who are subject to certain additional restrictions as set forth herein (collectively, “Pre-Clearance Persons”):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all Directors;</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all executive officers;</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family members of Directors and executive officers who share the same address as, or are financially dependent on, the Director or executive officer and any other person who shares the same address as the Director or executive officer (other than (x) an employee or tenant of the Director or executive officer or (y) another unrelated person whom the General Counsel determines should not be covered by this policy); and</w:t>
      </w:r>
    </w:p>
    <w:p>
      <w:pPr>
        <w:pStyle w:val="TextBody"/>
        <w:bidi w:val="0"/>
        <w:spacing w:lineRule="auto" w:line="276" w:before="0" w:after="240"/>
        <w:ind w:left="0" w:right="0" w:hanging="720"/>
        <w:jc w:val="left"/>
        <w:rPr/>
      </w:pPr>
      <w:r>
        <w:rPr>
          <w:color w:val="000000"/>
        </w:rPr>
        <w:t>•</w:t>
      </w:r>
      <w:r>
        <w:rPr>
          <w:rFonts w:ascii="Times New Roman;sans-serif" w:hAnsi="Times New Roman;sans-serif"/>
          <w:b w:val="false"/>
          <w:color w:val="000000"/>
          <w:sz w:val="24"/>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Required Clearance and Notification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Pre-Transaction Clearance</w:t>
      </w:r>
      <w:r>
        <w:rPr>
          <w:rFonts w:ascii="Times New Roman;sans-serif" w:hAnsi="Times New Roman;sans-serif"/>
          <w:b w:val="false"/>
          <w:color w:val="000000"/>
          <w:sz w:val="24"/>
        </w:rPr>
        <w:t xml:space="preserve">. No Pre-Clearance Person may purchase, sell, gift, transfer, or otherwise acquire or dispose of securities of the Company, either directly or indirectly, other than in a transaction permitted under Section 4.1, unless such Pre-Clearance Person pre-clears the transaction with either the Chief Financial Officer or the General Counsel. A request for pre-clearance may be oral or in writing (including by e-mail), should be made at least two business days in advance of the proposed transaction and should include the identity of the Pre-Clearance Person, the type of proposed transaction (an open market purchase, a privately negotiated sale, an option exercise, etc.), the proposed date of the transaction, the number of options or shares to be involved and the purchase or sale price (if applicable). The Chief Financial Officer and the General Counsel (or either of them) shall have sole discretion to decide whether to clear any contemplated transaction. The General Counsel shall have sole discretion to decide whether to clear transactions by the Chief Financial Officer or by Pre-Clearance Persons subject to this Section 5 as a result of their relationship with the Chief Financial Officer, and the Chief Financial Officer shall have sole discretion to decide whether to clear transactions by the General Counsel or by Pre-Clearance Persons subject to this Section 5 as a result of their relationship with the General Counsel. All transactions that are pre-cleared must be effected within three business days of receipt of the pre-clearance unless a longer or shorter period has been specified by the General Counsel or the Chief Financial Officer. A pre-cleared transaction (or any portion of a pre-cleared transaction) that has not been effected during the three business day period must be pre-cleared again prior to execution. </w:t>
      </w:r>
      <w:r>
        <w:rPr>
          <w:rFonts w:ascii="Times New Roman;sans-serif" w:hAnsi="Times New Roman;sans-serif"/>
          <w:b/>
          <w:color w:val="000000"/>
          <w:sz w:val="24"/>
        </w:rPr>
        <w:t xml:space="preserve">Notwithstanding receipt of pre-clearance, if the Pre-Clearance Person becomes aware of material non-public information or becomes subject to a blackout period before the transaction is effected, the transaction may not be completed. </w:t>
      </w:r>
    </w:p>
    <w:p>
      <w:pPr>
        <w:pStyle w:val="TextBody"/>
        <w:bidi w:val="0"/>
        <w:spacing w:lineRule="auto" w:line="288" w:before="0" w:after="18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Post-Transaction Notice</w:t>
      </w:r>
      <w:r>
        <w:rPr>
          <w:rFonts w:ascii="Times New Roman;sans-serif" w:hAnsi="Times New Roman;sans-serif"/>
          <w:b w:val="false"/>
          <w:color w:val="000000"/>
          <w:sz w:val="24"/>
        </w:rPr>
        <w:t>. Each Pre-Clearance Person who is subject to reporting obligations under Section 16 of the Exchange Act shall also notify the Chief Financial Officer or the General Counsel (or the designee of the Chief Financial Officer or the General Counsel) of the occurrence of any purchase, sale, gift, transfer, or other acquisition or disposition of securities of the Company as soon as possible following the transaction, but in any event within one business day after the transaction. Such notification may be oral or in writing (including by 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mail) and should include the identity of the Pre-Clearance Person,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(and if so, the date of adoption of such contract, instruction or written plan) or to constitute a non-Rule 10b5-1 trading arrangement (as defined in Item 408(c) of Regulation S-K).</w:t>
      </w:r>
    </w:p>
    <w:p>
      <w:pPr>
        <w:pStyle w:val="TextBody"/>
        <w:bidi w:val="0"/>
        <w:spacing w:lineRule="auto" w:line="288" w:before="0" w:after="18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Deemed Time of a Transaction</w:t>
      </w:r>
      <w:r>
        <w:rPr>
          <w:rFonts w:ascii="Times New Roman;sans-serif" w:hAnsi="Times New Roman;sans-serif"/>
          <w:b w:val="false"/>
          <w:color w:val="000000"/>
          <w:sz w:val="24"/>
        </w:rPr>
        <w:t>. For purposes of this Section 5.2, a purchase, sale, gift, transfer,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lineRule="auto" w:line="240" w:before="0" w:after="180"/>
        <w:ind w:left="0" w:right="0" w:hanging="720"/>
        <w:jc w:val="left"/>
        <w:rPr/>
      </w:pPr>
      <w:r>
        <w:rPr>
          <w:rFonts w:ascii="Times New Roman;sans-serif" w:hAnsi="Times New Roman;sans-serif"/>
          <w:b w:val="false"/>
          <w:color w:val="000000"/>
          <w:sz w:val="24"/>
        </w:rPr>
        <w:t>6.</w:t>
      </w:r>
      <w:r>
        <w:rPr>
          <w:rFonts w:ascii="Times New Roman;sans-serif" w:hAnsi="Times New Roman;sans-serif"/>
          <w:b/>
          <w:color w:val="000000"/>
          <w:sz w:val="24"/>
        </w:rPr>
        <w:t>PENALTIES FOR VIOLATION</w:t>
      </w:r>
    </w:p>
    <w:p>
      <w:pPr>
        <w:pStyle w:val="TextBody"/>
        <w:bidi w:val="0"/>
        <w:spacing w:lineRule="auto" w:line="288" w:before="0" w:after="18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pStyle w:val="TextBody"/>
        <w:bidi w:val="0"/>
        <w:spacing w:lineRule="auto" w:line="240" w:before="0" w:after="180"/>
        <w:ind w:left="0" w:right="0" w:hanging="720"/>
        <w:jc w:val="left"/>
        <w:rPr/>
      </w:pPr>
      <w:r>
        <w:rPr>
          <w:rFonts w:ascii="Times New Roman;sans-serif" w:hAnsi="Times New Roman;sans-serif"/>
          <w:b w:val="false"/>
          <w:color w:val="000000"/>
          <w:sz w:val="24"/>
        </w:rPr>
        <w:t>7.</w:t>
      </w:r>
      <w:r>
        <w:rPr>
          <w:rFonts w:ascii="Times New Roman;sans-serif" w:hAnsi="Times New Roman;sans-serif"/>
          <w:b/>
          <w:color w:val="000000"/>
          <w:sz w:val="24"/>
        </w:rPr>
        <w:t>COMPANY ASSISTANCE AND EDUCATION</w:t>
      </w:r>
    </w:p>
    <w:p>
      <w:pPr>
        <w:pStyle w:val="TextBody"/>
        <w:bidi w:val="0"/>
        <w:spacing w:lineRule="auto" w:line="288" w:before="0" w:after="180"/>
        <w:ind w:left="0" w:right="0" w:firstLine="720"/>
        <w:jc w:val="left"/>
        <w:rPr/>
      </w:pPr>
      <w:r>
        <w:rPr>
          <w:rFonts w:ascii="Times New Roman;sans-serif" w:hAnsi="Times New Roman;sans-serif"/>
          <w:b w:val="false"/>
          <w:color w:val="000000"/>
          <w:sz w:val="24"/>
        </w:rPr>
        <w:t>7.1</w:t>
      </w:r>
      <w:r>
        <w:rPr>
          <w:rFonts w:ascii="Times New Roman;sans-serif" w:hAnsi="Times New Roman;sans-serif"/>
          <w:b w:val="false"/>
          <w:color w:val="000000"/>
          <w:sz w:val="24"/>
          <w:u w:val="single"/>
        </w:rPr>
        <w:t>Education</w:t>
      </w:r>
      <w:r>
        <w:rPr>
          <w:rFonts w:ascii="Times New Roman;sans-serif" w:hAnsi="Times New Roman;sans-serif"/>
          <w:b w:val="false"/>
          <w:color w:val="000000"/>
          <w:sz w:val="24"/>
        </w:rPr>
        <w:t xml:space="preserve">. The Company shall take reasonable steps designed to ensure that all Directors and employees of the Company are educated about, and periodically reminded of, the federal securities law restrictions and Company policies regarding insider trading. Directors and employees shall be required to certify their understanding of, and intent to comply with, the Company’s insider trading policy. </w:t>
      </w:r>
    </w:p>
    <w:p>
      <w:pPr>
        <w:pStyle w:val="TextBody"/>
        <w:bidi w:val="0"/>
        <w:spacing w:lineRule="auto" w:line="288" w:before="0" w:after="180"/>
        <w:ind w:left="0" w:right="0" w:firstLine="720"/>
        <w:jc w:val="left"/>
        <w:rPr/>
      </w:pPr>
      <w:r>
        <w:rPr>
          <w:rFonts w:ascii="Times New Roman;sans-serif" w:hAnsi="Times New Roman;sans-serif"/>
          <w:b w:val="false"/>
          <w:color w:val="000000"/>
          <w:sz w:val="24"/>
        </w:rPr>
        <w:t>7.2</w:t>
      </w:r>
      <w:r>
        <w:rPr>
          <w:rFonts w:ascii="Times New Roman;sans-serif" w:hAnsi="Times New Roman;sans-serif"/>
          <w:b w:val="false"/>
          <w:color w:val="000000"/>
          <w:sz w:val="24"/>
          <w:u w:val="single"/>
        </w:rPr>
        <w:t>Assistance</w:t>
      </w:r>
      <w:r>
        <w:rPr>
          <w:rFonts w:ascii="Times New Roman;sans-serif" w:hAnsi="Times New Roman;sans-serif"/>
          <w:b w:val="false"/>
          <w:color w:val="000000"/>
          <w:sz w:val="24"/>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pStyle w:val="TextBody"/>
        <w:bidi w:val="0"/>
        <w:spacing w:lineRule="auto" w:line="288" w:before="0" w:after="180"/>
        <w:ind w:left="0" w:right="0" w:firstLine="720"/>
        <w:jc w:val="left"/>
        <w:rPr/>
      </w:pPr>
      <w:r>
        <w:rPr>
          <w:rFonts w:ascii="Times New Roman;sans-serif" w:hAnsi="Times New Roman;sans-serif"/>
          <w:b w:val="false"/>
          <w:color w:val="000000"/>
          <w:sz w:val="24"/>
        </w:rPr>
        <w:t>7.3</w:t>
      </w:r>
      <w:r>
        <w:rPr>
          <w:rFonts w:ascii="Times New Roman;sans-serif" w:hAnsi="Times New Roman;sans-serif"/>
          <w:b w:val="false"/>
          <w:color w:val="000000"/>
          <w:sz w:val="24"/>
          <w:u w:val="single"/>
        </w:rPr>
        <w:t>Questions and Guidance</w:t>
      </w:r>
      <w:r>
        <w:rPr>
          <w:rFonts w:ascii="Times New Roman;sans-serif" w:hAnsi="Times New Roman;sans-serif"/>
          <w:b w:val="false"/>
          <w:color w:val="000000"/>
          <w:sz w:val="24"/>
        </w:rPr>
        <w:t>. Any person who has a question about this Policy or its application to any proposed transaction may obtain additional guidance from the Compliance Officer, who can be reached by telephone at (802) 772-2215 or by e-mail at Shelley.Sayward@casella.com.</w:t>
      </w:r>
    </w:p>
    <w:p>
      <w:pPr>
        <w:pStyle w:val="TextBody"/>
        <w:bidi w:val="0"/>
        <w:spacing w:lineRule="auto" w:line="288" w:before="0" w:after="180"/>
        <w:ind w:left="0" w:right="0" w:firstLine="720"/>
        <w:jc w:val="left"/>
        <w:rPr/>
      </w:pPr>
      <w:r>
        <w:rPr>
          <w:rFonts w:ascii="Times New Roman;sans-serif" w:hAnsi="Times New Roman;sans-serif"/>
          <w:b w:val="false"/>
          <w:color w:val="000000"/>
          <w:sz w:val="24"/>
        </w:rPr>
        <w:t>7.4</w:t>
      </w:r>
      <w:r>
        <w:rPr>
          <w:rFonts w:ascii="Times New Roman;sans-serif" w:hAnsi="Times New Roman;sans-serif"/>
          <w:b w:val="false"/>
          <w:color w:val="000000"/>
          <w:sz w:val="24"/>
          <w:u w:val="single"/>
        </w:rPr>
        <w:t>Limitation on Liability</w:t>
      </w:r>
      <w:r>
        <w:rPr>
          <w:rFonts w:ascii="Times New Roman;sans-serif" w:hAnsi="Times New Roman;sans-serif"/>
          <w:b w:val="false"/>
          <w:color w:val="000000"/>
          <w:sz w:val="24"/>
        </w:rPr>
        <w:t>. None of the Company, the Chief Financial Officer, the General Counsel or the Company’s other executive officers, employees, representatives or agents will have any liability for any delay in reviewing, or refusal of, a request to allow a pledge submitted pursuant to Section 3.3, a trading plan submitted pursuant to Section 4.1 or a request for pre-clearance submitted pursuant to Section 5.2(a). Notwithstanding any pre-clearance of a transaction pursuant to Section 5.2(a) or review of a request to allow a pledge pursuant to Section 3.3 or a trading plan pursuant to Section 4.1, none of the Company, the Chief Financial Officer, the General Counsel or the Company’s other executive officers, employees, representatives or agents assumes any liability for the legality or consequences of such transaction or trading plan to the person engaging in or adopting such transaction or trading plan.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8.</w:t>
      </w:r>
      <w:r>
        <w:rPr>
          <w:rFonts w:ascii="Times New Roman;sans-serif" w:hAnsi="Times New Roman;sans-serif"/>
          <w:b/>
          <w:color w:val="000000"/>
          <w:sz w:val="24"/>
        </w:rPr>
        <w:t>REGULATION BTR</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the service of such person as a Director or officer of the Company, except as permitted by Regulation BTR.</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Terms used in the Amended and Restated Insider Trading Policy (as of the date of adoption of the Policy):</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    Page 1: The reference to “persons subject to Section 16 of the Securities Exchange Act of 1934” means the following (Section 16 is the section which requires the filing of Forms 3, 4 and 5 in connection with sales/purchases of securities):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Every person who is directly or indirectly the beneficial owner of more than 10 percent of any class of any equity security (other than an exempted security) which is registered pursuant to Section 12, or who is a director or an officer of the issuer of such security, shall file the statements required by this subsection with the Commission.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3.    Section 2.4: The reference to short sales relates to Section 16(c) of the Exchange Act, and reads as follows: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It shall be unlawful for any such beneficial owner, director, or officer, directly or indirectly, to sell any equity security of such issuer (other than an exempted security), if the person selling the security or his principal: (1) does not own the security sold, or (2) if owning the security, does not deliver it against such sale within 20 days thereafter, or does not within five days after such sale deposit it in the mails or other usual channels of transportation; but no person shall be deemed to have violated this subsection if he proves that notwithstanding the exercise of good faith he was unable to make such delivery or deposit within such time, or that to do so would cause undue inconvenience or expense.</w:t>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Subsidiaries of Registrant </w:t>
      </w:r>
    </w:p>
    <w:tbl>
      <w:tblPr>
        <w:tblW w:w="6775" w:type="dxa"/>
        <w:jc w:val="left"/>
        <w:tblInd w:w="0" w:type="dxa"/>
        <w:tblLayout w:type="fixed"/>
        <w:tblCellMar>
          <w:top w:w="28" w:type="dxa"/>
          <w:left w:w="28" w:type="dxa"/>
          <w:bottom w:w="28" w:type="dxa"/>
          <w:right w:w="28" w:type="dxa"/>
        </w:tblCellMar>
      </w:tblPr>
      <w:tblGrid>
        <w:gridCol w:w="1515"/>
        <w:gridCol w:w="1330"/>
        <w:gridCol w:w="1339"/>
        <w:gridCol w:w="109"/>
        <w:gridCol w:w="109"/>
        <w:gridCol w:w="109"/>
        <w:gridCol w:w="663"/>
        <w:gridCol w:w="663"/>
        <w:gridCol w:w="938"/>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Incorporation</w:t>
            </w:r>
          </w:p>
        </w:tc>
      </w:tr>
      <w:tr>
        <w:trPr/>
        <w:tc>
          <w:tcPr>
            <w:tcW w:w="4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 Church Street,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AGreen Energy,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 Cycle Waste,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BGreen Energy,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Blow Bros.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Brattleboro Salvage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Bristol Waste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C.V. Landfill,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Major Account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Mid-Atlantic,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of Holyoke,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Recycling,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Transportation,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Waste Management of Massachusetts,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Waste Management of N.Y.,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Waste Management of Pennsylvania,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Waste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Casella Waste Services of Ontario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Chemung Landfill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County Waste of Pennsylvania,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Evergreen National Indemnity Company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Forest Acquisitions,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Granite State Landfill,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GreenerU,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GroundCo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Hakes C &amp; D Disposal,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Hardwick Landfill,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Hiram Hollow Regeneration Corp.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Hopewell Industry Properties,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Kejem Properties,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KTI Environmental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KTI Specialty Waste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KTI,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England Waste Services of ME,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England Waste Services of N.Y.,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England Waste Services of Vermont,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England Waste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Newbury Waste Management,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NEWS of Worcester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NEWSME Landfill Operations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Country Environmental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Northern Properties Corporation of Plattsburgh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Rd,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Oxford Transfer Station,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Panichi Holding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Tree Waste,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Pink Trash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Portland C&amp;D Site,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Schultz Landfill,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Southbridge Recycling &amp; Disposal Park,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Southern Tier Recyclers,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Sunderland Waste Management,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 Organics,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 Recycling,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Taylor Garbage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Hyland Facility Associates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Tompkins County Recycling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Valley 82 Holding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Waste Industries of Delaware,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Waste Industries of Maryland,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Waste Industries of Pennsylvania,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Waste-Stream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Watch Hill Holding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Whitetail Disposal,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Willimantic Waste Paper 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24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on Form S-8 (Nos. 333-40267, 333-43537, 333-43539, 333-43541, 333-43543, 333-43635, 333-67487, 333-92735, 333-31022, 333-100553, 333-141038, 333-163645, 333-175010, 333-199685, 333-214683, 333-272392, and 333-281229) and on Form S-3 (Nos. 333-85279, 333-88097, 333-95841, 333-31268, and 333-282928) of Casella Waste Systems, Inc. of our reports dated February 18, 2025, relating to the consolidated financial statements, and the effectiveness of internal control over financial reporting of Casella Waste Systems, Inc. and subsidiaries, appearing in this Annual Report on Form 10-K of Casella Waste Systems, Inc. for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RSM US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W. Casella,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Casella Waste Systems,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96" w:type="dxa"/>
        <w:jc w:val="left"/>
        <w:tblInd w:w="0" w:type="dxa"/>
        <w:tblLayout w:type="fixed"/>
        <w:tblCellMar>
          <w:top w:w="28" w:type="dxa"/>
          <w:left w:w="28" w:type="dxa"/>
          <w:bottom w:w="28" w:type="dxa"/>
          <w:right w:w="28" w:type="dxa"/>
        </w:tblCellMar>
      </w:tblPr>
      <w:tblGrid>
        <w:gridCol w:w="754"/>
        <w:gridCol w:w="664"/>
        <w:gridCol w:w="667"/>
        <w:gridCol w:w="1078"/>
        <w:gridCol w:w="1078"/>
        <w:gridCol w:w="1083"/>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18,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Bradford J. Helgeson,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Casella Waste Systems,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912" w:type="dxa"/>
        <w:jc w:val="left"/>
        <w:tblInd w:w="0" w:type="dxa"/>
        <w:tblLayout w:type="fixed"/>
        <w:tblCellMar>
          <w:top w:w="28" w:type="dxa"/>
          <w:left w:w="28" w:type="dxa"/>
          <w:bottom w:w="28" w:type="dxa"/>
          <w:right w:w="28" w:type="dxa"/>
        </w:tblCellMar>
      </w:tblPr>
      <w:tblGrid>
        <w:gridCol w:w="754"/>
        <w:gridCol w:w="664"/>
        <w:gridCol w:w="667"/>
        <w:gridCol w:w="1483"/>
        <w:gridCol w:w="1483"/>
        <w:gridCol w:w="1489"/>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18, 2025</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STATEMENT PURSUANT TO 18 U.S.C. §1350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§1350, each of the undersigned certifies that, to his knowledge, this Annual Report on Form 10-K for the fiscal year ended December 31, 2024 fully complies with the requirements of Section 13(a) or 15(d) of the Securities Exchange Act of 1934 and that the information contained in this report fairly presents, in all material respects, the financial condition and results of operations of Casella Waste Systems, Inc. </w:t>
      </w:r>
    </w:p>
    <w:tbl>
      <w:tblPr>
        <w:tblW w:w="6912" w:type="dxa"/>
        <w:jc w:val="left"/>
        <w:tblInd w:w="0" w:type="dxa"/>
        <w:tblLayout w:type="fixed"/>
        <w:tblCellMar>
          <w:top w:w="28" w:type="dxa"/>
          <w:left w:w="28" w:type="dxa"/>
          <w:bottom w:w="28" w:type="dxa"/>
          <w:right w:w="28" w:type="dxa"/>
        </w:tblCellMar>
      </w:tblPr>
      <w:tblGrid>
        <w:gridCol w:w="754"/>
        <w:gridCol w:w="664"/>
        <w:gridCol w:w="667"/>
        <w:gridCol w:w="1483"/>
        <w:gridCol w:w="1483"/>
        <w:gridCol w:w="1489"/>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18, 2025</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18, 2025</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1177/000091117723000093/cwst-ex21063023.htm" TargetMode="External"/><Relationship Id="rId4" Type="http://schemas.openxmlformats.org/officeDocument/2006/relationships/hyperlink" Target="https://www.sec.gov/Archives/edgar/data/911177/000104746907009844/a2181401zex-3_1.htm" TargetMode="External"/><Relationship Id="rId5" Type="http://schemas.openxmlformats.org/officeDocument/2006/relationships/hyperlink" Target="https://www.sec.gov/Archives/edgar/data/911177/000091117723000012/cwst-ex32123122.htm" TargetMode="External"/><Relationship Id="rId6" Type="http://schemas.openxmlformats.org/officeDocument/2006/relationships/hyperlink" Target="https://www.sec.gov/Archives/edgar/data/911177/000091117723000012/cwst-ex32123122.htm" TargetMode="External"/><Relationship Id="rId7" Type="http://schemas.openxmlformats.org/officeDocument/2006/relationships/hyperlink" Target="https://www.sec.gov/Archives/edgar/data/911177/000091117723000012/cwst-ex32123122.htm" TargetMode="External"/><Relationship Id="rId8" Type="http://schemas.openxmlformats.org/officeDocument/2006/relationships/hyperlink" Target="https://www.sec.gov/Archives/edgar/data/911177/0001029869-97-001166.txt" TargetMode="External"/><Relationship Id="rId9" Type="http://schemas.openxmlformats.org/officeDocument/2006/relationships/hyperlink" Target="https://www.sec.gov/Archives/edgar/data/911177/000091205700038357/ex-4_1.txt" TargetMode="External"/><Relationship Id="rId10" Type="http://schemas.openxmlformats.org/officeDocument/2006/relationships/hyperlink" Target="https://www.sec.gov/Archives/edgar/data/911177/000091117721000009/cwst-ex043123120final.htm" TargetMode="External"/><Relationship Id="rId11" Type="http://schemas.openxmlformats.org/officeDocument/2006/relationships/hyperlink" Target="https://www.sec.gov/Archives/edgar/data/911177/000119312515305083/d68513dex41.htm" TargetMode="External"/><Relationship Id="rId12" Type="http://schemas.openxmlformats.org/officeDocument/2006/relationships/hyperlink" Target="https://www.sec.gov/Archives/edgar/data/911177/000119312515305083/d68513dex42.htm" TargetMode="External"/><Relationship Id="rId13" Type="http://schemas.openxmlformats.org/officeDocument/2006/relationships/hyperlink" Target="https://www.sec.gov/Archives/edgar/data/911177/000119312514446866/d839310dex41.htm" TargetMode="External"/><Relationship Id="rId14" Type="http://schemas.openxmlformats.org/officeDocument/2006/relationships/hyperlink" Target="https://www.sec.gov/Archives/edgar/data/911177/000119312516611235/d202767dex41.htm" TargetMode="External"/><Relationship Id="rId15" Type="http://schemas.openxmlformats.org/officeDocument/2006/relationships/hyperlink" Target="https://www.sec.gov/Archives/edgar/data/911177/000119312514373867/d805861dex101.htm" TargetMode="External"/><Relationship Id="rId16" Type="http://schemas.openxmlformats.org/officeDocument/2006/relationships/hyperlink" Target="https://www.sec.gov/Archives/edgar/data/911177/000119312513144248/d516725dex101.htm" TargetMode="External"/><Relationship Id="rId17" Type="http://schemas.openxmlformats.org/officeDocument/2006/relationships/hyperlink" Target="https://www.sec.gov/Archives/edgar/data/911177/000119312514251471/d708462dex48.htm" TargetMode="External"/><Relationship Id="rId18" Type="http://schemas.openxmlformats.org/officeDocument/2006/relationships/hyperlink" Target="https://www.sec.gov/Archives/edgar/data/911177/000119312513144248/d516725dex102.htm" TargetMode="External"/><Relationship Id="rId19" Type="http://schemas.openxmlformats.org/officeDocument/2006/relationships/hyperlink" Target="https://www.sec.gov/Archives/edgar/data/911177/000110465906000398/a05-22599_1ex10d1.htm" TargetMode="External"/><Relationship Id="rId20" Type="http://schemas.openxmlformats.org/officeDocument/2006/relationships/hyperlink" Target="https://www.sec.gov/Archives/edgar/data/911177/000091117724000129/exhibit41financingagreemen.htm" TargetMode="External"/><Relationship Id="rId21" Type="http://schemas.openxmlformats.org/officeDocument/2006/relationships/hyperlink" Target="https://www.sec.gov/Archives/edgar/data/911177/000141057812000058/a12-2158_1ex10d1.htm" TargetMode="External"/><Relationship Id="rId22" Type="http://schemas.openxmlformats.org/officeDocument/2006/relationships/hyperlink" Target="https://www.sec.gov/Archives/edgar/data/911177/000091117717000010/cwst17-0207_x8kex4d2.htm" TargetMode="External"/><Relationship Id="rId23" Type="http://schemas.openxmlformats.org/officeDocument/2006/relationships/hyperlink" Target="https://www.sec.gov/Archives/edgar/data/911177/000091117717000010/cwst17-0207_x8kex4d1.htm" TargetMode="External"/><Relationship Id="rId24" Type="http://schemas.openxmlformats.org/officeDocument/2006/relationships/hyperlink" Target="https://www.sec.gov/Archives/edgar/data/911177/000091117720000074/exhibit41loanagreement.htm" TargetMode="External"/><Relationship Id="rId25" Type="http://schemas.openxmlformats.org/officeDocument/2006/relationships/hyperlink" Target="https://www.sec.gov/Archives/edgar/data/911177/000091117720000074/exhibit42guarantyagree.htm" TargetMode="External"/><Relationship Id="rId26" Type="http://schemas.openxmlformats.org/officeDocument/2006/relationships/hyperlink" Target="https://www.sec.gov/Archives/edgar/data/911177/000091117722000031/cwst-ex41loanagreement.htm" TargetMode="External"/><Relationship Id="rId27" Type="http://schemas.openxmlformats.org/officeDocument/2006/relationships/hyperlink" Target="https://www.sec.gov/Archives/edgar/data/911177/000091117722000031/cwst-ex42guarantyagreement.htm" TargetMode="External"/><Relationship Id="rId28" Type="http://schemas.openxmlformats.org/officeDocument/2006/relationships/hyperlink" Target="https://www.sec.gov/Archives/edgar/data/911177/000091117723000129/exhibit42guarantyagreement.htm" TargetMode="External"/><Relationship Id="rId29" Type="http://schemas.openxmlformats.org/officeDocument/2006/relationships/hyperlink" Target="https://www.sec.gov/Archives/edgar/data/911177/000091117724000129/exhibit42guarantyagreement.htm" TargetMode="External"/><Relationship Id="rId30" Type="http://schemas.openxmlformats.org/officeDocument/2006/relationships/hyperlink" Target="https://www.sec.gov/Archives/edgar/data/911177/0001029869-97-000958.txt" TargetMode="External"/><Relationship Id="rId31" Type="http://schemas.openxmlformats.org/officeDocument/2006/relationships/hyperlink" Target="https://www.sec.gov/Archives/edgar/data/911177/000107261300000765/0001072613-00-000765-0002.txt" TargetMode="External"/><Relationship Id="rId32" Type="http://schemas.openxmlformats.org/officeDocument/2006/relationships/hyperlink" Target="https://www.sec.gov/Archives/edgar/data/911177/000110465909015154/a09-6583_1ex10d3.htm" TargetMode="External"/><Relationship Id="rId33" Type="http://schemas.openxmlformats.org/officeDocument/2006/relationships/hyperlink" Target="https://www.sec.gov/Archives/edgar/data/911177/000119312516490223/d27133dex1013.htm" TargetMode="External"/><Relationship Id="rId34" Type="http://schemas.openxmlformats.org/officeDocument/2006/relationships/hyperlink" Target="https://www.sec.gov/Archives/edgar/data/911177/000119312514251471/d708462dex1014.htm" TargetMode="External"/><Relationship Id="rId35" Type="http://schemas.openxmlformats.org/officeDocument/2006/relationships/hyperlink" Target="https://www.sec.gov/Archives/edgar/data/911177/000119312514251471/d708462dex1015.htm" TargetMode="External"/><Relationship Id="rId36" Type="http://schemas.openxmlformats.org/officeDocument/2006/relationships/hyperlink" Target="https://www.sec.gov/Archives/edgar/data/911177/000119312514251471/d708462dex1016.htm" TargetMode="External"/><Relationship Id="rId37" Type="http://schemas.openxmlformats.org/officeDocument/2006/relationships/hyperlink" Target="https://www.sec.gov/Archives/edgar/data/911177/000119312514251471/d708462dex1017.htm" TargetMode="External"/><Relationship Id="rId38" Type="http://schemas.openxmlformats.org/officeDocument/2006/relationships/hyperlink" Target="https://www.sec.gov/Archives/edgar/data/911177/000119312514251471/d708462dex1018.htm" TargetMode="External"/><Relationship Id="rId39" Type="http://schemas.openxmlformats.org/officeDocument/2006/relationships/hyperlink" Target="https://www.sec.gov/Archives/edgar/data/911177/000119312514251471/d708462dex1019.htm" TargetMode="External"/><Relationship Id="rId40" Type="http://schemas.openxmlformats.org/officeDocument/2006/relationships/hyperlink" Target="https://www.sec.gov/Archives/edgar/data/911177/000110465908057068/a08-22715_1ex10d2.htm" TargetMode="External"/><Relationship Id="rId41" Type="http://schemas.openxmlformats.org/officeDocument/2006/relationships/hyperlink" Target="https://www.sec.gov/Archives/edgar/data/911177/000119312516495282/d137543dex102.htm" TargetMode="External"/><Relationship Id="rId42" Type="http://schemas.openxmlformats.org/officeDocument/2006/relationships/hyperlink" Target="https://www.sec.gov/Archives/edgar/data/911177/000119312516495282/d137543dex103.htm" TargetMode="External"/><Relationship Id="rId43" Type="http://schemas.openxmlformats.org/officeDocument/2006/relationships/hyperlink" Target="https://www.sec.gov/Archives/edgar/data/911177/000091117722000037/cwst-ex101062022.htm" TargetMode="External"/><Relationship Id="rId44" Type="http://schemas.openxmlformats.org/officeDocument/2006/relationships/hyperlink" Target="https://www.sec.gov/Archives/edgar/data/911177/000091117722000053/cwst-ex105063022.htm" TargetMode="External"/><Relationship Id="rId45" Type="http://schemas.openxmlformats.org/officeDocument/2006/relationships/hyperlink" Target="https://www.sec.gov/Archives/edgar/data/911177/000091117722000039/cwst-ex101041822.htm" TargetMode="External"/><Relationship Id="rId46" Type="http://schemas.openxmlformats.org/officeDocument/2006/relationships/hyperlink" Target="https://www.sec.gov/Archives/edgar/data/911177/000091117721000009/cwst-ex1025123120.htm" TargetMode="External"/><Relationship Id="rId47" Type="http://schemas.openxmlformats.org/officeDocument/2006/relationships/hyperlink" Target="https://www.sec.gov/Archives/edgar/data/911177/000091117721000048/cwst-ex101093021.htm" TargetMode="External"/><Relationship Id="rId48" Type="http://schemas.openxmlformats.org/officeDocument/2006/relationships/hyperlink" Target="https://www.sec.gov/Archives/edgar/data/911177/000091117722000013/cwst-ex101033122.htm" TargetMode="External"/><Relationship Id="rId49" Type="http://schemas.openxmlformats.org/officeDocument/2006/relationships/hyperlink" Target="https://www.sec.gov/Archives/edgar/data/911177/000091117722000039/cwst-ex102041822.htm" TargetMode="External"/><Relationship Id="rId50" Type="http://schemas.openxmlformats.org/officeDocument/2006/relationships/hyperlink" Target="https://www.sec.gov/Archives/edgar/data/911177/000119312516495282/d137543dex101.htm" TargetMode="External"/><Relationship Id="rId51" Type="http://schemas.openxmlformats.org/officeDocument/2006/relationships/hyperlink" Target="https://www.sec.gov/Archives/edgar/data/911177/000091117716000011/cwst16-1117_1s8xex99d1.htm" TargetMode="External"/><Relationship Id="rId52" Type="http://schemas.openxmlformats.org/officeDocument/2006/relationships/hyperlink" Target="https://www.sec.gov/Archives/edgar/data/911177/000091117716000011/cwst16-1117_1s8xex99d1.htm" TargetMode="External"/><Relationship Id="rId53" Type="http://schemas.openxmlformats.org/officeDocument/2006/relationships/hyperlink" Target="https://www.sec.gov/Archives/edgar/data/911177/000091117716000011/cwst16-1117_1s8xex99d1.htm" TargetMode="External"/><Relationship Id="rId54" Type="http://schemas.openxmlformats.org/officeDocument/2006/relationships/hyperlink" Target="https://www.sec.gov/Archives/edgar/data/911177/000091117716000015/cwst16-1122_8kxex10d1.htm" TargetMode="External"/><Relationship Id="rId55" Type="http://schemas.openxmlformats.org/officeDocument/2006/relationships/hyperlink" Target="https://www.sec.gov/Archives/edgar/data/911177/000091117716000015/cwst16-1122_8kxex10d1.htm" TargetMode="External"/><Relationship Id="rId56" Type="http://schemas.openxmlformats.org/officeDocument/2006/relationships/hyperlink" Target="https://www.sec.gov/Archives/edgar/data/911177/000091117716000015/cwst16-1122_8kxex10d1.htm" TargetMode="External"/><Relationship Id="rId57" Type="http://schemas.openxmlformats.org/officeDocument/2006/relationships/hyperlink" Target="https://www.sec.gov/Archives/edgar/data/911177/000091117716000015/cwst16-1122_8kxex10d2.htm" TargetMode="External"/><Relationship Id="rId58" Type="http://schemas.openxmlformats.org/officeDocument/2006/relationships/hyperlink" Target="https://www.sec.gov/Archives/edgar/data/911177/000091117716000015/cwst16-1122_8kxex10d2.htm" TargetMode="External"/><Relationship Id="rId59" Type="http://schemas.openxmlformats.org/officeDocument/2006/relationships/hyperlink" Target="https://www.sec.gov/Archives/edgar/data/911177/000091117716000015/cwst16-1122_8kxex10d2.htm" TargetMode="External"/><Relationship Id="rId60" Type="http://schemas.openxmlformats.org/officeDocument/2006/relationships/hyperlink" Target="https://www.sec.gov/Archives/edgar/data/911177/000091117716000015/cwst16-1122_8kxex10d3.htm" TargetMode="External"/><Relationship Id="rId61" Type="http://schemas.openxmlformats.org/officeDocument/2006/relationships/hyperlink" Target="https://www.sec.gov/Archives/edgar/data/911177/000091117716000015/cwst16-1122_8kxex10d3.htm" TargetMode="External"/><Relationship Id="rId62" Type="http://schemas.openxmlformats.org/officeDocument/2006/relationships/hyperlink" Target="https://www.sec.gov/Archives/edgar/data/911177/000091117716000015/cwst16-1122_8kxex10d3.htm" TargetMode="External"/><Relationship Id="rId63" Type="http://schemas.openxmlformats.org/officeDocument/2006/relationships/hyperlink" Target="https://www.sec.gov/Archives/edgar/data/911177/000091117716000015/cwst16-1122_8kxex10d4.htm" TargetMode="External"/><Relationship Id="rId64" Type="http://schemas.openxmlformats.org/officeDocument/2006/relationships/hyperlink" Target="https://www.sec.gov/Archives/edgar/data/911177/000091117716000015/cwst16-1122_8kxex10d4.htm" TargetMode="External"/><Relationship Id="rId65" Type="http://schemas.openxmlformats.org/officeDocument/2006/relationships/hyperlink" Target="https://www.sec.gov/Archives/edgar/data/911177/000091117716000015/cwst16-1122_8kxex10d4.htm" TargetMode="External"/><Relationship Id="rId66" Type="http://schemas.openxmlformats.org/officeDocument/2006/relationships/hyperlink" Target="https://www.sec.gov/Archives/edgar/data/911177/000091117716000015/cwst16-1122_8kxex10d5.htm" TargetMode="External"/><Relationship Id="rId67" Type="http://schemas.openxmlformats.org/officeDocument/2006/relationships/hyperlink" Target="https://www.sec.gov/Archives/edgar/data/911177/000091117716000015/cwst16-1122_8kxex10d5.htm" TargetMode="External"/><Relationship Id="rId68" Type="http://schemas.openxmlformats.org/officeDocument/2006/relationships/hyperlink" Target="https://www.sec.gov/Archives/edgar/data/911177/000091117716000015/cwst16-1122_8kxex10d5.htm" TargetMode="External"/><Relationship Id="rId69" Type="http://schemas.openxmlformats.org/officeDocument/2006/relationships/hyperlink" Target="https://www.sec.gov/Archives/edgar/data/911177/000091117716000015/cwst16-1122_8kxex10d6.htm" TargetMode="External"/><Relationship Id="rId70" Type="http://schemas.openxmlformats.org/officeDocument/2006/relationships/hyperlink" Target="https://www.sec.gov/Archives/edgar/data/911177/000091117716000015/cwst16-1122_8kxex10d6.htm" TargetMode="External"/><Relationship Id="rId71" Type="http://schemas.openxmlformats.org/officeDocument/2006/relationships/hyperlink" Target="https://www.sec.gov/Archives/edgar/data/911177/000091117716000015/cwst16-1122_8kxex10d6.htm" TargetMode="External"/><Relationship Id="rId72" Type="http://schemas.openxmlformats.org/officeDocument/2006/relationships/hyperlink" Target="https://www.sec.gov/Archives/edgar/data/911177/000091117716000015/cwst16-1122_8kxex10d7.htm" TargetMode="External"/><Relationship Id="rId73" Type="http://schemas.openxmlformats.org/officeDocument/2006/relationships/hyperlink" Target="https://www.sec.gov/Archives/edgar/data/911177/000091117716000015/cwst16-1122_8kxex10d7.htm" TargetMode="External"/><Relationship Id="rId74" Type="http://schemas.openxmlformats.org/officeDocument/2006/relationships/hyperlink" Target="https://www.sec.gov/Archives/edgar/data/911177/000091117716000015/cwst16-1122_8kxex10d7.htm" TargetMode="External"/><Relationship Id="rId75" Type="http://schemas.openxmlformats.org/officeDocument/2006/relationships/hyperlink" Target="https://www.sec.gov/Archives/edgar/data/911177/000091117716000015/cwst16-1122_8kxex10d8.htm" TargetMode="External"/><Relationship Id="rId76" Type="http://schemas.openxmlformats.org/officeDocument/2006/relationships/hyperlink" Target="https://www.sec.gov/Archives/edgar/data/911177/000091117716000015/cwst16-1122_8kxex10d8.htm" TargetMode="External"/><Relationship Id="rId77" Type="http://schemas.openxmlformats.org/officeDocument/2006/relationships/hyperlink" Target="https://www.sec.gov/Archives/edgar/data/911177/000091117716000015/cwst16-1122_8kxex10d8.htm" TargetMode="External"/><Relationship Id="rId78" Type="http://schemas.openxmlformats.org/officeDocument/2006/relationships/hyperlink" Target="https://www.sec.gov/Archives/edgar/data/911177/000091117716000015/cwst16-1122_8kxex10d9.htm" TargetMode="External"/><Relationship Id="rId79" Type="http://schemas.openxmlformats.org/officeDocument/2006/relationships/hyperlink" Target="https://www.sec.gov/Archives/edgar/data/911177/000091117716000015/cwst16-1122_8kxex10d9.htm" TargetMode="External"/><Relationship Id="rId80" Type="http://schemas.openxmlformats.org/officeDocument/2006/relationships/hyperlink" Target="https://www.sec.gov/Archives/edgar/data/911177/000091117716000015/cwst16-1122_8kxex10d9.htm" TargetMode="External"/><Relationship Id="rId81" Type="http://schemas.openxmlformats.org/officeDocument/2006/relationships/hyperlink" Target="https://www.sec.gov/Archives/edgar/data/911177/000091117716000015/cwst16-1122_8kxex10d10.htm" TargetMode="External"/><Relationship Id="rId82" Type="http://schemas.openxmlformats.org/officeDocument/2006/relationships/hyperlink" Target="https://www.sec.gov/Archives/edgar/data/911177/000091117716000015/cwst16-1122_8kxex10d10.htm" TargetMode="External"/><Relationship Id="rId83" Type="http://schemas.openxmlformats.org/officeDocument/2006/relationships/hyperlink" Target="https://www.sec.gov/Archives/edgar/data/911177/000091117716000015/cwst16-1122_8kxex10d10.htm" TargetMode="External"/><Relationship Id="rId84" Type="http://schemas.openxmlformats.org/officeDocument/2006/relationships/hyperlink" Target="https://www.sec.gov/Archives/edgar/data/911177/000091117716000015/cwst16-1122_8kxex10d11.htm" TargetMode="External"/><Relationship Id="rId85" Type="http://schemas.openxmlformats.org/officeDocument/2006/relationships/hyperlink" Target="https://www.sec.gov/Archives/edgar/data/911177/000091117716000015/cwst16-1122_8kxex10d11.htm" TargetMode="External"/><Relationship Id="rId86" Type="http://schemas.openxmlformats.org/officeDocument/2006/relationships/hyperlink" Target="https://www.sec.gov/Archives/edgar/data/911177/000091117716000015/cwst16-1122_8kxex10d11.htm" TargetMode="External"/><Relationship Id="rId87" Type="http://schemas.openxmlformats.org/officeDocument/2006/relationships/hyperlink" Target="https://www.sec.gov/Archives/edgar/data/911177/000091117717000053/cwst-093017xex101.htm" TargetMode="External"/><Relationship Id="rId88" Type="http://schemas.openxmlformats.org/officeDocument/2006/relationships/hyperlink" Target="https://www.sec.gov/Archives/edgar/data/911177/000091117717000053/cwst-093017xex101.htm" TargetMode="External"/><Relationship Id="rId89" Type="http://schemas.openxmlformats.org/officeDocument/2006/relationships/hyperlink" Target="https://www.sec.gov/Archives/edgar/data/911177/000091117717000053/cwst-093017xex101.htm" TargetMode="External"/><Relationship Id="rId90" Type="http://schemas.openxmlformats.org/officeDocument/2006/relationships/hyperlink" Target="https://www.sec.gov/Archives/edgar/data/911177/000091117724000079/cwst-ex102063024.htm" TargetMode="External"/><Relationship Id="rId91" Type="http://schemas.openxmlformats.org/officeDocument/2006/relationships/hyperlink" Target="https://www.sec.gov/Archives/edgar/data/911177/000091117724000079/cwst-ex103063024.htm" TargetMode="External"/><Relationship Id="rId92" Type="http://schemas.openxmlformats.org/officeDocument/2006/relationships/hyperlink" Target="https://www.sec.gov/Archives/edgar/data/911177/000091117724000079/cwst-ex104063024.htm" TargetMode="External"/><Relationship Id="rId93" Type="http://schemas.openxmlformats.org/officeDocument/2006/relationships/hyperlink" Target="https://www.sec.gov/Archives/edgar/data/911177/000091117724000079/cwst-ex105063024.htm" TargetMode="External"/><Relationship Id="rId94" Type="http://schemas.openxmlformats.org/officeDocument/2006/relationships/hyperlink" Target="https://www.sec.gov/Archives/edgar/data/911177/000091117724000079/cwst-ex106063024.htm" TargetMode="External"/><Relationship Id="rId95" Type="http://schemas.openxmlformats.org/officeDocument/2006/relationships/hyperlink" Target="https://www.sec.gov/Archives/edgar/data/911177/000091117724000079/cwst-ex107063024.htm" TargetMode="External"/><Relationship Id="rId96" Type="http://schemas.openxmlformats.org/officeDocument/2006/relationships/hyperlink" Target="https://www.sec.gov/Archives/edgar/data/911177/000091117724000079/cwst-ex108063024.htm" TargetMode="External"/><Relationship Id="rId97" Type="http://schemas.openxmlformats.org/officeDocument/2006/relationships/hyperlink" Target="https://www.sec.gov/Archives/edgar/data/911177/000091117724000079/cwst-ex109063024.htm" TargetMode="External"/><Relationship Id="rId98" Type="http://schemas.openxmlformats.org/officeDocument/2006/relationships/hyperlink" Target="https://www.sec.gov/Archives/edgar/data/911177/000091117724000079/cwst-ex1010063024.htm" TargetMode="External"/><Relationship Id="rId99" Type="http://schemas.openxmlformats.org/officeDocument/2006/relationships/hyperlink" Target="https://www.sec.gov/Archives/edgar/data/911177/000091117724000079/cwst-ex1011063024.htm" TargetMode="External"/><Relationship Id="rId100" Type="http://schemas.openxmlformats.org/officeDocument/2006/relationships/hyperlink" Target="https://www.sec.gov/Archives/edgar/data/911177/000119312524228456/d823888dex101.htm" TargetMode="External"/><Relationship Id="rId101" Type="http://schemas.openxmlformats.org/officeDocument/2006/relationships/hyperlink" Target="https://www.sec.gov/Archives/edgar/data/911177/000091117720000048/masterleaseagreement.htm" TargetMode="External"/><Relationship Id="rId102" Type="http://schemas.openxmlformats.org/officeDocument/2006/relationships/hyperlink" Target="https://www.sec.gov/Archives/edgar/data/911177/000091117720000048/masterleaseaddendum.htm" TargetMode="External"/><Relationship Id="rId103" Type="http://schemas.openxmlformats.org/officeDocument/2006/relationships/hyperlink" Target="https://www.sec.gov/Archives/edgar/data/911177/000110465911012173/a11-5937_1ex2d1.htm" TargetMode="External"/><Relationship Id="rId104" Type="http://schemas.openxmlformats.org/officeDocument/2006/relationships/hyperlink" Target="https://www.sec.gov/Archives/edgar/data/911177/000091117723000064/cwst-ex101033123.htm" TargetMode="External"/><Relationship Id="rId105" Type="http://schemas.openxmlformats.org/officeDocument/2006/relationships/hyperlink" Target="https://www.sec.gov/Archives/edgar/data/911177/000119312523181016/d524927dex102.htm" TargetMode="External"/><Relationship Id="rId106" Type="http://schemas.openxmlformats.org/officeDocument/2006/relationships/hyperlink" Target="https://www.sec.gov/Archives/edgar/data/911177/000091117723000146/cwst-ex102093023.htm" TargetMode="External"/><Relationship Id="rId107" Type="http://schemas.openxmlformats.org/officeDocument/2006/relationships/hyperlink" Target="https://www.sec.gov/Archives/edgar/data/911177/000091117723000146/cwst-ex103093023.htm" TargetMode="External"/><Relationship Id="rId108" Type="http://schemas.openxmlformats.org/officeDocument/2006/relationships/hyperlink" Target="https://www.sec.gov/Archives/edgar/data/911177/000091117724000005/cwst-ex97123123.htm" TargetMode="External"/><Relationship Id="rId109" Type="http://schemas.openxmlformats.org/officeDocument/2006/relationships/hyperlink" Target="https://www.sec.gov/Archives/edgar/data/911177/000091117724000005/cwst-ex97123123.htm" TargetMode="External"/><Relationship Id="rId110" Type="http://schemas.openxmlformats.org/officeDocument/2006/relationships/hyperlink" Target="https://www.sec.gov/Archives/edgar/data/911177/000091117724000005/cwst-ex97123123.htm" TargetMode="External"/><Relationship Id="rId111" Type="http://schemas.openxmlformats.org/officeDocument/2006/relationships/fontTable" Target="fontTable.xml"/><Relationship Id="rId1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82677</Words>
  <Characters>464531</Characters>
  <CharactersWithSpaces>544799</CharactersWithSpaces>
  <Paragraphs>6104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