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2059940</wp:posOffset>
            </wp:positionH>
            <wp:positionV relativeFrom="page">
              <wp:posOffset>517525</wp:posOffset>
            </wp:positionV>
            <wp:extent cx="4243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page">
              <wp:posOffset>2059940</wp:posOffset>
            </wp:positionH>
            <wp:positionV relativeFrom="page">
              <wp:posOffset>483235</wp:posOffset>
            </wp:positionV>
            <wp:extent cx="4243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4307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29845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87630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00" w:right="340" w:hanging="374"/>
        <w:spacing w:after="0" w:line="238"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400" w:right="320" w:hanging="374"/>
        <w:spacing w:after="0" w:line="238" w:lineRule="auto"/>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36830</wp:posOffset>
            </wp:positionV>
            <wp:extent cx="277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CASELLA WASTE SYSTEMS,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2" w:lineRule="exact"/>
        <w:rPr>
          <w:sz w:val="24"/>
          <w:szCs w:val="24"/>
          <w:color w:val="auto"/>
        </w:rPr>
      </w:pPr>
    </w:p>
    <w:tbl>
      <w:tblPr>
        <w:tblLayout w:type="fixed"/>
        <w:tblInd w:w="2760" w:type="dxa"/>
        <w:tblCellMar>
          <w:top w:w="0" w:type="dxa"/>
          <w:left w:w="0" w:type="dxa"/>
          <w:bottom w:w="0" w:type="dxa"/>
          <w:right w:w="0" w:type="dxa"/>
        </w:tblCellMar>
      </w:tblPr>
      <w:tr>
        <w:trPr>
          <w:trHeight w:val="190"/>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03-0338873</w:t>
            </w:r>
          </w:p>
        </w:tc>
      </w:tr>
      <w:tr>
        <w:trPr>
          <w:trHeight w:val="158"/>
        </w:trPr>
        <w:tc>
          <w:tcPr>
            <w:tcW w:w="3180" w:type="dxa"/>
            <w:vAlign w:val="bottom"/>
          </w:tcPr>
          <w:p>
            <w:pPr>
              <w:jc w:val="center"/>
              <w:ind w:right="70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00" w:type="dxa"/>
            <w:vAlign w:val="bottom"/>
          </w:tcPr>
          <w:p>
            <w:pPr>
              <w:jc w:val="center"/>
              <w:ind w:left="70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3"/>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25 Greens Hill Lane,</w:t>
            </w:r>
          </w:p>
        </w:tc>
        <w:tc>
          <w:tcPr>
            <w:tcW w:w="1900" w:type="dxa"/>
            <w:vAlign w:val="bottom"/>
          </w:tcPr>
          <w:p>
            <w:pPr>
              <w:spacing w:after="0"/>
              <w:rPr>
                <w:sz w:val="24"/>
                <w:szCs w:val="24"/>
                <w:color w:val="auto"/>
              </w:rPr>
            </w:pPr>
          </w:p>
        </w:tc>
      </w:tr>
      <w:tr>
        <w:trPr>
          <w:trHeight w:val="203"/>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Rutland, Vermont</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05701</w:t>
            </w:r>
          </w:p>
        </w:tc>
      </w:tr>
      <w:tr>
        <w:trPr>
          <w:trHeight w:val="203"/>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71120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09"/>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86"/>
        </w:trPr>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100" w:type="dxa"/>
            <w:vAlign w:val="bottom"/>
          </w:tcPr>
          <w:p>
            <w:pPr>
              <w:spacing w:after="0"/>
              <w:rPr>
                <w:sz w:val="16"/>
                <w:szCs w:val="16"/>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CWST</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85"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3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5"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July 15, 2025:</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Class A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62,502,263</w:t>
            </w:r>
          </w:p>
        </w:tc>
      </w:tr>
      <w:tr>
        <w:trPr>
          <w:trHeight w:val="216"/>
        </w:trPr>
        <w:tc>
          <w:tcPr>
            <w:tcW w:w="60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Class B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988,200</w:t>
            </w:r>
          </w:p>
        </w:tc>
      </w:tr>
      <w:tr>
        <w:trPr>
          <w:trHeight w:val="128"/>
        </w:trPr>
        <w:tc>
          <w:tcPr>
            <w:tcW w:w="6000" w:type="dxa"/>
            <w:vAlign w:val="bottom"/>
            <w:tcBorders>
              <w:bottom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675"/>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383,303</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$7,897 and $8,515, respectively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165,917</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Refundable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23,047</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613,305</w:t>
            </w:r>
          </w:p>
        </w:tc>
      </w:tr>
      <w:tr>
        <w:trPr>
          <w:trHeight w:val="176"/>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$1,392,650 and $1,302,324,</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1,164,815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1,002,266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313,468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24,698</w:t>
            </w: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3,256,911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42,619</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111,087</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50,690</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accrued final capping, closure and post-closure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1,090,632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final capping, closure and post-closure costs,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4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per share; 100,000,000 shares authorized; 62,502,000 and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62,370,000 shares issued and outstanding, respectively</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175"/>
        </w:trPr>
        <w:tc>
          <w:tcPr>
            <w:tcW w:w="824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per share; 1,000,000 shares authorized; 988,000 shares issued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 outstanding, respectively; 10 votes per share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1,679,878</w:t>
            </w:r>
          </w:p>
        </w:tc>
      </w:tr>
      <w:tr>
        <w:trPr>
          <w:trHeight w:val="230"/>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(132,985)</w:t>
            </w: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1,550,839</w:t>
            </w: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3,256,911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operations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474,578</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91,517</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Expense from acquisition activities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860,019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688,317</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7,006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3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8"/>
              </w:rPr>
              <w:t>2,889</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Hedging activity: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8"/>
              </w:rPr>
              <w:t>4,618</w:t>
            </w:r>
          </w:p>
        </w:tc>
      </w:tr>
      <w:tr>
        <w:trPr>
          <w:trHeight w:val="229"/>
        </w:trPr>
        <w:tc>
          <w:tcPr>
            <w:tcW w:w="5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8"/>
              </w:rPr>
              <w:t>(4,611)</w:t>
            </w:r>
          </w:p>
        </w:tc>
      </w:tr>
      <w:tr>
        <w:trPr>
          <w:trHeight w:val="176"/>
        </w:trPr>
        <w:tc>
          <w:tcPr>
            <w:tcW w:w="5260" w:type="dxa"/>
            <w:vAlign w:val="bottom"/>
          </w:tcPr>
          <w:p>
            <w:pPr>
              <w:ind w:left="560"/>
              <w:spacing w:after="0" w:line="176" w:lineRule="exact"/>
              <w:rPr>
                <w:sz w:val="20"/>
                <w:szCs w:val="20"/>
                <w:color w:val="auto"/>
              </w:rPr>
            </w:pPr>
            <w:r>
              <w:rPr>
                <w:rFonts w:ascii="Times New Roman" w:cs="Times New Roman" w:eastAsia="Times New Roman" w:hAnsi="Times New Roman"/>
                <w:sz w:val="18"/>
                <w:szCs w:val="18"/>
                <w:color w:val="auto"/>
              </w:rPr>
              <w:t>Unrealized (loss) gain resulting from changes in fair value of</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2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derivative instruments</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(3,154)</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8"/>
              </w:rPr>
              <w:t>9,507</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(3,132)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8"/>
              </w:rPr>
              <w:t>9,514</w:t>
            </w:r>
          </w:p>
        </w:tc>
      </w:tr>
      <w:tr>
        <w:trPr>
          <w:trHeight w:val="175"/>
        </w:trPr>
        <w:tc>
          <w:tcPr>
            <w:tcW w:w="5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Income tax (benefit) provision related to items of other</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8"/>
              </w:rPr>
              <w:t>2,613</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8"/>
              </w:rPr>
              <w:t>6,901</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8"/>
              </w:rPr>
              <w:t>9,790</w:t>
            </w:r>
          </w:p>
        </w:tc>
      </w:tr>
      <w:tr>
        <w:trPr>
          <w:trHeight w:val="21"/>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56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560" w:type="dxa"/>
            <w:vAlign w:val="bottom"/>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0" w:type="dxa"/>
            <w:vAlign w:val="bottom"/>
          </w:tcPr>
          <w:p>
            <w:pPr>
              <w:spacing w:after="0"/>
              <w:rPr>
                <w:sz w:val="1"/>
                <w:szCs w:val="1"/>
                <w:color w:val="auto"/>
              </w:rPr>
            </w:pPr>
          </w:p>
        </w:tc>
      </w:tr>
      <w:tr>
        <w:trPr>
          <w:trHeight w:val="34"/>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(Loss) Income, Net</w:t>
            </w:r>
          </w:p>
        </w:tc>
        <w:tc>
          <w:tcPr>
            <w:tcW w:w="0" w:type="dxa"/>
            <w:vAlign w:val="bottom"/>
          </w:tcPr>
          <w:p>
            <w:pPr>
              <w:spacing w:after="0"/>
              <w:rPr>
                <w:sz w:val="1"/>
                <w:szCs w:val="1"/>
                <w:color w:val="auto"/>
              </w:rPr>
            </w:pPr>
          </w:p>
        </w:tc>
      </w:tr>
      <w:tr>
        <w:trPr>
          <w:trHeight w:val="75"/>
        </w:trPr>
        <w:tc>
          <w:tcPr>
            <w:tcW w:w="3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89"/>
              </w:rPr>
              <w:t>of Tax</w:t>
            </w:r>
          </w:p>
        </w:tc>
        <w:tc>
          <w:tcPr>
            <w:tcW w:w="0" w:type="dxa"/>
            <w:vAlign w:val="bottom"/>
          </w:tcPr>
          <w:p>
            <w:pPr>
              <w:spacing w:after="0"/>
              <w:rPr>
                <w:sz w:val="1"/>
                <w:szCs w:val="1"/>
                <w:color w:val="auto"/>
              </w:rPr>
            </w:pPr>
          </w:p>
        </w:tc>
      </w:tr>
      <w:tr>
        <w:trPr>
          <w:trHeight w:val="201"/>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1,550,839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1,679,878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(132,985)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1,546,889</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62,475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1,684,788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(137,795)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0" w:type="dxa"/>
            <w:vAlign w:val="bottom"/>
          </w:tcPr>
          <w:p>
            <w:pPr>
              <w:spacing w:after="0"/>
              <w:rPr>
                <w:sz w:val="1"/>
                <w:szCs w:val="1"/>
                <w:color w:val="auto"/>
              </w:rPr>
            </w:pPr>
          </w:p>
        </w:tc>
      </w:tr>
      <w:tr>
        <w:trPr>
          <w:trHeight w:val="22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2025</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1,554,181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1,689,088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56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56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0" w:type="dxa"/>
            <w:vAlign w:val="bottom"/>
          </w:tcPr>
          <w:p>
            <w:pPr>
              <w:spacing w:after="0"/>
              <w:rPr>
                <w:sz w:val="1"/>
                <w:szCs w:val="1"/>
                <w:color w:val="auto"/>
              </w:rPr>
            </w:pPr>
          </w:p>
        </w:tc>
      </w:tr>
      <w:tr>
        <w:trPr>
          <w:trHeight w:val="40"/>
        </w:trPr>
        <w:tc>
          <w:tcPr>
            <w:tcW w:w="3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3"/>
                <w:szCs w:val="3"/>
                <w:color w:val="auto"/>
              </w:rPr>
            </w:pPr>
          </w:p>
        </w:tc>
        <w:tc>
          <w:tcPr>
            <w:tcW w:w="10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16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Income (Loss), Net</w:t>
            </w:r>
          </w:p>
        </w:tc>
        <w:tc>
          <w:tcPr>
            <w:tcW w:w="0" w:type="dxa"/>
            <w:vAlign w:val="bottom"/>
          </w:tcPr>
          <w:p>
            <w:pPr>
              <w:spacing w:after="0"/>
              <w:rPr>
                <w:sz w:val="1"/>
                <w:szCs w:val="1"/>
                <w:color w:val="auto"/>
              </w:rPr>
            </w:pPr>
          </w:p>
        </w:tc>
      </w:tr>
      <w:tr>
        <w:trPr>
          <w:trHeight w:val="61"/>
        </w:trPr>
        <w:tc>
          <w:tcPr>
            <w:tcW w:w="3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89"/>
              </w:rPr>
              <w:t>of Tax</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1,021,791</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1,025,924</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57,120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1,170,946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(150,638)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7,006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01"/>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1,037,514</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1,174,744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(143,632)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130"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148,497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accretion on landfill and environmental remediation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right-of-use assets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items and charges,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Landfill operating lease contract expenditures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Prepaid expenses, inventories and 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Accrued expenses, contract liabilities and other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(19,304)</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139,648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79,781</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Additions to intangible assets</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(74,900)</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(296,393)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(72,976)</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debt borrowings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(18,270)</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(165,531)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(11,465)</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383,303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220,912</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217,772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209,447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Cash interest payments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income tax payments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w:t>
            </w: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Right-of-use assets obtained in exchange for finance lease obligations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0" w:type="dxa"/>
            <w:vAlign w:val="bottom"/>
          </w:tcPr>
          <w:p>
            <w:pPr>
              <w:spacing w:after="0"/>
              <w:rPr>
                <w:sz w:val="1"/>
                <w:szCs w:val="1"/>
                <w:color w:val="auto"/>
              </w:rPr>
            </w:pPr>
          </w:p>
        </w:tc>
      </w:tr>
      <w:tr>
        <w:trPr>
          <w:trHeight w:val="188"/>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22,033</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provide integrated solid waste services in ten states: Vermont, New Hampshire, New York, Massachusetts, Connecticut, Maine, Pennsylvania, New Jersey, Delaware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our Annual Report on Form 10-K for the fiscal year ended December 31, 2024 (“fiscal year 2024”), which was filed with the SEC on February 18, 2025 (“2024 Form 10-K”).</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statement of the financial position, results of operations and cash flows for the periods presented. The results for the three and six months ended June 30, 2025 may not be indicative of the results for any other interim period or the entire fiscal year. The consolidated financial statements presented herein should be read in conjunction with our audited consolidated financial statements included in our 2024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evaluated subsequent events or transactions that have occurred after the consolidated balance sheet date of June 30, 2025 through the date of filing of the consolidated financial statements with the SEC on this Quarterly Report on Form 10-Q. Except as disclosed, no material subsequent events have occurred since June 30, 2025 through the date of this filing that would require recognition or adjustments to our disclosures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CHANGES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brief description of Accounting Standards Updates (“ASU”) to the Accounting Standards Codification (“ASC”) issued by the Financial Accounting Standards Board (“FASB”) and deemed to have a possible material impact on our consolidated financial statements based on current account balances and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3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5"/>
        </w:trPr>
        <w:tc>
          <w:tcPr>
            <w:tcW w:w="440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pending adoption as of June 30, 2025</w:t>
            </w:r>
          </w:p>
        </w:tc>
        <w:tc>
          <w:tcPr>
            <w:tcW w:w="23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103" w:right="339" w:bottom="1440" w:gutter="0" w:footer="0" w:header="0"/>
        </w:sectPr>
      </w:pPr>
    </w:p>
    <w:p>
      <w:pPr>
        <w:jc w:val="both"/>
        <w:ind w:left="20"/>
        <w:spacing w:after="0" w:line="263" w:lineRule="auto"/>
        <w:rPr>
          <w:sz w:val="20"/>
          <w:szCs w:val="20"/>
          <w:color w:val="auto"/>
        </w:rPr>
      </w:pPr>
      <w:r>
        <w:rPr>
          <w:rFonts w:ascii="Times New Roman" w:cs="Times New Roman" w:eastAsia="Times New Roman" w:hAnsi="Times New Roman"/>
          <w:sz w:val="17"/>
          <w:szCs w:val="17"/>
          <w:color w:val="auto"/>
        </w:rPr>
        <w:t>ASU No. 2023-09: Improvements to Income Tax Disclosures (Topic 740)</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Times New Roman" w:cs="Times New Roman" w:eastAsia="Times New Roman" w:hAnsi="Times New Roman"/>
          <w:sz w:val="17"/>
          <w:szCs w:val="17"/>
          <w:color w:val="auto"/>
        </w:rPr>
        <w:t>Requires entities to provide additional disclosure related to the transparency and decision usefulness of</w:t>
      </w:r>
    </w:p>
    <w:p>
      <w:pPr>
        <w:ind w:right="60"/>
        <w:spacing w:after="0" w:line="218" w:lineRule="auto"/>
        <w:rPr>
          <w:sz w:val="20"/>
          <w:szCs w:val="20"/>
          <w:color w:val="auto"/>
        </w:rPr>
      </w:pPr>
      <w:r>
        <w:rPr>
          <w:rFonts w:ascii="Times New Roman" w:cs="Times New Roman" w:eastAsia="Times New Roman" w:hAnsi="Times New Roman"/>
          <w:sz w:val="18"/>
          <w:szCs w:val="18"/>
          <w:color w:val="auto"/>
        </w:rPr>
        <w:t>income tax disclosures, including additional disclosure around the rate reconciliation and income taxes paid.</w:t>
      </w:r>
    </w:p>
    <w:p>
      <w:pPr>
        <w:spacing w:after="0" w:line="20" w:lineRule="exact"/>
        <w:rPr>
          <w:sz w:val="20"/>
          <w:szCs w:val="20"/>
          <w:color w:val="auto"/>
        </w:rPr>
      </w:pPr>
      <w:r>
        <w:rPr>
          <w:sz w:val="20"/>
          <w:szCs w:val="20"/>
          <w:color w:val="auto"/>
        </w:rPr>
        <w:br w:type="column"/>
      </w:r>
    </w:p>
    <w:p>
      <w:pPr>
        <w:ind w:right="20"/>
        <w:spacing w:after="0" w:line="222" w:lineRule="auto"/>
        <w:rPr>
          <w:sz w:val="20"/>
          <w:szCs w:val="20"/>
          <w:color w:val="auto"/>
        </w:rPr>
      </w:pPr>
      <w:r>
        <w:rPr>
          <w:rFonts w:ascii="Times New Roman" w:cs="Times New Roman" w:eastAsia="Times New Roman" w:hAnsi="Times New Roman"/>
          <w:sz w:val="18"/>
          <w:szCs w:val="18"/>
          <w:color w:val="auto"/>
        </w:rPr>
        <w:t>We do not expect the adoption of this guidance to have a material impact on our consolidated financial</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statements, however, the adoption of this guidance will have an impact on income tax disclosures within the accompanying notes to our consolidated financial</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statements. This guidance is effective for fiscal years beginning after December 15, 2024, with early adoption permitted.</w:t>
      </w:r>
    </w:p>
    <w:p>
      <w:pPr>
        <w:spacing w:after="0" w:line="52" w:lineRule="exact"/>
        <w:rPr>
          <w:sz w:val="20"/>
          <w:szCs w:val="20"/>
          <w:color w:val="auto"/>
        </w:rPr>
      </w:pPr>
    </w:p>
    <w:p>
      <w:pPr>
        <w:sectPr>
          <w:pgSz w:w="11900" w:h="16838" w:orient="portrait"/>
          <w:cols w:equalWidth="0" w:num="3">
            <w:col w:w="2660" w:space="520"/>
            <w:col w:w="3840" w:space="240"/>
            <w:col w:w="3980"/>
          </w:cols>
          <w:pgMar w:left="320" w:top="1103" w:right="339" w:bottom="1440" w:gutter="0" w:footer="0" w:header="0"/>
          <w:type w:val="continuous"/>
        </w:sect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ASU No. 2024-03: Improvements to</w:t>
      </w:r>
      <w:r>
        <w:rPr>
          <w:sz w:val="20"/>
          <w:szCs w:val="20"/>
          <w:color w:val="auto"/>
        </w:rPr>
        <w:tab/>
      </w:r>
      <w:r>
        <w:rPr>
          <w:rFonts w:ascii="Times New Roman" w:cs="Times New Roman" w:eastAsia="Times New Roman" w:hAnsi="Times New Roman"/>
          <w:sz w:val="17"/>
          <w:szCs w:val="17"/>
          <w:color w:val="auto"/>
        </w:rPr>
        <w:t>Requires entities to provide additional disclosure</w:t>
      </w:r>
    </w:p>
    <w:p>
      <w:pPr>
        <w:ind w:left="20"/>
        <w:spacing w:after="0" w:line="219" w:lineRule="auto"/>
        <w:tabs>
          <w:tab w:leader="none" w:pos="3160" w:val="left"/>
        </w:tabs>
        <w:rPr>
          <w:sz w:val="20"/>
          <w:szCs w:val="20"/>
          <w:color w:val="auto"/>
        </w:rPr>
      </w:pPr>
      <w:r>
        <w:rPr>
          <w:rFonts w:ascii="Times New Roman" w:cs="Times New Roman" w:eastAsia="Times New Roman" w:hAnsi="Times New Roman"/>
          <w:sz w:val="18"/>
          <w:szCs w:val="18"/>
          <w:color w:val="auto"/>
        </w:rPr>
        <w:t>Income Statement - Expense</w:t>
      </w:r>
      <w:r>
        <w:rPr>
          <w:sz w:val="20"/>
          <w:szCs w:val="20"/>
          <w:color w:val="auto"/>
        </w:rPr>
        <w:tab/>
      </w:r>
      <w:r>
        <w:rPr>
          <w:rFonts w:ascii="Times New Roman" w:cs="Times New Roman" w:eastAsia="Times New Roman" w:hAnsi="Times New Roman"/>
          <w:sz w:val="18"/>
          <w:szCs w:val="18"/>
          <w:color w:val="auto"/>
        </w:rPr>
        <w:t>related to more detailed information about specific</w:t>
      </w:r>
    </w:p>
    <w:p>
      <w:pPr>
        <w:ind w:left="20"/>
        <w:spacing w:after="0" w:line="203" w:lineRule="auto"/>
        <w:tabs>
          <w:tab w:leader="none" w:pos="3160" w:val="left"/>
        </w:tabs>
        <w:rPr>
          <w:sz w:val="20"/>
          <w:szCs w:val="20"/>
          <w:color w:val="auto"/>
        </w:rPr>
      </w:pPr>
      <w:r>
        <w:rPr>
          <w:rFonts w:ascii="Times New Roman" w:cs="Times New Roman" w:eastAsia="Times New Roman" w:hAnsi="Times New Roman"/>
          <w:sz w:val="18"/>
          <w:szCs w:val="18"/>
          <w:color w:val="auto"/>
        </w:rPr>
        <w:t>Disaggregation Disclosures (Subtopic</w:t>
      </w:r>
      <w:r>
        <w:rPr>
          <w:sz w:val="20"/>
          <w:szCs w:val="20"/>
          <w:color w:val="auto"/>
        </w:rPr>
        <w:tab/>
      </w:r>
      <w:r>
        <w:rPr>
          <w:rFonts w:ascii="Times New Roman" w:cs="Times New Roman" w:eastAsia="Times New Roman" w:hAnsi="Times New Roman"/>
          <w:sz w:val="18"/>
          <w:szCs w:val="18"/>
          <w:color w:val="auto"/>
        </w:rPr>
        <w:t>types of expenses contained in commonly presented</w:t>
      </w:r>
    </w:p>
    <w:p>
      <w:pPr>
        <w:spacing w:after="0" w:line="1"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220-40)</w:t>
      </w:r>
      <w:r>
        <w:rPr>
          <w:sz w:val="20"/>
          <w:szCs w:val="20"/>
          <w:color w:val="auto"/>
        </w:rPr>
        <w:tab/>
      </w:r>
      <w:r>
        <w:rPr>
          <w:rFonts w:ascii="Times New Roman" w:cs="Times New Roman" w:eastAsia="Times New Roman" w:hAnsi="Times New Roman"/>
          <w:sz w:val="18"/>
          <w:szCs w:val="18"/>
          <w:color w:val="auto"/>
        </w:rPr>
        <w:t>expense captions on the statements of operations.</w:t>
      </w:r>
    </w:p>
    <w:p>
      <w:pPr>
        <w:spacing w:after="0" w:line="20" w:lineRule="exact"/>
        <w:rPr>
          <w:sz w:val="20"/>
          <w:szCs w:val="20"/>
          <w:color w:val="auto"/>
        </w:rPr>
      </w:pPr>
      <w:r>
        <w:rPr>
          <w:sz w:val="20"/>
          <w:szCs w:val="20"/>
          <w:color w:val="auto"/>
        </w:rPr>
        <w:br w:type="column"/>
      </w:r>
    </w:p>
    <w:p>
      <w:pPr>
        <w:ind w:right="380"/>
        <w:spacing w:after="0" w:line="222" w:lineRule="auto"/>
        <w:rPr>
          <w:sz w:val="20"/>
          <w:szCs w:val="20"/>
          <w:color w:val="auto"/>
        </w:rPr>
      </w:pPr>
      <w:r>
        <w:rPr>
          <w:rFonts w:ascii="Times New Roman" w:cs="Times New Roman" w:eastAsia="Times New Roman" w:hAnsi="Times New Roman"/>
          <w:sz w:val="18"/>
          <w:szCs w:val="18"/>
          <w:color w:val="auto"/>
        </w:rPr>
        <w:t>We are currently assessing the provisions of this guidance and expect that its adoption will have an</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impact on certain expense category disclosures within our consolidated financial statements and accompanying notes. This guidance is effective for</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fiscal years beginning after December 15, 2026, and interim periods within fiscal years beginning after December 15, 2027.</w:t>
      </w:r>
    </w:p>
    <w:p>
      <w:pPr>
        <w:spacing w:after="0" w:line="200" w:lineRule="exact"/>
        <w:rPr>
          <w:sz w:val="20"/>
          <w:szCs w:val="20"/>
          <w:color w:val="auto"/>
        </w:rPr>
      </w:pPr>
    </w:p>
    <w:p>
      <w:pPr>
        <w:sectPr>
          <w:pgSz w:w="11900" w:h="16838" w:orient="portrait"/>
          <w:cols w:equalWidth="0" w:num="2">
            <w:col w:w="6940" w:space="320"/>
            <w:col w:w="3980"/>
          </w:cols>
          <w:pgMar w:left="320" w:top="1103" w:right="339" w:bottom="1440" w:gutter="0" w:footer="0" w:header="0"/>
          <w:type w:val="continuous"/>
        </w:sectPr>
      </w:pPr>
    </w:p>
    <w:p>
      <w:pPr>
        <w:spacing w:after="0" w:line="1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 renewal operations are derived from processing services and our National Accounts business.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disaggregated by service line and timing of revenue recognition by operating segment for each of the three and six months ended June 30, 2025 and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3"/>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297,905</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26,055</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39,379</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39,050</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w:t>
            </w:r>
          </w:p>
        </w:tc>
      </w:tr>
      <w:tr>
        <w:trPr>
          <w:trHeight w:val="22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465,334</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15,843</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449,491</w:t>
            </w:r>
          </w:p>
        </w:tc>
      </w:tr>
      <w:tr>
        <w:trPr>
          <w:trHeight w:val="22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465,334</w:t>
            </w: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r>
        <w:rPr>
          <w:rFonts w:ascii="Times New Roman" w:cs="Times New Roman" w:eastAsia="Times New Roman" w:hAnsi="Times New Roman"/>
          <w:sz w:val="25"/>
          <w:szCs w:val="25"/>
          <w:b w:val="1"/>
          <w:bCs w:val="1"/>
          <w:color w:val="auto"/>
          <w:vertAlign w:val="superscript"/>
        </w:rPr>
        <w:t>(1)</w:t>
      </w: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00" w:type="dxa"/>
            <w:vAlign w:val="bottom"/>
          </w:tcPr>
          <w:p>
            <w:pPr>
              <w:spacing w:after="0"/>
              <w:rPr>
                <w:sz w:val="16"/>
                <w:szCs w:val="16"/>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223,959</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113,533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137,312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361,206</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137,312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0" w:type="dxa"/>
            <w:vAlign w:val="bottom"/>
          </w:tcPr>
          <w:p>
            <w:pPr>
              <w:spacing w:after="0"/>
              <w:rPr>
                <w:sz w:val="1"/>
                <w:szCs w:val="1"/>
                <w:color w:val="auto"/>
              </w:rPr>
            </w:pPr>
          </w:p>
        </w:tc>
      </w:tr>
      <w:tr>
        <w:trPr>
          <w:trHeight w:val="21"/>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00" w:type="dxa"/>
            <w:vAlign w:val="bottom"/>
          </w:tcPr>
          <w:p>
            <w:pPr>
              <w:spacing w:after="0"/>
              <w:rPr>
                <w:sz w:val="22"/>
                <w:szCs w:val="22"/>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22"/>
                <w:szCs w:val="2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574,368</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66,944</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105,472</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225,664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173,907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882,435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854,070</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882,435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1"/>
        </w:trPr>
        <w:tc>
          <w:tcPr>
            <w:tcW w:w="4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00" w:type="dxa"/>
            <w:vAlign w:val="bottom"/>
          </w:tcPr>
          <w:p>
            <w:pPr>
              <w:spacing w:after="0"/>
              <w:rPr>
                <w:sz w:val="16"/>
                <w:szCs w:val="16"/>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435,318</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95,251</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213,723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260,956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158,289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688,920</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 w:name="page11"/>
    <w:bookmarkEnd w:id="10"/>
    <w:p>
      <w:pPr>
        <w:ind w:left="660" w:right="120" w:hanging="652"/>
        <w:spacing w:after="0" w:line="282"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prior period amounts have been reclassified between regional operating segments to conform to the current period presentation.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further disclosure.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customers that are not in exchange for a distinct good or service are recorded as a reduction of revenues. Rebates to certain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payments for recycled or organic materials that are received and subsequently processed and sold to other third-parties amounted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$11,214 and $20,154 in the three and six months ended June 30, 2025, respectively, and $8,416 and $15,531 in the three and six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respectively. Rebates are generally recorded as a reduction of revenues upon the sale of such materials, or upon receipt of the recycled materials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facilities. We did not record revenues in the three and six months ended June 30, 2025 or June 30, 2024 from performance obligations satisfied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 periods.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receivables, which are included in accounts receivable, net in our consolidated balance sheets, are recorded when billed or when related revenue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if earlier, and represent claims against third-parties that will be settled in cash. Accounts receivable, net includes receivables from contracts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$184,023 and $162,916 as of June 30, 2025 and December 31, 2024, respectively. Certain customers are billed in advance and, accordingly, recognition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revenues for which payment has been received is deferred as a contract liability until the services are provided and control transferred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We recognized contract liabilities of $44,176 and $50,690 as of June 30, 2025 and December 31, 2024, respectively. Due to the short term 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advanced billings, substantially all of the deferred revenue recognized as a contract liability as of December 31, 2024 and December 31, 2023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as revenue during the six months ended June 30, 2025 and June 30, 2024, respectively, when the services were performed.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six months ended June 30, 2025, we acquired six businesses: four tuck-in collection operations in our Mid-Atlantic region, a tuck-in collection operation in our Western region and a tuck-in collection operation and recycling business whose assets and liabilities are allocated between our Eastern region and Resource Solutions operating segments. In the six months ended June 30, 2024, we acquired one business, a tuck-in solid waste collection business in our Eastern region.</w:t>
      </w:r>
    </w:p>
    <w:p>
      <w:pPr>
        <w:spacing w:after="0" w:line="7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operating results of the businesses acquired prior to June 30, 2025 have been included in the accompanying unaudited consolidated statements of operations from each date of acquisition, and each purchase price has been allocated to the net assets acquired based on fair values at the date of each acquisition with the residual amounts recorded as goodwill. Purchase price allocations are based on information existing at the acquisition dates or upon closing the transactions. Acquired intangible assets other than goodwill that are subject to amortization may include customer relationships, trade names and covenants not-to-compete. Such assets are amortized over a two-year to ten-year period from the date of acquisition.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1" w:name="page12"/>
    <w:bookmarkEnd w:id="11"/>
    <w:p>
      <w:pPr>
        <w:ind w:right="180"/>
        <w:spacing w:after="0" w:line="261" w:lineRule="auto"/>
        <w:rPr>
          <w:sz w:val="20"/>
          <w:szCs w:val="20"/>
          <w:color w:val="auto"/>
        </w:rPr>
      </w:pPr>
      <w:r>
        <w:rPr>
          <w:rFonts w:ascii="Times New Roman" w:cs="Times New Roman" w:eastAsia="Times New Roman" w:hAnsi="Times New Roman"/>
          <w:sz w:val="18"/>
          <w:szCs w:val="18"/>
          <w:color w:val="auto"/>
        </w:rPr>
        <w:t>Goodwill acquired is primarily associated with the value of acquired businesses, based on current and anticipated operating performance, in excess of the specific values allocated to other assets, new growth opportunities arising from the acquisitions, and expected synergies from combining the acquired businesses with our existing operations and implementing our operating strategies. Substantially all amounts recorded to goodwill associated with acquisitions completed in the six months ended June 30, 2025 are expected to be deductible for tax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purchase price and the purchase price allocation for acquisitions follows:</w:t>
      </w:r>
    </w:p>
    <w:p>
      <w:pPr>
        <w:spacing w:after="0" w:line="4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used in acquisitions, net of cash acquired of $— and $—, respectively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due from sellers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Holdbacks and additional consideration owed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14"/>
                <w:szCs w:val="14"/>
                <w:color w:val="auto"/>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Covenants not-to-compete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purchase price allocated to goodwill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220" w:hanging="652"/>
        <w:spacing w:after="0" w:line="282"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contract receivables as of the date of the acquisitions in the six months ended June 30, 2025 and 2024, of $8,226 and $—, respectively. Substantially all of the contractual amounts are expected to be collected.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2" w:name="page13"/>
    <w:bookmarkEnd w:id="12"/>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Purchase price allocations are preliminary and subject to revision upon finalization of third-party valuations over each respective one-year measurement period. Accordingly, the purchase price allocations for acquisitions made over the prior twelve-month period ended June 30, 2025 are subject to change.</w:t>
      </w:r>
    </w:p>
    <w:p>
      <w:pPr>
        <w:spacing w:after="0" w:line="3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Unaudited pro forma combined information that shows our operational results prepared as though each acquisition completed since the beginning of the prior fiscal year had occurred as of January 1, 2024 is as follows:</w:t>
      </w: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2"/>
                <w:szCs w:val="12"/>
                <w:color w:val="auto"/>
              </w:rPr>
            </w:pPr>
          </w:p>
        </w:tc>
        <w:tc>
          <w:tcPr>
            <w:tcW w:w="2400" w:type="dxa"/>
            <w:vAlign w:val="bottom"/>
            <w:gridSpan w:val="4"/>
          </w:tcPr>
          <w:p>
            <w:pPr>
              <w:jc w:val="right"/>
              <w:ind w:right="692"/>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868,142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unaudited pro forma results set forth in the table above have been prepared for comparative purposes only and are not necessarily indicative of the actual results of operations had the acquisitions occurred as of January 1, 2024 or of the results of our future operations. Furthermore, the unaudited pro forma results do not give effect to all cost savings or incremental costs that may occur as the result of the integration and consolidation of the completed acquisitions.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and balances related to goodwill by operating segment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4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 Combination</w:t>
            </w:r>
          </w:p>
        </w:tc>
        <w:tc>
          <w:tcPr>
            <w:tcW w:w="340" w:type="dxa"/>
            <w:vAlign w:val="bottom"/>
          </w:tcPr>
          <w:p>
            <w:pPr>
              <w:spacing w:after="0"/>
              <w:rPr>
                <w:sz w:val="13"/>
                <w:szCs w:val="13"/>
                <w:color w:val="auto"/>
              </w:rPr>
            </w:pPr>
          </w:p>
        </w:tc>
        <w:tc>
          <w:tcPr>
            <w:tcW w:w="13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 (1)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7"/>
                <w:szCs w:val="17"/>
                <w:color w:val="auto"/>
              </w:rPr>
            </w:pPr>
          </w:p>
        </w:tc>
        <w:tc>
          <w:tcPr>
            <w:tcW w:w="130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110,533</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366,514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557,310</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54,352</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1,088,709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560" w:hanging="652"/>
        <w:spacing w:after="0" w:line="266"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December 31, 2024 amounts, which include allocated goodwill between operating segments using a relative fair value approach, have been reclassified between regional operating segments to conform to the current period presentation.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further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intangible assets by type follow: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60" w:type="dxa"/>
            <w:vAlign w:val="bottom"/>
          </w:tcPr>
          <w:p>
            <w:pPr>
              <w:spacing w:after="0"/>
              <w:rPr>
                <w:sz w:val="13"/>
                <w:szCs w:val="13"/>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400" w:type="dxa"/>
            <w:vAlign w:val="bottom"/>
          </w:tcPr>
          <w:p>
            <w:pPr>
              <w:spacing w:after="0"/>
              <w:rPr>
                <w:sz w:val="13"/>
                <w:szCs w:val="13"/>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17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rPr>
              <w:t>75,225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414,039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6"/>
              </w:rPr>
              <w:t>26,239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515,503</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8"/>
                <w:szCs w:val="18"/>
                <w:color w:val="auto"/>
                <w:w w:val="97"/>
              </w:rPr>
              <w:t>(38,703)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(146,068)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rPr>
              <w:t>(15,307)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rPr>
              <w:t>(200,078)</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rPr>
              <w:t>36,522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267,971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6"/>
              </w:rPr>
              <w:t>10,932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315,425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1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60" w:type="dxa"/>
            <w:vAlign w:val="bottom"/>
          </w:tcPr>
          <w:p>
            <w:pPr>
              <w:spacing w:after="0"/>
              <w:rPr>
                <w:sz w:val="13"/>
                <w:szCs w:val="13"/>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400" w:type="dxa"/>
            <w:vAlign w:val="bottom"/>
          </w:tcPr>
          <w:p>
            <w:pPr>
              <w:spacing w:after="0"/>
              <w:rPr>
                <w:sz w:val="13"/>
                <w:szCs w:val="13"/>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17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71,568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377,600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6"/>
              </w:rPr>
              <w:t>25,795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474,963</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color w:val="auto"/>
              </w:rPr>
              <w:t>(34,398)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(115,305)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rPr>
              <w:t>(11,792)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rPr>
              <w:t>(161,495)</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37,170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262,295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6"/>
              </w:rPr>
              <w:t>14,003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313,468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$19,117 and $38,583 during the three and six months ended June 30, 2025, respectively, and $12,238 and $24,803 during the three and six months ended June 30, 2024, respectively.</w:t>
      </w:r>
    </w:p>
    <w:p>
      <w:pPr>
        <w:spacing w:after="0" w:line="54"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A summary of intangible amortization expense estimated for each of the next five fiscal years following fiscal year 2024 and thereafter is estimated as follows: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Future Intangible Amortization Expense as of June 30, 2025</w:t>
            </w:r>
          </w:p>
        </w:tc>
        <w:tc>
          <w:tcPr>
            <w:tcW w:w="51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436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the fiscal year ending December 31, 2025</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36,917</w:t>
            </w: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67,394</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58,860</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50,019</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2029</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38,476</w:t>
            </w:r>
          </w:p>
        </w:tc>
      </w:tr>
      <w:tr>
        <w:trPr>
          <w:trHeight w:val="234"/>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63,759</w:t>
            </w:r>
          </w:p>
        </w:tc>
      </w:tr>
      <w:tr>
        <w:trPr>
          <w:trHeight w:val="84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40" w:type="dxa"/>
            <w:vAlign w:val="bottom"/>
          </w:tcPr>
          <w:p>
            <w:pPr>
              <w:jc w:val="right"/>
              <w:ind w:right="437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4" w:name="page15"/>
    <w:bookmarkEnd w:id="1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FINAL CAPPING, CLOSURE AND POST-CLOSURE COSTS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of our landfills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accrued final capping, closure and post-closure liabilities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Obligations incurred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r>
      <w:tr>
        <w:trPr>
          <w:trHeight w:val="24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(1)</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540" w:right="2700" w:hanging="5532"/>
        <w:spacing w:after="0" w:line="923" w:lineRule="auto"/>
        <w:tabs>
          <w:tab w:leader="none" w:pos="6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include amounts that are being processed through accounts payable as a part of our disbursements cycle.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5" w:name="page16"/>
    <w:bookmarkEnd w:id="1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debt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Term loan A facility (“Term Loan Facility”) payable quarterly beginning in the fiscal year ended December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with balance due September 2029; bearing interest at 5.877% as of June 30, 2025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Revolving credit facility (“Revolving Credit Facility”) due September 2029; bearing interest at term secured</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overnight financing rate (“Term SOFR”) plus 1.550%</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Tax-Exempt Bonds: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 (“New</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Bonds 2014R-1”) due December 2044 - fixed rate interest period bearing interest at 2.875% through</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2029</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2014R-2</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8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(“New York Bonds 2014R-2”) due December 2044 - fixed rate interest period bearing interest at 3.125% through</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2026</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2020 (“New</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Bonds 2020”) due September 2050 - fixed rate interest period bearing interest at 2.750% through September</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2020R-2</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8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(“New York Bonds 2020R-2”) due September 2050 - fixed rate interest period bearing interest at 5.125% through</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2030</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2005R-3 (“FAME Bonds 2005R-3”)</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in January 2025 - fixed rate interest period bore interest at 5.25% through January 2025</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2015R-1 (“FAME Bonds 2015R-1”)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August 2035 - fixed rate interest period bearing interest at 5.125% through July 2025</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2015R-2 (“FAME Bonds 2015R-2”)</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August 2035 - fixed rate interest period bearing interest at 4.375% through July 2025</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2024 (“FAME Bonds 2024”) due</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2047 - fixed rate interest period bearing interest at 4.625% through May 2035</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2013</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(“Vermont Bonds 2013”) due April 2036 - fixed rate interest period bearing interest at 4.625% through April 2028</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2022A-1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8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(“Vermont Bonds 2022A-1”) due June 2052 - fixed rate interest period bearing interest at 5.00% through May</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Vermont Economic Development Authority Solid Waste Disposal Revenue Bonds Series 2022A-2 (“Vermont</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Bonds 2022A-2”) due June 2052 - fixed rate interest period bearing interest at 4.375% through May 2032</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Finance Authority of the State of New Hampshire Solid Waste Disposal Revenue Bonds Series 2013</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8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(“New Hampshire Bonds”) due April 2029 - fixed rate interest period bearing interest at 2.95% through April</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maturing through December 2107; bearing interest at a weighted average of 4.7%</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with no stated interest rate maturing through September 2028</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1,148,162</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unamortized debt issuance costs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1,133,251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Less—current maturities of debt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42,619</w:t>
            </w:r>
          </w:p>
        </w:tc>
      </w:tr>
      <w:tr>
        <w:trPr>
          <w:trHeight w:val="223"/>
        </w:trPr>
        <w:tc>
          <w:tcPr>
            <w:tcW w:w="8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1,090,632</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second amended and restated credit agreement (“Credit Agreement”) provides for a $800,000 aggregate principal amount Term Loan Facility and a $700,000 Revolving Credit Facility, with a $155,000 sublimit for letters of credit (collectively, the "Credit Facility").</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the right to request, at our discretion, an increase in the amount of loans under the Credit Facility by an aggregate amount of $200,000, subject to further increase based on the terms and conditions set forth in the Credit Agreement. The Credit Facility has a 5-year term that matures in September 2029. The Credit Facility shall bear interest, at our election, at Term SOFR or at a base rate, in each case plus or minus any sustainable rate adjustment of up to positive or negative 4.0 basis points per annum, plus an applicable interest rate margin based upon our consolidated net leverage ratio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3"/>
        </w:trPr>
        <w:tc>
          <w:tcPr>
            <w:tcW w:w="67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1.300% to 2.175%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0.300% to 1.175%</w:t>
            </w:r>
          </w:p>
        </w:tc>
      </w:tr>
    </w:tbl>
    <w:p>
      <w:pPr>
        <w:spacing w:after="0" w:line="18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 0.20% to 0.40% per annum, plus a sustainability adjustment of up to positive or negative 1.0 basis point per annum. The Credit Agreement provides that Term SOFR is subject to a zero percent floor. We are also required to pay a fronting fee for each letter of credit of 0.25% per annum. Interest under the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June 30, 2025, further advances were available under the Revolving Credit Facility in the amount of $673,693. The available amount is net of outstanding irrevocable letters of credit totaling $26,307, and as of June 30, 2025 no amount had been drawn.</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In addition to these financial covenants, the Credit Agreement contains a number of important customary affirmative and negative covenants which restrict, among other things, our ability to sell assets, incur additional debt, create liens, make investments, and pay dividends. As of June 30, 2025,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Tax-Exempt Financings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March 2025, we completed the drawdown of $25,000 aggregate principal amount of Vermont Bonds 2022A-2. In fiscal year 2024, we completed the issuance of $45,000 aggregate principal amount of FAME Bonds 2024, and $25,000 of the proceeds of such issuance were used for the repayment in full of FAME Bonds 2005R-3, which matured and were repaid in January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Restricted cash is included with cash and cash equivalents when reconciling the beginning of period and end of period total amounts shown on the consolidated statements of cash flows. Beginning of period and end of period cash, cash equivalents and restricted cash presented in the consolidated statements of cash flows is reconciled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7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358,303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60" w:type="dxa"/>
            <w:vAlign w:val="bottom"/>
            <w:tcBorders>
              <w:top w:val="single" w:sz="8" w:color="auto"/>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Our restricted cash at December 31, 2024 consisted of cash proceeds from the issuance of the FAME Bonds 2024 restricted to be used for the repayment in full of FAME Bonds 2005R-3 on its stated maturity in January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(loss)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both June 30, 2025 and December 31, 2024, we had $515,000 notional amount of active interest rate derivative agreements outstanding. These agreements mature between February 2026 and June 2028 and provide that we receive interest based on Term SOFR, restricted by a 0.0% floor, and pay interest at a weighted average rate of approximately 3.6%.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effect of cash flow hedges related to derivative instruments on the consolidated balance sheets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552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00" w:type="dxa"/>
            <w:vAlign w:val="bottom"/>
          </w:tcPr>
          <w:p>
            <w:pPr>
              <w:spacing w:after="0"/>
              <w:rPr>
                <w:sz w:val="11"/>
                <w:szCs w:val="11"/>
                <w:color w:val="auto"/>
              </w:rPr>
            </w:pPr>
          </w:p>
        </w:tc>
        <w:tc>
          <w:tcPr>
            <w:tcW w:w="124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1"/>
                <w:szCs w:val="11"/>
                <w:color w:val="auto"/>
              </w:rPr>
            </w:pPr>
          </w:p>
        </w:tc>
        <w:tc>
          <w:tcPr>
            <w:tcW w:w="114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55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2,902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8"/>
              </w:rPr>
              <w:t>1,628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4,530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8"/>
              </w:rPr>
              <w:t>7,135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8,606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 - tax effect</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8"/>
              </w:rPr>
              <w:t>1,121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8" w:name="page19"/>
    <w:bookmarkEnd w:id="1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FASB ASC 450 - Contingencies, we accrue for legal proceedings, inclusive of legal costs, when losses become probable and reasonably estimable. We have recorded an aggregate accrual of $1,880 relating to our outstanding legal proceedings as of June 30, 2025 and it is at least reasonably possible that a change in estimate will occur in the near-term.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 Letter of Deficiency</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June 14, 2024, our subsidiary, North Country Environmental Services, Inc. (“NCES”), received a Letter of Deficiency (the “Letter”) from the New Hampshire Department of Environmental Services (“NHDES”) concerning alleged violations related to leachate management and leachate data and reporting. The Letter required certain actions to correct the deficiencies on a prescribed timeline, and NCES has met the deadlines for information submission. Final terms of an Administrative Consent Order and a Supplemental Environmental Project are pending with the New Hampshire Department of Justice, in connection with which we have recorded an accrual in excess of $1,000 of potential penalties as of June 30,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Granite State Landfill Solid Waste Permit Denial</w:t>
      </w:r>
    </w:p>
    <w:p>
      <w:pPr>
        <w:spacing w:after="0" w:line="10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On April 3, 2025, NHDES denied the October 31, 2023 application of our subsidiary, Granite State Landfill, LLC (“GSL”), for the development of new landfill capacity in New Hampshire. On April 8, 2025, GSL filed a Petition for Declaratory Judgment in the Merrimack Superior Court (“Court”) requesting that the Court find that NHDES’s denial of GSL’s application was unlawful (“Petition”). On May 9, 2025, NHDES filed an Answer to the Petition. On June 23, 2025, North Country Alliance for Balanced Change (“NCABC”) filed a Motion to Intervene, in response to which GSL filed an Objection on June 30, 2025. On July 1, 2025, a scheduling conference was held and the Court issued a Scheduling Order of the same date providing that the issues raised in the Petition appear to be a legal dispute that can be addressed by cross-motions for summary judgment, and requiring the parties to confer and submit briefing schedule proposals to the Court on or before July 18, 2025. A Joint Proposed Briefing Schedule was filed by the parties on July 17, 2025. NCABC filed a reply to GSL’s Objection to NCABC’s Motion to Intervene on July 25, 2025.</w:t>
      </w:r>
    </w:p>
    <w:p>
      <w:pPr>
        <w:spacing w:after="0" w:line="21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On May 5, 2025, GSL and NCABC each filed a Notice of Appeal of NHDES’s denial of GSL’s application with the New Hampshire Waste Management Council (“GSL Appeal” and “NCABC Appeal”, respectively). On May 9, 2025, GSL filed a partially assented to Motion to Intervene in the NCABC Appeal, followed by a Motion to Dismiss the NCABC Appeal on June 27, 2025. NHDES filed a Motion to Dismiss the NCABC Appeal on July 17, 2025. NCABC filed an Objection to GSL’s Motion to Dismiss on July 24, 2025 and to NHDES’s Motion to Dismiss on July 28, 2025. As of June 30, 2025, we had $12,991 of capitalized project development costs related to the GSL landfill project included in other non-current assets.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which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inflate the estimated costs in current dollars to the expected time of payment and discount the total cost to present value using a risk-free interest rate when the amount and timing of cash payments for the liability are fixed or reliably determinable. The weighted-average risk-free interest rate associated with our environmental remediation liabilities as of June 30, 2025 was approximately 1.6%. A summary of the changes to the aggregate environmental remediation liabilities for the six months ended June 30, 2025 and 2024 follows:</w:t>
      </w:r>
    </w:p>
    <w:p>
      <w:pPr>
        <w:spacing w:after="0" w:line="10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52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30"/>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(1)</w:t>
            </w:r>
          </w:p>
        </w:tc>
        <w:tc>
          <w:tcPr>
            <w:tcW w:w="15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52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0"/>
        </w:trPr>
        <w:tc>
          <w:tcPr>
            <w:tcW w:w="6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include amounts that are being processed through accounts payable as a part of our disbursement cycle.</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fiscal year 2024, our stockholders approved the amendment and restatement of our 2016 Incentive Plan (“Amended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2025, there were 2,018 Class A common stock equivalents available for future grant under the Amended 2016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0" w:name="page21"/>
    <w:bookmarkEnd w:id="20"/>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stock option granted is estimated using a Black-Scholes option-pricing model, which uses a risk-free interest rate, based on the U.S. Treasury yield curve for the period of the expected life of the stock option; and requires extensive use of accounting judgment and financial estimation, including estimates of: the expected term, calculated based on the weighted averaged historical life of vested stock options, giving consideration to vesting schedules and historical exercise patterns; and the expected volatility, calculated using the weekly historical volatility of our Class A common stock over the expected life of the stock option.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June 30, 2025</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79.50</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was $135 and $268 during the three and six months ended June 30, 2025, respectively, as compared to $151 and $302 during the three and six months ended June 30, 2024, respectively. As of June 30, 2025, we had $1,261 of unrecognized stock-based compensation expense related to outstanding stock options to be recognized over a weighted average period of 2.4 years.</w:t>
      </w:r>
    </w:p>
    <w:p>
      <w:pPr>
        <w:spacing w:after="0" w:line="68" w:lineRule="exact"/>
        <w:rPr>
          <w:sz w:val="20"/>
          <w:szCs w:val="20"/>
          <w:color w:val="auto"/>
        </w:rPr>
      </w:pPr>
    </w:p>
    <w:p>
      <w:pPr>
        <w:ind w:right="2100"/>
        <w:spacing w:after="0" w:line="375"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2025, the aggregate intrinsic value of stock options exercised was zero dollars. </w:t>
      </w:r>
      <w:r>
        <w:rPr>
          <w:rFonts w:ascii="Times New Roman" w:cs="Times New Roman" w:eastAsia="Times New Roman" w:hAnsi="Times New Roman"/>
          <w:sz w:val="18"/>
          <w:szCs w:val="18"/>
          <w:b w:val="1"/>
          <w:bCs w:val="1"/>
          <w:i w:val="1"/>
          <w:iCs w:val="1"/>
          <w:color w:val="auto"/>
        </w:rPr>
        <w:t>Other Stock Awards</w:t>
      </w:r>
    </w:p>
    <w:p>
      <w:pPr>
        <w:spacing w:after="0" w:line="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Typically, 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restricted stock unit and performance stock unit activity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2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15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20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and Performance Stock Units</w:t>
            </w:r>
          </w:p>
        </w:tc>
        <w:tc>
          <w:tcPr>
            <w:tcW w:w="840" w:type="dxa"/>
            <w:vAlign w:val="bottom"/>
          </w:tcPr>
          <w:p>
            <w:pPr>
              <w:jc w:val="center"/>
              <w:ind w:left="457"/>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3"/>
                <w:szCs w:val="13"/>
                <w:color w:val="auto"/>
              </w:rPr>
            </w:pPr>
          </w:p>
        </w:tc>
        <w:tc>
          <w:tcPr>
            <w:tcW w:w="1240" w:type="dxa"/>
            <w:vAlign w:val="bottom"/>
          </w:tcPr>
          <w:p>
            <w:pPr>
              <w:jc w:val="right"/>
              <w:ind w:right="319"/>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84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June 30, 2025</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37"/>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102.10</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54,146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right="440" w:hanging="652"/>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 grants, including market-based performance stock units, are included at the 100% attainment level. Attainment of the maximum performance targets and market achievements would result in the issuance of an additional 208 shares of Class A common stock currently included in unvested.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ind w:right="1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restricted stock awards, restricted stock units and performance stock units was $2,527 and $7,136 during the three and six months ended June 30, 2025, respectively, as compared to $2,349 and $4,225 during the three and six months ended June 30,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2025, the total fair value of other stock awards vested was $5,005.</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June 30, 2025, total unrecognized stock-based compensation expense related to outstanding restricted stock units was $9,210, which will be recognized over a weighted average period of 2.1 years. As of June 30, 2025, total expected unrecognized stock-based compensation expense related to outstanding performance stock units was $12,069, which will be recognized over a weighted average period of 1.9 years.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weighted average fair value of market-based performance stock units granted during the six months ended June 30, 2025 was $118.64 per award, which was calculated using a Monte Carlo pricing model assuming a risk-free interest rate of 3.95% and an expected volatility of 25.1%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7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recorded $203 and $373 of stock-based compensation expense related to the Second Amended and Restated 1997 Employee Stock Purchase Plan during the three and six months ended June 30, 2025, respectively, as compared to $174 and $283 during the three and six months ended June 30,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 Net of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balances of each component of accumulated other comprehensive (loss) income, net of tax follows:</w:t>
      </w:r>
    </w:p>
    <w:p>
      <w:pPr>
        <w:spacing w:after="0" w:line="97"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4"/>
          <w:szCs w:val="14"/>
          <w:b w:val="1"/>
          <w:bCs w:val="1"/>
          <w:color w:val="auto"/>
        </w:rPr>
        <w:t>Interest Rate Swaps</w:t>
      </w:r>
    </w:p>
    <w:p>
      <w:pPr>
        <w:sectPr>
          <w:pgSz w:w="11900" w:h="16838" w:orient="portrait"/>
          <w:cols w:equalWidth="0" w:num="1">
            <w:col w:w="11240"/>
          </w:cols>
          <w:pgMar w:left="320" w:top="999"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June 30, 2025</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933" w:hanging="933"/>
        <w:spacing w:after="0"/>
        <w:tabs>
          <w:tab w:leader="none" w:pos="9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3,312</w:t>
      </w:r>
    </w:p>
    <w:p>
      <w:pPr>
        <w:spacing w:after="0" w:line="36" w:lineRule="exact"/>
        <w:rPr>
          <w:rFonts w:ascii="Times New Roman" w:cs="Times New Roman" w:eastAsia="Times New Roman" w:hAnsi="Times New Roman"/>
          <w:sz w:val="18"/>
          <w:szCs w:val="18"/>
          <w:color w:val="auto"/>
        </w:rPr>
      </w:pPr>
    </w:p>
    <w:p>
      <w:pPr>
        <w:ind w:left="8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(6,869)</w:t>
      </w:r>
    </w:p>
    <w:p>
      <w:pPr>
        <w:spacing w:after="0" w:line="27" w:lineRule="exact"/>
        <w:rPr>
          <w:rFonts w:ascii="Times New Roman" w:cs="Times New Roman" w:eastAsia="Times New Roman" w:hAnsi="Times New Roman"/>
          <w:sz w:val="18"/>
          <w:szCs w:val="18"/>
          <w:color w:val="auto"/>
        </w:rPr>
      </w:pPr>
    </w:p>
    <w:p>
      <w:pPr>
        <w:ind w:left="8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(1,997)</w:t>
      </w:r>
    </w:p>
    <w:p>
      <w:pPr>
        <w:spacing w:after="0" w:line="22" w:lineRule="exact"/>
        <w:rPr>
          <w:rFonts w:ascii="Times New Roman" w:cs="Times New Roman" w:eastAsia="Times New Roman" w:hAnsi="Times New Roman"/>
          <w:sz w:val="18"/>
          <w:szCs w:val="18"/>
          <w:color w:val="auto"/>
        </w:rPr>
      </w:pPr>
    </w:p>
    <w:p>
      <w:pPr>
        <w:ind w:left="9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2,599</w:t>
      </w:r>
    </w:p>
    <w:p>
      <w:pPr>
        <w:spacing w:after="0" w:line="31" w:lineRule="exact"/>
        <w:rPr>
          <w:rFonts w:ascii="Times New Roman" w:cs="Times New Roman" w:eastAsia="Times New Roman" w:hAnsi="Times New Roman"/>
          <w:sz w:val="18"/>
          <w:szCs w:val="18"/>
          <w:color w:val="auto"/>
        </w:rPr>
      </w:pPr>
    </w:p>
    <w:p>
      <w:pPr>
        <w:ind w:left="8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086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-582295</wp:posOffset>
            </wp:positionV>
            <wp:extent cx="9086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6" w:lineRule="exact"/>
        <w:rPr>
          <w:sz w:val="20"/>
          <w:szCs w:val="20"/>
          <w:color w:val="auto"/>
        </w:rPr>
      </w:pPr>
    </w:p>
    <w:p>
      <w:pPr>
        <w:ind w:left="853" w:hanging="853"/>
        <w:spacing w:after="0"/>
        <w:tabs>
          <w:tab w:leader="none" w:pos="8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086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7" w:space="720"/>
            <w:col w:w="1413"/>
          </w:cols>
          <w:pgMar w:left="320" w:top="999" w:right="3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accumulated other comprehensive (loss) income, net of tax into earnings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9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20" w:type="dxa"/>
            <w:vAlign w:val="bottom"/>
          </w:tcPr>
          <w:p>
            <w:pPr>
              <w:spacing w:after="0"/>
              <w:rPr>
                <w:sz w:val="13"/>
                <w:szCs w:val="13"/>
                <w:color w:val="auto"/>
              </w:rPr>
            </w:pPr>
          </w:p>
        </w:tc>
      </w:tr>
      <w:tr>
        <w:trPr>
          <w:trHeight w:val="196"/>
        </w:trPr>
        <w:tc>
          <w:tcPr>
            <w:tcW w:w="3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3420" w:type="dxa"/>
            <w:vAlign w:val="bottom"/>
          </w:tcPr>
          <w:p>
            <w:pPr>
              <w:spacing w:after="0"/>
              <w:rPr>
                <w:sz w:val="17"/>
                <w:szCs w:val="17"/>
                <w:color w:val="auto"/>
              </w:rPr>
            </w:pPr>
          </w:p>
        </w:tc>
      </w:tr>
      <w:tr>
        <w:trPr>
          <w:trHeight w:val="196"/>
        </w:trPr>
        <w:tc>
          <w:tcPr>
            <w:tcW w:w="3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20" w:type="dxa"/>
            <w:vAlign w:val="bottom"/>
          </w:tcPr>
          <w:p>
            <w:pPr>
              <w:spacing w:after="0"/>
              <w:rPr>
                <w:sz w:val="17"/>
                <w:szCs w:val="17"/>
                <w:color w:val="auto"/>
              </w:rPr>
            </w:pPr>
          </w:p>
        </w:tc>
      </w:tr>
      <w:tr>
        <w:trPr>
          <w:trHeight w:val="135"/>
        </w:trPr>
        <w:tc>
          <w:tcPr>
            <w:tcW w:w="340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4"/>
                <w:szCs w:val="14"/>
                <w:b w:val="1"/>
                <w:bCs w:val="1"/>
                <w:color w:val="auto"/>
              </w:rPr>
              <w:t>Accumulated Other Comprehensive (Loss) Income,</w:t>
            </w:r>
          </w:p>
        </w:tc>
        <w:tc>
          <w:tcPr>
            <w:tcW w:w="160" w:type="dxa"/>
            <w:vAlign w:val="bottom"/>
          </w:tcPr>
          <w:p>
            <w:pPr>
              <w:spacing w:after="0"/>
              <w:rPr>
                <w:sz w:val="11"/>
                <w:szCs w:val="11"/>
                <w:color w:val="auto"/>
              </w:rPr>
            </w:pPr>
          </w:p>
        </w:tc>
        <w:tc>
          <w:tcPr>
            <w:tcW w:w="4260" w:type="dxa"/>
            <w:vAlign w:val="bottom"/>
            <w:gridSpan w:val="10"/>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Amounts Reclassified Out of Accumulated Other Comprehensive</w:t>
            </w:r>
          </w:p>
        </w:tc>
        <w:tc>
          <w:tcPr>
            <w:tcW w:w="3420" w:type="dxa"/>
            <w:vAlign w:val="bottom"/>
          </w:tcPr>
          <w:p>
            <w:pPr>
              <w:ind w:left="560"/>
              <w:spacing w:after="0" w:line="135" w:lineRule="exact"/>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r>
      <w:tr>
        <w:trPr>
          <w:trHeight w:val="196"/>
        </w:trPr>
        <w:tc>
          <w:tcPr>
            <w:tcW w:w="34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 Income, Net of Tax</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2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r>
      <w:tr>
        <w:trPr>
          <w:trHeight w:val="236"/>
        </w:trPr>
        <w:tc>
          <w:tcPr>
            <w:tcW w:w="3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w w:val="97"/>
              </w:rPr>
              <w:t>(985)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8"/>
              </w:rPr>
              <w:t>(4,611)</w:t>
            </w: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3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left="379"/>
              <w:spacing w:after="0"/>
              <w:rPr>
                <w:sz w:val="20"/>
                <w:szCs w:val="20"/>
                <w:color w:val="auto"/>
              </w:rPr>
            </w:pPr>
            <w:r>
              <w:rPr>
                <w:rFonts w:ascii="Times New Roman" w:cs="Times New Roman" w:eastAsia="Times New Roman" w:hAnsi="Times New Roman"/>
                <w:sz w:val="18"/>
                <w:szCs w:val="18"/>
                <w:color w:val="auto"/>
                <w:w w:val="96"/>
              </w:rPr>
              <w:t>985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8"/>
              </w:rPr>
              <w:t>4,611</w:t>
            </w: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r>
      <w:tr>
        <w:trPr>
          <w:trHeight w:val="230"/>
        </w:trPr>
        <w:tc>
          <w:tcPr>
            <w:tcW w:w="34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w w:val="96"/>
              </w:rPr>
              <w:t>289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1,272</w:t>
            </w: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r>
      <w:tr>
        <w:trPr>
          <w:trHeight w:val="223"/>
        </w:trPr>
        <w:tc>
          <w:tcPr>
            <w:tcW w:w="3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8"/>
                <w:szCs w:val="18"/>
                <w:color w:val="auto"/>
                <w:w w:val="96"/>
              </w:rPr>
              <w:t>696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color w:val="auto"/>
              </w:rPr>
              <w:t>3,339</w:t>
            </w: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2" w:name="page23"/>
    <w:bookmarkEnd w:id="22"/>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Basic earnings per share attributable to common stockholders is computed by dividing net income by the weighted average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attributable to common stockholders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360" w:type="dxa"/>
            <w:vAlign w:val="bottom"/>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outstanding, end of period:</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62,502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57,145</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weighted average shares outstanding</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63,461</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58,109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58,070</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Impact of potentially dilutive securities: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 and other stock awards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63,563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potentially issuable shares</w:t>
            </w:r>
          </w:p>
        </w:tc>
        <w:tc>
          <w:tcPr>
            <w:tcW w:w="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tcBorders>
              <w:top w:val="single" w:sz="8" w:color="CCEEFF"/>
            </w:tcBorders>
            <w:vMerge w:val="continue"/>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200" w:firstLine="8"/>
        <w:spacing w:after="0" w:line="400" w:lineRule="auto"/>
        <w:tabs>
          <w:tab w:leader="none" w:pos="395"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ITEMS AND CHARGES Expense from Acquisition Activities</w:t>
      </w: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three and six months ended June 30, 2025, we recorded charges of $6,463 and $11,992, respectively, and in the three and six months ended June 30, 2024, we recorded charges of $7,836 and $12,847, respectively, comprised primarily of legal, consulting, rebranding, information technology and other costs associated with the due diligence, acquisition and integration of acquired businesses. The three and six months ended June 30, 2024 included a charge for an increase in the reserve against accounts receivable of the businesses acquired in our acquisition of the equity interests of four wholly-owned subsidiaries of GFL Environmental Inc. as a result of our inability to pursue collections during the transition services period with the seller, resulting in accounts receivable aged beyond what is typical in our business.</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Assets and Liabilities Accounted for at Fair Value</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cash equivalents and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consolidated balance sheets at fair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our financial assets and liabilities that are measured at fair value on a recurring basis follow: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 Measurement at June 30, 2025 Using:</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5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5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7"/>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2024 Using:</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1"/>
                <w:szCs w:val="11"/>
                <w:color w:val="auto"/>
              </w:rPr>
            </w:pPr>
          </w:p>
        </w:tc>
        <w:tc>
          <w:tcPr>
            <w:tcW w:w="150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5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of June 30, 2025, the fair value of our fixed rate debt, including our FAME Bonds 2015R-1, FAME Bonds 2015R-2, FAME Bonds 2024, Vermont Bonds 2013, Vermont Bonds 2022A-1, Vermont Bonds 2022A-2, New York Bonds 2014R-1, New York Bonds 2014R-2, New York Bonds 2020, New York Bonds 2020R-2 and New Hampshire Bonds (collectively, the “Industrial Revenue Bonds”) was approximately $274,317 and the carrying value was $277,000.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June 30, 2025, the carrying value of our Term Loan Facility was $800,000 and the carrying value of our Revolving Credit Facility was zero dollars. Their fair values are based on current borrowing rates for similar types of borrowing arrangements, or Level 2 inputs, and approximate their carrying values.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report selected information about our reportable operating segments in a manner consistent with that used for internal management reporting. We classify our solid waste operations on a geographic basis through three regional operating segments, our Eastern, Western and Mid-Atlantic regions. In the six months ended June 30, 2025, we moved certain operations between our regional operating segments to align geographically, including a landfill that we own from the Western region to the Mid-Atlantic region and a collection and transfer station operation from our Western region to our Eastern region. Certain prior period amounts have been reclassified between regional operating segments to conform to the current period presentation.</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Operating income (loss) by segment reported in the three and six months ended June 30, 2024 has been updated to conform with the presentation for the three and six months ended June 30, 2025, which includes the movement of certain operations described above and does not have Corporate Entities costs allocated to our reportable operating segments. See Note 5,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the breakout of goodwill by reportable operating segment.</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accounting policies of our reportable operating segments are the same as those described in Item 8. “Financial Statements and Supplementary Data” of our 2024 Form 10-K. Our President is our chief operating decision maker (“CODM”). Our CODM uses operating income in evaluating reportable operating segment performance in order to properly allocate resources and make key operating decisions. Intercompany revenues and expenses are eliminated in the computation of consolidated gross revenues and operating income.</w:t>
      </w:r>
    </w:p>
    <w:p>
      <w:pPr>
        <w:spacing w:after="0" w:line="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CODM uses operating income for each reportable operating segment in the annual budget and forecasting process and considers budget-to-actual and forecast-to-actual variances on a monthly basis when making decisions about the allocation of operating and capital resources to each reportable operating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three and six months ended June 30, 2025 and 2024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Solid Waste</w:t>
            </w:r>
          </w:p>
        </w:tc>
        <w:tc>
          <w:tcPr>
            <w:tcW w:w="20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Resource</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0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465,334</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revenues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(97,121)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229,097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(97,121)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465,334</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(97,121)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308,070</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0" w:type="dxa"/>
            <w:vAlign w:val="bottom"/>
          </w:tcPr>
          <w:p>
            <w:pPr>
              <w:spacing w:after="0"/>
              <w:rPr>
                <w:sz w:val="1"/>
                <w:szCs w:val="1"/>
                <w:color w:val="auto"/>
              </w:rPr>
            </w:pPr>
          </w:p>
        </w:tc>
      </w:tr>
      <w:tr>
        <w:trPr>
          <w:trHeight w:val="176"/>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77,006</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Expense from acquisition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19,272</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0" w:type="dxa"/>
            <w:vAlign w:val="bottom"/>
          </w:tcPr>
          <w:p>
            <w:pPr>
              <w:spacing w:after="0"/>
              <w:rPr>
                <w:sz w:val="1"/>
                <w:szCs w:val="1"/>
                <w:color w:val="auto"/>
              </w:rPr>
            </w:pPr>
          </w:p>
        </w:tc>
      </w:tr>
      <w:tr>
        <w:trPr>
          <w:trHeight w:val="236"/>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66,403</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3,256,911</w:t>
            </w:r>
          </w:p>
        </w:tc>
        <w:tc>
          <w:tcPr>
            <w:tcW w:w="0" w:type="dxa"/>
            <w:vAlign w:val="bottom"/>
          </w:tcPr>
          <w:p>
            <w:pPr>
              <w:spacing w:after="0"/>
              <w:rPr>
                <w:sz w:val="1"/>
                <w:szCs w:val="1"/>
                <w:color w:val="auto"/>
              </w:rPr>
            </w:pPr>
          </w:p>
        </w:tc>
      </w:tr>
      <w:tr>
        <w:trPr>
          <w:trHeight w:val="365"/>
        </w:trPr>
        <w:tc>
          <w:tcPr>
            <w:tcW w:w="30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8"/>
                <w:szCs w:val="18"/>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Solid Waste</w:t>
            </w: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Resource</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8"/>
                <w:szCs w:val="1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8"/>
                <w:szCs w:val="18"/>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0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revenues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(83,043)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(83,043)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(83,043)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243,787</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55,338</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Expense from acquisition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12,697</w:t>
            </w:r>
          </w:p>
        </w:tc>
        <w:tc>
          <w:tcPr>
            <w:tcW w:w="0" w:type="dxa"/>
            <w:vAlign w:val="bottom"/>
          </w:tcPr>
          <w:p>
            <w:pPr>
              <w:spacing w:after="0"/>
              <w:rPr>
                <w:sz w:val="1"/>
                <w:szCs w:val="1"/>
                <w:color w:val="auto"/>
              </w:rPr>
            </w:pPr>
          </w:p>
        </w:tc>
      </w:tr>
      <w:tr>
        <w:trPr>
          <w:trHeight w:val="230"/>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155"/>
        </w:trPr>
        <w:tc>
          <w:tcPr>
            <w:tcW w:w="1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0" w:type="dxa"/>
            <w:vAlign w:val="bottom"/>
          </w:tcPr>
          <w:p>
            <w:pPr>
              <w:spacing w:after="0"/>
              <w:rPr>
                <w:sz w:val="1"/>
                <w:szCs w:val="1"/>
                <w:color w:val="auto"/>
              </w:rPr>
            </w:pPr>
          </w:p>
        </w:tc>
      </w:tr>
      <w:tr>
        <w:trPr>
          <w:trHeight w:val="236"/>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44,649</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1,968,739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Solid Waste</w:t>
            </w:r>
          </w:p>
        </w:tc>
        <w:tc>
          <w:tcPr>
            <w:tcW w:w="20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Resource</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0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225,664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322,451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708,528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882,435</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revenues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(178,795)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(178,795)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882,435</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(178,795)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588,521</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111,009</w:t>
            </w:r>
          </w:p>
        </w:tc>
        <w:tc>
          <w:tcPr>
            <w:tcW w:w="0" w:type="dxa"/>
            <w:vAlign w:val="bottom"/>
          </w:tcPr>
          <w:p>
            <w:pPr>
              <w:spacing w:after="0"/>
              <w:rPr>
                <w:sz w:val="1"/>
                <w:szCs w:val="1"/>
                <w:color w:val="auto"/>
              </w:rPr>
            </w:pPr>
          </w:p>
        </w:tc>
      </w:tr>
      <w:tr>
        <w:trPr>
          <w:trHeight w:val="176"/>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148,497</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Expense from acquisition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24,598</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48"/>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24,598</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121,878</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3,256,911</w:t>
            </w:r>
          </w:p>
        </w:tc>
        <w:tc>
          <w:tcPr>
            <w:tcW w:w="0" w:type="dxa"/>
            <w:vAlign w:val="bottom"/>
          </w:tcPr>
          <w:p>
            <w:pPr>
              <w:spacing w:after="0"/>
              <w:rPr>
                <w:sz w:val="1"/>
                <w:szCs w:val="1"/>
                <w:color w:val="auto"/>
              </w:rPr>
            </w:pPr>
          </w:p>
        </w:tc>
      </w:tr>
      <w:tr>
        <w:trPr>
          <w:trHeight w:val="581"/>
        </w:trPr>
        <w:tc>
          <w:tcPr>
            <w:tcW w:w="30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Solid Waste</w:t>
            </w:r>
          </w:p>
        </w:tc>
        <w:tc>
          <w:tcPr>
            <w:tcW w:w="20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Resource</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4"/>
                <w:szCs w:val="14"/>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0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260,956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revenues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(155,303)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revenues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266,334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(155,303)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718,170</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(155,303)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474,578</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91,517</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Expense from acquisition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25,767</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36"/>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25,767</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74,900</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1,968,739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A summary of our revenues attributable to services provided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435,318</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w:t>
            </w: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Solid waste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559,881</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63,038</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95,251</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Resource Solutions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173,907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158,289</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8" w:name="page29"/>
    <w:bookmarkEnd w:id="2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consolidated financial statements and notes thereto included under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In addition, reference should be made to our audited consolidated financial statements and notes thereto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appearing in our Annual Report on Form 10-K for the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2024 (“fiscal year 2024”) filed with the Securities and Exchange Commission on February 18, 2025 (“2024 Form 10-K”).</w:t>
      </w:r>
    </w:p>
    <w:p>
      <w:pPr>
        <w:spacing w:after="0" w:line="9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This Quarterly Report on Form 10-Q and, in particular,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may contain or incorporate a number of forward-looking statements within the meaning of Section 27A of the Securities Act of 1933, as amended, and Section 21E of the Securities Exchange Act of 1934, as amended, including statements regarding:</w:t>
      </w:r>
    </w:p>
    <w:p>
      <w:pPr>
        <w:spacing w:after="0" w:line="67" w:lineRule="exact"/>
        <w:rPr>
          <w:sz w:val="20"/>
          <w:szCs w:val="20"/>
          <w:color w:val="auto"/>
        </w:rPr>
      </w:pPr>
    </w:p>
    <w:p>
      <w:pPr>
        <w:ind w:left="660" w:right="28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business acquisitions or divestitures, integrate acquired businesses and operations and achieve the expected benefits, including the expected annualized revenues from such acquired businesses and operations;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key strategies of our long-term strategic plan;</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development of additional disposal capacity or expectations regarding permits for existing capacity;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matter;</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liquidity and financing plans;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revenues, operations, expenditures and cash needs;</w:t>
      </w:r>
    </w:p>
    <w:p>
      <w:pPr>
        <w:spacing w:after="0" w:line="117" w:lineRule="exact"/>
        <w:rPr>
          <w:rFonts w:ascii="Times New Roman" w:cs="Times New Roman" w:eastAsia="Times New Roman" w:hAnsi="Times New Roman"/>
          <w:sz w:val="18"/>
          <w:szCs w:val="18"/>
          <w:color w:val="auto"/>
        </w:rPr>
      </w:pPr>
    </w:p>
    <w:p>
      <w:pPr>
        <w:ind w:left="660" w:right="60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pricing programs and operational initiatives will outpace higher operating and construction costs from inflation and regulatory changes;</w:t>
      </w:r>
    </w:p>
    <w:p>
      <w:pPr>
        <w:spacing w:after="0" w:line="53"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which could impair our financial results by causing increased costs, loss of revenue, reduced operational efficiency or disruptions to our operations;</w:t>
      </w:r>
    </w:p>
    <w:p>
      <w:pPr>
        <w:spacing w:after="0" w:line="53"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obligations related to final capping, closure and post-closure costs of our existing landfills and any disposal facilities which we may own or operate in the future;</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tax positions;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or impairment of any of our assets or goodwill;</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potential markets for our products and services, including the anticipated drivers for future growth;</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plans or price and volume assumptions;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improvements to our infrastructure and the impact of such improvements on our business and operations; and</w:t>
      </w:r>
    </w:p>
    <w:p>
      <w:pPr>
        <w:spacing w:after="0" w:line="117" w:lineRule="exact"/>
        <w:rPr>
          <w:rFonts w:ascii="Times New Roman" w:cs="Times New Roman" w:eastAsia="Times New Roman" w:hAnsi="Times New Roman"/>
          <w:sz w:val="18"/>
          <w:szCs w:val="18"/>
          <w:color w:val="auto"/>
        </w:rPr>
      </w:pPr>
    </w:p>
    <w:p>
      <w:pPr>
        <w:ind w:left="660" w:right="140" w:hanging="652"/>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tariffs, fluctuations in recycling commodity pricing, interest rates and access to capital markets, that generally are not within our control, and our exposure to credit and counterparty risk.</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2024 Form 10-K.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ind w:right="240"/>
        <w:spacing w:after="0" w:line="266" w:lineRule="auto"/>
        <w:rPr>
          <w:sz w:val="20"/>
          <w:szCs w:val="20"/>
          <w:color w:val="auto"/>
        </w:rPr>
      </w:pPr>
      <w:r>
        <w:rPr>
          <w:rFonts w:ascii="Times New Roman" w:cs="Times New Roman" w:eastAsia="Times New Roman" w:hAnsi="Times New Roman"/>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integrated solid waste services in ten states: Vermont, New Hampshire, New York, Massachusetts, Connecticut, Maine, Pennsylvania, Delaware, New Jersey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July 15, 2025, we owned and/or operated 79 solid waste collection operations, 70 transfer stations, 31 recycling facilities, eight Subtitle D landfills, three landfill gas-to-energy facilities and one landfill permitted to accept construction and demolition (“C&amp;D”) materials. We also housed two landfill gas-to-energy facilities, which are owned and operated by third parties, at landfills we owned and/or operated.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manage our solid waste operations, which include a full range of solid waste services, on a geographic basis through three regional operating segments, which we designate as the Eastern, Western and Mid-Atlantic regions. In the six months ended June 30, 2025, we moved certain operations between our regional operating segments, including a landfill that we own from the Western region to the Mid-Atlantic region and a collection and transfer station operation from our Western region to our Eastern region. Throughout this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certain prior period amounts have been reclassified between regional operating segments to conform to the current period presentation.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information,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 our consolidated financial statements included under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8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Revenues associated with our solid waste operations are derived mainly from fees charged to customers for solid waste collection and disposal services, including landfill, transfer station and transportation services, landfill gas-to-energy services,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 renewal operations through the Resource Solutions operating segment, which includes processing services and services provided by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table below shows revenues attributable to services provided (dollars in millions and as a percentage of total revenues) for the following periods: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Solid waste</w:t>
            </w: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2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Resource Solutions</w:t>
            </w: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waste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300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6"/>
        </w:trPr>
        <w:tc>
          <w:tcPr>
            <w:tcW w:w="478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c>
          <w:tcPr>
            <w:tcW w:w="180" w:type="dxa"/>
            <w:vAlign w:val="bottom"/>
          </w:tcPr>
          <w:p>
            <w:pPr>
              <w:spacing w:after="0"/>
              <w:rPr>
                <w:sz w:val="17"/>
                <w:szCs w:val="17"/>
                <w:color w:val="auto"/>
              </w:rPr>
            </w:pPr>
          </w:p>
        </w:tc>
        <w:tc>
          <w:tcPr>
            <w:tcW w:w="3000" w:type="dxa"/>
            <w:vAlign w:val="bottom"/>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transfers to National Accounts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48"/>
        </w:trPr>
        <w:tc>
          <w:tcPr>
            <w:tcW w:w="4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most significant items impacting the changes in our solid waste revenues during the three and six months ended June 30, 2025 as compared to the prior year periods are summarized below:</w:t>
      </w:r>
    </w:p>
    <w:p>
      <w:pPr>
        <w:spacing w:after="0" w:line="1" w:lineRule="exact"/>
        <w:rPr>
          <w:sz w:val="20"/>
          <w:szCs w:val="20"/>
          <w:color w:val="auto"/>
        </w:rPr>
      </w:pPr>
    </w:p>
    <w:p>
      <w:pPr>
        <w:ind w:left="660" w:right="1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increased solid waste revenues both quarterly and year-to-date, including higher collection pricing of $11.0 million quarterly, or 4.9% as a percentage of collection revenues, and $23.3 million year-to-date, or 5.4% as a percentage of collection revenues, and higher disposal pricing of $3.8 million quarterly, or 5.8% as a percentage of disposal revenues, and $6.5 million year-to-date, or 5.7% as a percentage of disposal revenues, associated with our landfills and transfer stations.</w:t>
      </w:r>
    </w:p>
    <w:p>
      <w:pPr>
        <w:spacing w:after="0" w:line="17"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decreased solid waste revenues both quarterly and year-to-date, driven by lower collection volumes of $(2.6) million quarterly, or (1.2)% as a percentage of collection revenues, and $(6.0) million year-to-date, or (1.4)% as a percentage of collection revenues, partially offset by higher disposal volumes of $0.4 million quarterly, or 0.6% as a percentage of disposal revenues, but including lower disposal volumes of $(0.7) million year-to-date, or (0.6)% as a percentage of disposal revenues, with lower transfer station volumes both quarterly and year-to-date more than offset quarterly and partially offset year-to-date by higher landfill volumes.</w:t>
      </w:r>
    </w:p>
    <w:p>
      <w:pPr>
        <w:spacing w:after="0" w:line="2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increased solid waste revenues due to the partial year impact of our acquisition of six businesses in the six months ended June 30, 2025, as well as the rollover impact of eight acquisitions completed in fiscal year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below for discussion over the period-to-period changes in Resource Solutions revenues.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A summary of cost of operations, general and administration expense, and depreciation and amortization expense is as follows (dollars in millions and as a percentage of total revenues):</w:t>
      </w: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308.1</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243.8</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474.6</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54.5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47.2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91.5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77.0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55.3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109.4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cost of operations is as follows (dollars in millions and as a percentage of total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gridSpan w:val="3"/>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labor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operational costs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 costs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operational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operations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most significant items impacting the changes in our cost of operations during the three and six months ended June 30, 2025 as compared to the prior year periods are summarized below:</w:t>
      </w:r>
    </w:p>
    <w:p>
      <w:pPr>
        <w:spacing w:after="0" w:line="1" w:lineRule="exact"/>
        <w:rPr>
          <w:sz w:val="20"/>
          <w:szCs w:val="20"/>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Direct costs increased in aggregate dollars primarily due to acquisitions and higher third-party disposal rates.</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 increased primarily due to acquisitions and higher wage and benefit rates.</w:t>
      </w:r>
    </w:p>
    <w:p>
      <w:pPr>
        <w:spacing w:after="0" w:line="63" w:lineRule="exact"/>
        <w:rPr>
          <w:rFonts w:ascii="Times New Roman" w:cs="Times New Roman" w:eastAsia="Times New Roman" w:hAnsi="Times New Roman"/>
          <w:sz w:val="18"/>
          <w:szCs w:val="18"/>
          <w:color w:val="auto"/>
        </w:rPr>
      </w:pPr>
    </w:p>
    <w:p>
      <w:pPr>
        <w:ind w:left="460" w:right="220" w:hanging="331"/>
        <w:spacing w:after="0" w:line="258"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 operational costs increased in aggregate dollars primarily due to (i) acquisitions, (ii) higher accruals related to insurance claims and legal penalties associated with leachate management at a landfill we own in our Eastern region, (iii) higher accretion expense associated with changes in the timing and cost estimates of our capping, closure and post-closure obligations, and (iv) general cost inflation; partially offset by lower leachate disposal costs. 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 Item 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of this Quarterly Report on Form 10-Q for further disclosure regarding the legal penalties accrual.</w:t>
      </w:r>
    </w:p>
    <w:p>
      <w:pPr>
        <w:spacing w:after="0" w:line="19" w:lineRule="exact"/>
        <w:rPr>
          <w:rFonts w:ascii="Times New Roman" w:cs="Times New Roman" w:eastAsia="Times New Roman" w:hAnsi="Times New Roman"/>
          <w:sz w:val="18"/>
          <w:szCs w:val="18"/>
          <w:color w:val="auto"/>
        </w:rPr>
      </w:pPr>
    </w:p>
    <w:p>
      <w:pPr>
        <w:ind w:left="460" w:right="300" w:hanging="331"/>
        <w:spacing w:after="0" w:line="282"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costs increased in aggregate dollars due to acquisitions, partially offset by lower diesel fuel prices. See Item 3.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of this Quarterly Report on Form 10-Q for additional information regarding our fuel costs.</w:t>
      </w:r>
    </w:p>
    <w:p>
      <w:pPr>
        <w:spacing w:after="0" w:line="1"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due to acquisitions and higher personnel and parts costs.</w:t>
      </w:r>
    </w:p>
    <w:p>
      <w:pPr>
        <w:spacing w:after="0" w:line="63" w:lineRule="exact"/>
        <w:rPr>
          <w:rFonts w:ascii="Times New Roman" w:cs="Times New Roman" w:eastAsia="Times New Roman" w:hAnsi="Times New Roman"/>
          <w:sz w:val="18"/>
          <w:szCs w:val="18"/>
          <w:color w:val="auto"/>
        </w:rPr>
      </w:pPr>
    </w:p>
    <w:p>
      <w:pPr>
        <w:ind w:left="460" w:right="460" w:hanging="331"/>
        <w:spacing w:after="0" w:line="282"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in aggregate dollars due to (i) acquisitions, (ii) higher spending associated with supporting acquisition-related growth, and (iii) general cost inflation.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General and administration expense includes: (i) labor costs, which consist of salaries, wages, incentive compensation and related benefit costs such as health and welfare benefits and workers compensation costs related to management, clerical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2" w:name="page33"/>
    <w:bookmarkEnd w:id="32"/>
    <w:p>
      <w:pPr>
        <w:ind w:right="280"/>
        <w:spacing w:after="0" w:line="282" w:lineRule="auto"/>
        <w:rPr>
          <w:sz w:val="20"/>
          <w:szCs w:val="20"/>
          <w:color w:val="auto"/>
        </w:rPr>
      </w:pPr>
      <w:r>
        <w:rPr>
          <w:rFonts w:ascii="Times New Roman" w:cs="Times New Roman" w:eastAsia="Times New Roman" w:hAnsi="Times New Roman"/>
          <w:sz w:val="18"/>
          <w:szCs w:val="18"/>
          <w:color w:val="auto"/>
        </w:rPr>
        <w:t>administrative functions; (ii) professional service fees; (iii) provision for expected credit losses; and (iv) other overhead costs including those associated with marketing, sales and community relations efforts.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general and administration expense is as follows (dollars in millions and as a percentage of total revenues):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8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general and administration</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7"/>
              </w:rPr>
              <w:t>7.3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9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96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General and administration expense increased in aggregate dollars in the three and six months ended June 30, 2025 as compared to the prior year periods, primarily due to (i) acquisition activity, including increased labor costs, professional service fees and other costs to support our growth and acquisition strategy, (ii) escalation of salary, wage, and benefit costs, (iii) higher year-to-date accruals related to incentive compensation, and (iv) higher costs associated with information technology; partially offset by lower legal expense associated with employee separation.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components of depreciation and amortization expense (dollars in millions and as a percentage of total revenues)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8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amortization expense</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55"/>
        </w:trPr>
        <w:tc>
          <w:tcPr>
            <w:tcW w:w="250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depreciation and</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increased in the three and six months ended June 30, 2025 as compared to the prior year periods, primarily due to</w:t>
      </w:r>
    </w:p>
    <w:p>
      <w:pPr>
        <w:spacing w:after="0" w:line="27" w:lineRule="exact"/>
        <w:rPr>
          <w:sz w:val="20"/>
          <w:szCs w:val="20"/>
          <w:color w:val="auto"/>
        </w:rPr>
      </w:pPr>
    </w:p>
    <w:p>
      <w:pPr>
        <w:ind w:right="100" w:firstLine="8"/>
        <w:spacing w:after="0" w:line="255"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the impact of accelerated amortization schedules of certain intangibles, (ii) investment in property and equipment in our existing operations, and (iii) higher landfill amortization expense related to higher landfill volumes in our Western and Mid-Atlantic regions, and changes in cost and other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from Acquisition Activities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three and six months ended June 30, 2025, we recorded charges of $6.5 million and $12.0 million, respectively, and in the three and six months ended June 30, 2024, we recorded charges of $7.8 million and $12.8 million, respectively, comprised primarily of legal, consulting, rebranding, information technology and other costs associated with the due diligence, acquisition and integration of acquired businesses. The three and six months ended June 30, 2024 included a charge for an increase in the reserve against accounts receivable of the businesses acquired in our acquisition of the equity interests of four wholly-owned subsidiaries of GFL Environmental Inc. as a result of our inability to pursue collections during the transition services period with the seller, resulting in accounts receivable aged beyond what is typical in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interest expense, net increased $0.3 million and decreased $(1.2) million in the three and six months ended June 30, 2025, respectively, as compared to the prior year periods primarily due to lower average interest rates in the three and six months ended June 30, 2025; partially offset year-to-date, and more than offset quarterly, by higher average debt balances.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provision for income taxes decreased $2.1 million and $3.7 million in the three and six months ended June 30, 2025, respectively, from the prior year periods, resulting in a benefit for income taxes in the six months ended June 30, 2025. The benefit of $1.6 million for the six months ended June 30, 2025, included zero dollars of current income taxes and $1.6 million of deferred income tax benefit. For the six months ended June 30, 2024, the provision of $2.0 million included $1.8 million of current income tax expense and $0.2 million of deferred income tax expense. The 131.9% effective rate for the six months ended June 30, 2025, was computed based on the statutory rate of 21% adjusted primarily for state taxes, non-deductible officer compensation, and an increase in the effective state rate due to tax losses in certain states requiring a valuation allowance; partially offset by tax deductible equity compensation in excess of book expense. This effective rate exceeded the 41.2% effective rate for the six months ended June 30, 2024, primarily due to a change in the federal benefit of state on valuation allowance of our net operating losses.</w:t>
      </w:r>
    </w:p>
    <w:p>
      <w:pPr>
        <w:spacing w:after="0" w:line="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July 4, 2025, H.R.1 - One Big Beautiful Bill Act (the “OBBB Act”) was enacted. The OBBB Act addresses a wide range of changes including reinstating 100% bonus depreciation eligible for qualified assets. The OBBB Act also restores the EBITDA-based computation of interest expense limitations under IRC Section 163(j) among other income tax items; any interest expense limited may be carried forward indefinitely and utilized in later years subject to the interest limitation. Due to the date enacted, we calculated the three months ended June 30, 2025 amounts consistent with prior law. We are still evaluating the impacts of the OBBB Act and will incorporate the tax reform legislation including any permanent extensions or changes from the Tax Cuts and Jobs Act (the “TCJ Act”) in the three months ending September 30, 2025.</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December 22, 2017, the TCJ Act was enacted. The TCJ Act significantly changed U.S. corporate income tax laws by, among other things, changing carryforward rules for net operating losses. Depending on bonus depreciation and other elections made on the 2024 tax return when filed, we project to carry no pre-2018 net operating losses into 2025. Federal net operating losses generated after 2017, totaling $83.2 million carried forward to 2025, will be carried forward indefinitely, but generally may only offset up to 80% of taxable income earned in a tax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As noted above, certain prior period amounts have been reclassified between regional operating segments to conform to the current period presentation reflecting the movement of certain operations between our regional operating segments. See Note 13, Segment Reporting to our consolidated financial statements included under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by reportable operating segment (in millions)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5"/>
        </w:trPr>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48"/>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income (loss) by operating segment (in millions)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5"/>
        </w:trPr>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5"/>
              </w:rPr>
              <w:t>32.7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5"/>
              </w:rPr>
              <w:t>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ind w:left="296"/>
              <w:spacing w:after="0"/>
              <w:rPr>
                <w:sz w:val="20"/>
                <w:szCs w:val="20"/>
                <w:color w:val="auto"/>
              </w:rPr>
            </w:pPr>
            <w:r>
              <w:rPr>
                <w:rFonts w:ascii="Times New Roman" w:cs="Times New Roman" w:eastAsia="Times New Roman" w:hAnsi="Times New Roman"/>
                <w:sz w:val="18"/>
                <w:szCs w:val="18"/>
                <w:color w:val="auto"/>
                <w:w w:val="95"/>
              </w:rPr>
              <w:t>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8"/>
              </w:rPr>
              <w:t>(3.7)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8"/>
                <w:szCs w:val="18"/>
                <w:color w:val="auto"/>
                <w:w w:val="95"/>
              </w:rPr>
              <w:t>22.4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300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6"/>
        </w:trPr>
        <w:tc>
          <w:tcPr>
            <w:tcW w:w="478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c>
          <w:tcPr>
            <w:tcW w:w="180" w:type="dxa"/>
            <w:vAlign w:val="bottom"/>
          </w:tcPr>
          <w:p>
            <w:pPr>
              <w:spacing w:after="0"/>
              <w:rPr>
                <w:sz w:val="17"/>
                <w:szCs w:val="17"/>
                <w:color w:val="auto"/>
              </w:rPr>
            </w:pPr>
          </w:p>
        </w:tc>
        <w:tc>
          <w:tcPr>
            <w:tcW w:w="300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Solid waste revenues increased in the three and six months ended June 30, 2025 as compared to the prior year periods, primarily driven by (i) the contribution from acquisitions, (ii) higher collection pricing of $3.6 million quarterly, or 4.5% as a percentage of collection revenues, and $8.0 million year-to-date, or 5.1% as a percentage of collection revenues, and (iii) higher disposal pricing of $1.1 million quarterly, or 3.8% as a percentage of disposal revenues, and $2.0 million year-to-date, or 3.7% as a percentage of disposal revenues; partially offset by (a) lower disposal volume of $(1.3) million quarterly, or (4.5)% as a percentage of disposal revenues, and $(3.7) million year-to-date, or (7.0)% as a percentage of disposal revenues, primarily driven by transfer stations, as well as (b) lower collection volume of $(0.1) million quarterly, or (0.1)% as a percentage of collection revenues, and $(0.6) million year-to-date, or (0.4)% as a percentage of collection revenues.</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Operating income increased in the three and six months ended June 30, 2025 by $0.2 million and $1.8 million, respectively, as compared to the prior year periods. The period-over-period increases were driven by (i) revenue growth, described above, (ii) higher contributions related to intercompany subcontracting with our National Accounts business, and (iii) lower leachate disposal costs; partially offset by (a) higher costs associated with operating and supporting acquired businesses, including the impact of accelerated amortization schedules of certain intangibles, (b) higher accretion and landfill amortization expense associated with changes in the timing and cost estimates of our closure, post-closure, and capping obligations, (c) higher accruals related to insurance claims and legal penalties associated with leachate management at a landfill we own, (d) higher expense from acquisition activities, (e) increased depreciation expense due to acquisitions and investment in property and equipment, and (f) general cost inflation, including for disposal, labor, and maintenance costs.</w:t>
      </w:r>
    </w:p>
    <w:p>
      <w:pPr>
        <w:spacing w:after="0" w:line="8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 for further disclosure regarding the legal penalties accrual. 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300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5"/>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c>
          <w:tcPr>
            <w:tcW w:w="180" w:type="dxa"/>
            <w:vAlign w:val="bottom"/>
          </w:tcPr>
          <w:p>
            <w:pPr>
              <w:spacing w:after="0"/>
              <w:rPr>
                <w:sz w:val="16"/>
                <w:szCs w:val="16"/>
                <w:color w:val="auto"/>
              </w:rPr>
            </w:pPr>
          </w:p>
        </w:tc>
        <w:tc>
          <w:tcPr>
            <w:tcW w:w="300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r>
      <w:tr>
        <w:trPr>
          <w:trHeight w:val="195"/>
        </w:trPr>
        <w:tc>
          <w:tcPr>
            <w:tcW w:w="47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Solid waste revenues increased in the three and six months ended June 30, 2025 as compared to the prior year periods, primarily driven by (i) the contribution from acquisitions, (ii) higher collection pricing of $5.7 million quarterly, or 5.6% as a percentage of collection revenues, and $11.7 million year-to-date, or 6.0% as a percentage of collection revenues, (iii) higher disposal pricing of $2.6 million quarterly, or 7.6% as a percentage of disposal revenues, and $4.5 million year-to-date, or 7.5% as a percentage of disposal revenues, and (iv) higher disposal volume of $1.2 million quarterly, or 3.3% as a percentage of disposal revenues, and $2.3 million year-to-date, or 3.8% as a percentage of disposal revenues, related to transfer stations and year-to-date landfill volumes; partially offset by lower collection volume of $(0.7) million quarterly, or (0.7)% as a percentage of collection revenues, and $(1.4) million year-to-date, or (0.7)% as a percentage of collection revenues.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Operating income increased in the three and six months ended June 30, 2025 by $1.8 million and $6.6 million, respectively, as compared to the prior year periods. The period-over-period increases were due to (i) revenue growth, described above, (ii) higher contributions related to intercompany subcontracting with our National Accounts business, and (iii) lower leachate disposal costs year-to-date; partially offset by (a) higher directs costs associated with increased disposal volumes, (b) higher costs associated with operating and supporting acquired businesses, including the impact of accelerated amortization schedules of certain intangibles (c) higher accretion and landfill amortization expense associated with changes in the timing and cost estimates of our closure, post-closure, and capping obligations, and higher landfill volumes, (d) higher accruals related to insurance claims, (e) higher expense from acquisition activities, (f) increased depreciation expense due to acquisitions and investment in property and equipment, and (g) general cost inflation, including for disposal, labor, and maintenance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Mid-Atlantic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300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6"/>
        </w:trPr>
        <w:tc>
          <w:tcPr>
            <w:tcW w:w="478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c>
          <w:tcPr>
            <w:tcW w:w="180" w:type="dxa"/>
            <w:vAlign w:val="bottom"/>
          </w:tcPr>
          <w:p>
            <w:pPr>
              <w:spacing w:after="0"/>
              <w:rPr>
                <w:sz w:val="17"/>
                <w:szCs w:val="17"/>
                <w:color w:val="auto"/>
              </w:rPr>
            </w:pPr>
          </w:p>
        </w:tc>
        <w:tc>
          <w:tcPr>
            <w:tcW w:w="300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transfers to National Accounts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84.0 %</w:t>
            </w: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Solid waste revenues increased in the three and six months ended June 30, 2025 as compared to the prior year periods, primarily driven by (i) the contribution from acquisitions, (ii) higher collection pricing of $1.7 million quarterly, or 4.1% as a percentage of collection revenues, and $3.6 million year-to-date, or 4.3% as a percentage of collection revenues, (iii) higher surcharges and other fees due to higher revenues associated with legacy fuel cost recovery programs from acquired businesses, and (iv) higher disposal volume of $0.6 million quarterly, or 48.3% as a percentage of disposal revenues, and $0.7 million year-to-date, or 35.2% as a percentage of disposal revenues, related to landfill operations; partially offset by lower collection volume of $(1.7) million quarterly, or (4.1)% as a percentage of collection revenues, and $(4.0) million year-to-date, or (4.8)% as a percentage of collection revenues.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ind w:right="180"/>
        <w:spacing w:after="0" w:line="256" w:lineRule="auto"/>
        <w:rPr>
          <w:sz w:val="20"/>
          <w:szCs w:val="20"/>
          <w:color w:val="auto"/>
        </w:rPr>
      </w:pPr>
      <w:r>
        <w:rPr>
          <w:rFonts w:ascii="Times New Roman" w:cs="Times New Roman" w:eastAsia="Times New Roman" w:hAnsi="Times New Roman"/>
          <w:sz w:val="18"/>
          <w:szCs w:val="18"/>
          <w:color w:val="auto"/>
        </w:rPr>
        <w:t>Operating loss increased in the three and six months ended June 30, 2025 by $(2.1) million and $(2.5) million, respectively, as compared to the prior year periods. The period-over-period increases were due to (i) higher costs associated with operating and supporting acquired businesses, including the impact of accelerated amortization schedules of certain intangibles, (ii) increased depreciation expense due to acquisitions and investment in property and equipment, (iii) higher accruals related to insurance claims, (iv) higher landfill amortization expense due to higher landfill volumes, and (v) general cost inflation, including for disposal, labor, and maintenance costs; partially offset by (a) revenue growth, described above, (b) higher contributions related to intercompany subcontracting with our National Accounts business, and (c) lower expense from acquisition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Resource Solutions revenues (dollars in millions and as percentage growth of Resource Solutions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80" w:type="dxa"/>
            <w:vAlign w:val="bottom"/>
          </w:tcPr>
          <w:p>
            <w:pPr>
              <w:spacing w:after="0"/>
              <w:rPr>
                <w:sz w:val="13"/>
                <w:szCs w:val="13"/>
                <w:color w:val="auto"/>
              </w:rPr>
            </w:pPr>
          </w:p>
        </w:tc>
        <w:tc>
          <w:tcPr>
            <w:tcW w:w="300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Period-to-Period Change for the Six Months</w:t>
            </w:r>
          </w:p>
        </w:tc>
      </w:tr>
      <w:tr>
        <w:trPr>
          <w:trHeight w:val="195"/>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c>
          <w:tcPr>
            <w:tcW w:w="180" w:type="dxa"/>
            <w:vAlign w:val="bottom"/>
          </w:tcPr>
          <w:p>
            <w:pPr>
              <w:spacing w:after="0"/>
              <w:rPr>
                <w:sz w:val="16"/>
                <w:szCs w:val="16"/>
                <w:color w:val="auto"/>
              </w:rPr>
            </w:pPr>
          </w:p>
        </w:tc>
        <w:tc>
          <w:tcPr>
            <w:tcW w:w="300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Ended June 30, 2025 vs. 2024</w:t>
            </w:r>
          </w:p>
        </w:tc>
      </w:tr>
      <w:tr>
        <w:trPr>
          <w:trHeight w:val="195"/>
        </w:trPr>
        <w:tc>
          <w:tcPr>
            <w:tcW w:w="47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transfers from solid waste</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Resource Solutions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Resource Solutions revenues increased in the three and six months ended June 30, 2025 as compared to the prior year periods, primarily driven by (i) higher tipping fees primarily related to contract structures that help to offset recycled commodity price movements of $4.5 million quarterly, or 16.3% as a percentage of related revenues, and $5.4 million year-to-date, or 10.3% as a percentage of related revenues, (ii) National Accounts business pricing growth of $3.0 million quarterly, or 6.0% as a percentage of National Accounts revenues, and $4.8 million year-to-date, or 5.1% as a percentage of National Accounts revenues, (iii) higher National Accounts business volumes related to new business growth of $1.0 million quarterly, or 1.9% as a percentage of National Accounts revenues, and $4.0 million year-to-date, or 4.2% as a percentage of National Accounts revenues, (iv) higher recycling volumes of $2.7 million quarterly, or 9.8% as a percentage of related revenues, and $3.1 million year-to-date, or 5.9% as a percentage of related revenues, (v) the contribution from acquisitions, (vi) higher other processing volumes of $0.2 million quarterly, or 2.8% as a percentage of related revenues, and $0.5 million year-to-date, or 5.1% as a percentage of related revenues, and (vii) higher other processing price of $0.2 million quarterly, or 3.6% as a percentage of related revenues, and $0.4 million year-to-date, or 3.8% as a percentage of related revenues; partially offset by (a) lower surcharges and other fees revenues in our National Accounts business due to lower energy and environmental fee (“E&amp;E Fee(s)”) revenues associated with our fuel cost recovery program related to lower diesel fuel prices, as well as (b) lower recycled commodity price of $(5.2) million quarterly, or (19.0)% as a percentage of related revenues, and $(5.5) million year-to-date, or (10.4)% as a percentage of related revenues.</w:t>
      </w:r>
    </w:p>
    <w:p>
      <w:pPr>
        <w:spacing w:after="0" w:line="7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the energy component of our E&amp;E Fees.</w:t>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income increased in the three and six months ended June 30, 2025 by $1.0 million and $1.6 million, respectively, as compared to the prior year periods. The period-over-period increases were due to revenue growth, described above; partially offset by (i) higher costs associated with operating and supporting acquired businesses, including the impact of accelerated amortization schedules of certain intangibles, (ii) higher expense from acquisition activities year-to-date, (iii) increased depreciation expense due to acquisitions and investment in property and equipment, (iv) general cost inflation, including for disposal, labor, and maintenance costs, and (v) higher intercompany expenses related to the subcontracting of our National Accounts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Entities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Corporate Entities operating loss reflects costs, including legal, tax, information technology, human resources, certain finance and accounting and other administrative functions, depreciation and amortization expense and certain expense from acquisition activities, which are not allocated to our reportable operating segments.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ind w:right="20"/>
        <w:spacing w:after="0" w:line="258" w:lineRule="auto"/>
        <w:rPr>
          <w:sz w:val="20"/>
          <w:szCs w:val="20"/>
          <w:color w:val="auto"/>
        </w:rPr>
      </w:pPr>
      <w:r>
        <w:rPr>
          <w:rFonts w:ascii="Times New Roman" w:cs="Times New Roman" w:eastAsia="Times New Roman" w:hAnsi="Times New Roman"/>
          <w:sz w:val="18"/>
          <w:szCs w:val="18"/>
          <w:color w:val="auto"/>
        </w:rPr>
        <w:t>Operating loss increased in the three and six months ended June 30, 2025 by $(4.6) million and $(15.0) million, respectively, as compared to the prior year periods. The period-over-period increases were due to (i) higher costs associated with supporting acquired businesses, (ii) general cost inflation for salaries, wages, benefits, professional services and other overhead costs including those associated with information technology, marketing, sales and community relations efforts, (iii) higher accruals related to incentive compensation year-to-date, (iv) higher depreciation expense associated with back office financial system infrastructure and (v) higher expense from acquisition activities; partially offset by lower legal expense associated with employee separation.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As of June 30, 2025, we had $673.7 million of available and undrawn capacity under our $700.0 million revolving credit facility (“Revolving Credit Facility”) and $217.8 million of cash and cash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consolidated balance sheets items relevant to our liquidity (in millions)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1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excluding cash, cash equivalents and restricted cash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 excluding current maturities of debt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 excluding unamortized debt issuance costs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Current assets, excluding cash, cash equivalents and restricted cash, increased $16.8 million and current liabilities, excluding current maturities of debt, decreased $(13.8) million in the six months ended June 30, 2025, resulting in a $30.6 million increase in working capital, net (defined as current assets, excluding cash, cash equivalents and restricted cash minus current liabilities, excluding current maturities of debt), from $(34.7) million as of December 31, 2024 to $(4.1) million as of June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cash flows (in millions)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6"/>
        </w:trPr>
        <w:tc>
          <w:tcPr>
            <w:tcW w:w="4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26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5"/>
              </w:rPr>
              <w:t>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rPr>
              <w:t>(73.0)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851"/>
        </w:trPr>
        <w:tc>
          <w:tcPr>
            <w:tcW w:w="4260" w:type="dxa"/>
            <w:vAlign w:val="bottom"/>
          </w:tcPr>
          <w:p>
            <w:pPr>
              <w:spacing w:after="0"/>
              <w:rPr>
                <w:sz w:val="24"/>
                <w:szCs w:val="24"/>
                <w:color w:val="auto"/>
              </w:rPr>
            </w:pPr>
          </w:p>
        </w:tc>
        <w:tc>
          <w:tcPr>
            <w:tcW w:w="24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cash flows (in millions)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items and charges,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operating cash flows follows:</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$59.8 million in the six months ended June 30, 2025 as compared to the six months ended June 30, 2024. This was the result of business growth, including from acquisition activity, and a decrease in the unfavorable cash flow impact associated with the changes in our assets and liabilities, net of effects of acquisitions and divestitures. For discussion of our operational performance in the six months ended June 30, 2025 as compared to the six months ended June 30, 2024,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investing cash flows (in millions) follows:</w:t>
      </w:r>
    </w:p>
    <w:p>
      <w:pPr>
        <w:spacing w:after="0" w:line="3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investing cash flows follows:</w:t>
      </w:r>
    </w:p>
    <w:p>
      <w:pPr>
        <w:spacing w:after="0" w:line="11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net of cash acquired. </w:t>
      </w:r>
      <w:r>
        <w:rPr>
          <w:rFonts w:ascii="Times New Roman" w:cs="Times New Roman" w:eastAsia="Times New Roman" w:hAnsi="Times New Roman"/>
          <w:sz w:val="18"/>
          <w:szCs w:val="18"/>
          <w:color w:val="auto"/>
        </w:rPr>
        <w:t>In the six months ended June 30, 2025, we acquired six businesses for total consideration of $(176.7) million, $(174.9)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which was cash consideration, and made $(0.1) million in payments on businesses previously acquired, as compared to the six months ended June 30, 2024 during which we received a $2.9 million working capital settlement on a business previously acquired, partially offset by $(0.7) million in cash consideration on a business acquired and $(0.9) million in payments on businesses previously acquired.</w:t>
      </w:r>
    </w:p>
    <w:p>
      <w:pPr>
        <w:spacing w:after="0" w:line="7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were $(47.0) million higher in the six months ended June 30, 2025 as compared to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primarily due to acquisition activity and increased investment in our fleet; partially offset by lower landfill development spend, including the development of rail side infrastructure at our Subtitle D landfill located in Mount Jewitt, Pennsylvania.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financing cash flows (in millions)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activity. </w:t>
      </w:r>
      <w:r>
        <w:rPr>
          <w:rFonts w:ascii="Times New Roman" w:cs="Times New Roman" w:eastAsia="Times New Roman" w:hAnsi="Times New Roman"/>
          <w:sz w:val="18"/>
          <w:szCs w:val="18"/>
          <w:color w:val="auto"/>
        </w:rPr>
        <w:t>Net cash used in financing activities associated with debt activity decreased $10.3 million in the six months ended June 30, 2025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six months ended June 30, 2024 primarily due to the timing of debt payments, including scheduled quarterly repayments made on the since refinanced term loan facilities in the prior year period.</w:t>
      </w:r>
    </w:p>
    <w:p>
      <w:pPr>
        <w:spacing w:after="0" w:line="6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 of debt issuance costs. </w:t>
      </w:r>
      <w:r>
        <w:rPr>
          <w:rFonts w:ascii="Times New Roman" w:cs="Times New Roman" w:eastAsia="Times New Roman" w:hAnsi="Times New Roman"/>
          <w:sz w:val="18"/>
          <w:szCs w:val="18"/>
          <w:color w:val="auto"/>
        </w:rPr>
        <w:t>We paid $(0.8) million of debt issuance costs in the six months ended June 30, 2025 primarily related to the drawdown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$25.0 million aggregate principal amount of Vermont Economic Development Authority Solid Waste Disposal Revenue Bonds Series 2022A-2.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June 30, 2025, we are party to the second amended and rested credit agreement (the “Credit Agreement”), which provides for a $800.0 million aggregate principal amount term loan A facility and a $700.0 million Revolving Credit Facility, with a $155.0 million sublimit for letters of credit (collectively, the “Credit Facility”). We have the right to request, at our discretion, an increase in the amount of loans under the Credit Facility by an aggregate amount of $200.0 million,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3"/>
        </w:trPr>
        <w:tc>
          <w:tcPr>
            <w:tcW w:w="67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1.300% to 2.175%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0.300% to 1.175%</w:t>
            </w:r>
          </w:p>
        </w:tc>
      </w:tr>
    </w:tbl>
    <w:p>
      <w:pPr>
        <w:spacing w:after="0" w:line="17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 0.20% to 0.40% per annum, plus a sustainability adjustment of up to positive or negative 1.0 basis point per annum. The Credit Agreement provides that Term SOFR is subject to a zero percent floor. We are also required to pay a fronting fee for each letter of credit of 0.25% per annum. Interest under the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June 30, 2025, further advances were available under the Revolving Credit Facility in the amount of $673.7 million. The available amount is net of outstanding irrevocable letters of credit totaling $26.3 million, and as of June 30, 2025, no amount had been drawn.</w:t>
      </w:r>
    </w:p>
    <w:p>
      <w:pPr>
        <w:spacing w:after="0" w:line="84"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Credit Agreement requires us to maintain a minimum interest coverage ratio and a maximum consolidated net leverage ratio, to be measured at the end of each fiscal quarter. As of June 30, 2025, we were in compliance with all financial covenants contained in the Credit Agreement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Facility Covenant</w:t>
            </w: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Twelve Months Ended June</w:t>
            </w: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Covenant Requirements at June 30,</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Maximum consolidated net leverage ratio </w:t>
            </w:r>
            <w:r>
              <w:rPr>
                <w:rFonts w:ascii="Times New Roman" w:cs="Times New Roman" w:eastAsia="Times New Roman" w:hAnsi="Times New Roman"/>
                <w:sz w:val="14"/>
                <w:szCs w:val="14"/>
                <w:color w:val="auto"/>
              </w:rPr>
              <w:t>(1)</w:t>
            </w:r>
          </w:p>
        </w:tc>
        <w:tc>
          <w:tcPr>
            <w:tcW w:w="4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interest coverage ratio</w:t>
            </w:r>
          </w:p>
        </w:tc>
        <w:tc>
          <w:tcPr>
            <w:tcW w:w="4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4380" w:type="dxa"/>
            <w:vAlign w:val="bottom"/>
          </w:tcPr>
          <w:p>
            <w:pPr>
              <w:spacing w:after="0"/>
              <w:rPr>
                <w:sz w:val="24"/>
                <w:szCs w:val="24"/>
                <w:color w:val="auto"/>
              </w:rPr>
            </w:pPr>
          </w:p>
        </w:tc>
        <w:tc>
          <w:tcPr>
            <w:tcW w:w="24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0" w:name="page41"/>
    <w:bookmarkEnd w:id="40"/>
    <w:p>
      <w:pPr>
        <w:ind w:left="500" w:right="80" w:hanging="330"/>
        <w:spacing w:after="0" w:line="255" w:lineRule="auto"/>
        <w:tabs>
          <w:tab w:leader="none" w:pos="49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maximum consolidated net leverage ratio is calculated as consolidated funded debt, net of up to $100.0 million of unencumbered cash and cash equivalents (calculated at $1,057.5 million as of June 30, 2025, or $1,157.5 million of consolidated funded debt less $100.0 million total of unencumbered cash and cash equivalents), divided by consolidated EBITDA. Consolidated EBITDA is based on operating results for the twelve months preceding the measurement date of June 30, 2025. Consolidated funded debt, net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(“GAAP”). A reconciliation of net cash provided by operating activities to Consolidated EBITDA is as follows (in millions):</w:t>
      </w:r>
    </w:p>
    <w:p>
      <w:pPr>
        <w:sectPr>
          <w:pgSz w:w="11900" w:h="16838" w:orient="portrait"/>
          <w:cols w:equalWidth="0" w:num="1">
            <w:col w:w="11200"/>
          </w:cols>
          <w:pgMar w:left="320" w:top="999" w:right="37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-127635</wp:posOffset>
            </wp:positionV>
            <wp:extent cx="64465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spacing w:after="0" w:line="16" w:lineRule="exact"/>
        <w:rPr>
          <w:sz w:val="20"/>
          <w:szCs w:val="20"/>
          <w:color w:val="auto"/>
        </w:rPr>
      </w:pPr>
    </w:p>
    <w:p>
      <w:pPr>
        <w:ind w:left="520" w:right="2000"/>
        <w:spacing w:after="0" w:line="268" w:lineRule="auto"/>
        <w:rPr>
          <w:sz w:val="20"/>
          <w:szCs w:val="20"/>
          <w:color w:val="auto"/>
        </w:rPr>
      </w:pPr>
      <w:r>
        <w:rPr>
          <w:rFonts w:ascii="Times New Roman" w:cs="Times New Roman" w:eastAsia="Times New Roman" w:hAnsi="Times New Roman"/>
          <w:sz w:val="18"/>
          <w:szCs w:val="18"/>
          <w:color w:val="auto"/>
        </w:rPr>
        <w:t>Changes in assets and liabilities, net of effects of acquisitions and divestitures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-144145</wp:posOffset>
            </wp:positionV>
            <wp:extent cx="64465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Operating lease right-of-use assets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Landfill capping recovery - veneer failure</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Disposition of assets, other items and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46520"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less amortization of debt issuance costs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Benefit for income taxes, net of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64465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Adjustments as allowed by the Credit Agreement </w:t>
      </w:r>
      <w:r>
        <w:rPr>
          <w:rFonts w:ascii="Times New Roman" w:cs="Times New Roman" w:eastAsia="Times New Roman" w:hAnsi="Times New Roman"/>
          <w:sz w:val="14"/>
          <w:szCs w:val="14"/>
          <w:color w:val="auto"/>
        </w:rPr>
        <w:t>(1)</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EBITDA</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Twelve Months Ended June</w:t>
      </w:r>
    </w:p>
    <w:p>
      <w:pPr>
        <w:spacing w:after="0" w:line="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30, 2025</w:t>
      </w:r>
    </w:p>
    <w:p>
      <w:pPr>
        <w:spacing w:after="0" w:line="30" w:lineRule="exact"/>
        <w:rPr>
          <w:sz w:val="20"/>
          <w:szCs w:val="20"/>
          <w:color w:val="auto"/>
        </w:rPr>
      </w:pPr>
    </w:p>
    <w:p>
      <w:pPr>
        <w:ind w:left="1340" w:hanging="1332"/>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341.2</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w:t>
      </w:r>
    </w:p>
    <w:p>
      <w:pPr>
        <w:spacing w:after="0" w:line="23"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(15.2)</w:t>
      </w:r>
    </w:p>
    <w:p>
      <w:pPr>
        <w:spacing w:after="0" w:line="23"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(9.0)</w:t>
      </w:r>
    </w:p>
    <w:p>
      <w:pPr>
        <w:spacing w:after="0" w:line="23"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0.9</w:t>
      </w:r>
    </w:p>
    <w:p>
      <w:pPr>
        <w:spacing w:after="0" w:line="23"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(10.9)</w:t>
      </w:r>
    </w:p>
    <w:p>
      <w:pPr>
        <w:spacing w:after="0" w:line="23"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58.9</w:t>
      </w:r>
    </w:p>
    <w:p>
      <w:pPr>
        <w:spacing w:after="0" w:line="23"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(2.8)</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165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6" w:lineRule="exact"/>
        <w:rPr>
          <w:sz w:val="20"/>
          <w:szCs w:val="20"/>
          <w:color w:val="auto"/>
        </w:rPr>
      </w:pPr>
    </w:p>
    <w:p>
      <w:pPr>
        <w:ind w:left="1340" w:hanging="1332"/>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165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1165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380"/>
          </w:cols>
          <w:pgMar w:left="320" w:top="999" w:right="379" w:bottom="1440" w:gutter="0" w:footer="0" w:header="0"/>
          <w:type w:val="continuous"/>
        </w:sectPr>
      </w:pPr>
    </w:p>
    <w:p>
      <w:pPr>
        <w:spacing w:after="0" w:line="66" w:lineRule="exact"/>
        <w:rPr>
          <w:sz w:val="20"/>
          <w:szCs w:val="20"/>
          <w:color w:val="auto"/>
        </w:rPr>
      </w:pPr>
    </w:p>
    <w:p>
      <w:pPr>
        <w:ind w:left="480" w:hanging="310"/>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Adjustments as allowed by the Credit Agreement includes the estimated annual pro forma impact of acquisitions on Consolidated EBITDA.</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June 30, 2025, we were in compliance with the covenants contained in the Credit Agreement. We do not believe that these restrictions impact our ability to meet future liquidity needs.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Financings and Other Debt</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June 30, 2025, we had outstanding $277.0 million aggregate principal amount of tax exempt bonds; $79.1 million aggregate principal amount of finance leases; and $1.5 million aggregate principal amount of notes payable.</w:t>
      </w:r>
    </w:p>
    <w:p>
      <w:pPr>
        <w:spacing w:after="0" w:line="52"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 for further disclosure regarding debt.</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Inflationary increases in costs have materially affected, and may continue to materially affect, our operating margins and cash flows. However,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8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included in this Quarterly Report on Form 10-Q for additional information regarding our fuel cost recovery programs.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Economic Conditions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is primarily located in the eastern United States. Therefore, our business, financial condition and results of operations are susceptible to downturns in the general economy in this geographic region and other factors affecting the region, such as state and local regulations, labor availability and severe weather conditions. We are unable to forecast or determine the timing and/or the future impact of a sustained economic slowdown or other factors affecting the region.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revenues historically have been higher in the late spring, summer and early fall months. This seasonality reflects lower volumes of waste in the late fall, winter and early spring months primarily because the volume of waste relating to C&amp;D activities decreases substantially during the winter months in the northeastern United States.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of our 2024 Form 10-K for the fiscal year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new accounting standards that may affect us, see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under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our consumption levels in the last twelve months ended June 30, 2025, combined with our expected fuel consumption related to recently closed acquisitions, and after considering physically settled fuel contracts, we believe a $0.40 cent per gallon change in the price of diesel fuel would change our direct fuel costs by approximately $6.2 million per year. Offsetting these changes in direct fuel expense would be changes in the energy component of the E&amp;E Fees charged to our customers. Based on participation rates as of June 30, 2025 and considering recently closed acquisitions, we believe a $0.40 cent per gallon change in the price of diesel fuel would change the energy component of the E&amp;E Fee by approximately $5.5 million per year. In addition to direct fuel costs related to our consumption levels, we are also subject to fuel surcharge expense from third party transportation providers. Other operational costs and capital expenditures may also be impacted by fuel prices.</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three and six months ended June 30, 2025, our fuel costs were $15.3 million, or 3.3% of revenues, and $31.1 million, or 3.5% of revenues, respectively, as compared to $13.1 million, or 3.5% of revenues, and $26.9 million, or 3.7% of revenues, in the three and six months ended June 30,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June 30, 2025, we were not party to any commodity hedging agreements.</w:t>
      </w:r>
    </w:p>
    <w:p>
      <w:pPr>
        <w:spacing w:after="0" w:line="84"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The impact of commodity price risk as of June 30, 2025 does not differ materially from that discussed in Item 7A.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of our Annual Report on Form 10-K for the fiscal year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The impact of interest rate risk as of June 30, 2025 does not differ materially from that discussed in Item 7A.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of our Annual Report on Form 10-K for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3" w:name="page44"/>
    <w:bookmarkEnd w:id="4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June 30, 2025.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82"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June 30, 2025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over Certain Environmental Matters Involving Governmental Authorities with Possible Sanctions of $1,000,000 or More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Information relating to environmental proceedings is provided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those identified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for the fiscal year ended December 31, 2024,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17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and Officer Trading Arrangements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5" w:name="page46"/>
    <w:bookmarkEnd w:id="4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680" w:type="dxa"/>
            <w:vAlign w:val="bottom"/>
            <w:gridSpan w:val="10"/>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68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 +</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0000FF"/>
              </w:rPr>
              <w:t>Amendment No 1, dated as of July 21, 2025, to the Progress Payment Agreement, dated February 25, 2025, between Casella Waste</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Systems, Inc. and Banc of America Leasing &amp; Capital, LLC</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Amended and Restated Addendum, dated as of June 24, 2025, to Master Lease Agreement No. 36629-90000 dated as of July 20, 2020 by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and among Banc of America Leasing &amp; Capital, LLC, Casella Waste Systems, Inc. and certain of its subsidiaries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First Amendment to second Amended and Restated Credit Agreement, dated as of July 30, 2025, by and among Casella Waste Systems,</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Inc., BofA Securities, Inc. and TD Securities (USA) LLC as sustainability coordinators and Bank of America, N.A., as administrative</w:t>
            </w: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agent</w:t>
            </w:r>
          </w:p>
        </w:tc>
        <w:tc>
          <w:tcPr>
            <w:tcW w:w="9240" w:type="dxa"/>
            <w:vAlign w:val="bottom"/>
            <w:tcBorders>
              <w:top w:val="single" w:sz="8" w:color="0000FF"/>
            </w:tcBorders>
            <w:gridSpan w:val="7"/>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 – Oxley Act of 2002.</w:t>
            </w:r>
          </w:p>
        </w:tc>
        <w:tc>
          <w:tcPr>
            <w:tcW w:w="0" w:type="dxa"/>
            <w:vAlign w:val="bottom"/>
          </w:tcPr>
          <w:p>
            <w:pPr>
              <w:spacing w:after="0"/>
              <w:rPr>
                <w:sz w:val="1"/>
                <w:szCs w:val="1"/>
                <w:color w:val="auto"/>
              </w:rPr>
            </w:pPr>
          </w:p>
        </w:tc>
      </w:tr>
      <w:tr>
        <w:trPr>
          <w:trHeight w:val="26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 – Oxley Act of 2002.</w:t>
            </w:r>
          </w:p>
        </w:tc>
        <w:tc>
          <w:tcPr>
            <w:tcW w:w="40" w:type="dxa"/>
            <w:vAlign w:val="bottom"/>
            <w:tcBorders>
              <w:top w:val="single" w:sz="8" w:color="0000FF"/>
            </w:tcBorders>
          </w:tcPr>
          <w:p>
            <w:pPr>
              <w:spacing w:after="0"/>
              <w:rPr>
                <w:sz w:val="22"/>
                <w:szCs w:val="22"/>
                <w:color w:val="auto"/>
              </w:rPr>
            </w:pPr>
          </w:p>
        </w:tc>
        <w:tc>
          <w:tcPr>
            <w:tcW w:w="23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860" w:type="dxa"/>
            <w:vAlign w:val="bottom"/>
            <w:tcBorders>
              <w:top w:val="single" w:sz="8" w:color="0000FF"/>
            </w:tcBorders>
            <w:gridSpan w:val="8"/>
          </w:tcPr>
          <w:p>
            <w:pPr>
              <w:spacing w:after="0"/>
              <w:rPr>
                <w:sz w:val="13"/>
                <w:szCs w:val="13"/>
                <w:color w:val="auto"/>
              </w:rPr>
            </w:pP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800" w:type="dxa"/>
            <w:vAlign w:val="bottom"/>
            <w:tcBorders>
              <w:top w:val="single" w:sz="8" w:color="0000FF"/>
            </w:tcBorders>
            <w:gridSpan w:val="7"/>
          </w:tcPr>
          <w:p>
            <w:pPr>
              <w:spacing w:after="0"/>
              <w:rPr>
                <w:sz w:val="13"/>
                <w:szCs w:val="13"/>
                <w:color w:val="auto"/>
              </w:rPr>
            </w:pPr>
          </w:p>
        </w:tc>
        <w:tc>
          <w:tcPr>
            <w:tcW w:w="3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92"/>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200" w:right="40" w:hanging="697"/>
        <w:spacing w:after="0" w:line="217" w:lineRule="auto"/>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 Attached as Exhibit 101 to this report are the following formatted in inline XBRL (Extensible Business Reporting Language): (i) Consolidated Balance Sheets as of June 30, 2025 and December 31, 2024, (ii) Consolidated Statements of Operations for the three and six months ended June 30, 2025 and 2024, (iii) Consolidated Statements of Comprehensive Income (Loss) for the three and six months ended June 30, 2025 and 2024, (iv) Consolidated Statements of Stockholders’ Equity for the three and six months ended June 30, 2025 and 2024, (v) Consolidated Statements of Cash Flows for the six months ended June 30, 2025 and 2024, and (vi) Notes to Consolidated Financial Statements.</w:t>
      </w:r>
    </w:p>
    <w:p>
      <w:pPr>
        <w:spacing w:after="0" w:line="11" w:lineRule="exact"/>
        <w:rPr>
          <w:sz w:val="20"/>
          <w:szCs w:val="20"/>
          <w:color w:val="auto"/>
        </w:rPr>
      </w:pPr>
    </w:p>
    <w:p>
      <w:pPr>
        <w:ind w:left="1200" w:hanging="703"/>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200" w:hanging="753"/>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Kevin Drohan</w:t>
            </w:r>
          </w:p>
        </w:tc>
      </w:tr>
      <w:tr>
        <w:trPr>
          <w:trHeight w:val="218"/>
        </w:trPr>
        <w:tc>
          <w:tcPr>
            <w:tcW w:w="37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Drohan</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0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8"/>
        </w:trPr>
        <w:tc>
          <w:tcPr>
            <w:tcW w:w="37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00"/>
          </w:cols>
          <w:pgMar w:left="320" w:top="1103"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AMENDMENT NO. 01</w:t>
      </w:r>
    </w:p>
    <w:p>
      <w:pPr>
        <w:spacing w:after="0" w:line="36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THIS AMENDMENT NO. 01 (this “Amendment”) is made as of </w:t>
      </w:r>
      <w:r>
        <w:rPr>
          <w:rFonts w:ascii="Times New Roman" w:cs="Times New Roman" w:eastAsia="Times New Roman" w:hAnsi="Times New Roman"/>
          <w:sz w:val="18"/>
          <w:szCs w:val="18"/>
          <w:u w:val="single" w:color="auto"/>
          <w:color w:val="auto"/>
        </w:rPr>
        <w:t>July 21</w:t>
      </w:r>
      <w:r>
        <w:rPr>
          <w:rFonts w:ascii="Times New Roman" w:cs="Times New Roman" w:eastAsia="Times New Roman" w:hAnsi="Times New Roman"/>
          <w:sz w:val="18"/>
          <w:szCs w:val="18"/>
          <w:color w:val="auto"/>
        </w:rPr>
        <w:t>, 2025, by and between BANC OF AMERICA LEASING &amp; CAPITAL, LLC (“BALC”) and CASELLA WASTE SYSTEMS, INC. (“Customer”). Customer and BALC have heretofore entered into that certain Progress Payment Agreement dated February 25, 2025 (the “Agreement”). Capitalized terms used herein without definition shall have the meaning given them in the Agreement.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Customer and BALC wish to amend the Agreement upon the terms and conditions set forth below.</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promises as hereinafter set forth, the parties agree as follows:</w:t>
      </w:r>
    </w:p>
    <w:p>
      <w:pPr>
        <w:spacing w:after="0" w:line="239" w:lineRule="exact"/>
        <w:rPr>
          <w:sz w:val="20"/>
          <w:szCs w:val="20"/>
          <w:color w:val="auto"/>
        </w:rPr>
      </w:pPr>
    </w:p>
    <w:p>
      <w:pPr>
        <w:ind w:left="960" w:hanging="304"/>
        <w:spacing w:after="0"/>
        <w:tabs>
          <w:tab w:leader="none" w:pos="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hereby amended by the replacement of Section 2 thereof in its entirety with the following new Section 2:</w:t>
      </w:r>
    </w:p>
    <w:p>
      <w:pPr>
        <w:spacing w:after="0" w:line="235" w:lineRule="exact"/>
        <w:rPr>
          <w:rFonts w:ascii="Times New Roman" w:cs="Times New Roman" w:eastAsia="Times New Roman" w:hAnsi="Times New Roman"/>
          <w:sz w:val="18"/>
          <w:szCs w:val="18"/>
          <w:color w:val="auto"/>
        </w:rPr>
      </w:pPr>
    </w:p>
    <w:p>
      <w:pPr>
        <w:jc w:val="both"/>
        <w:ind w:firstLine="8"/>
        <w:spacing w:after="0" w:line="239" w:lineRule="auto"/>
        <w:tabs>
          <w:tab w:leader="none" w:pos="32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all Advances shall accrue from the date of the Advance until the earlier of the date repaid in full following BALC’s demand as described below or the commencement (“</w:t>
      </w:r>
      <w:r>
        <w:rPr>
          <w:rFonts w:ascii="Times New Roman" w:cs="Times New Roman" w:eastAsia="Times New Roman" w:hAnsi="Times New Roman"/>
          <w:sz w:val="17"/>
          <w:szCs w:val="17"/>
          <w:b w:val="1"/>
          <w:bCs w:val="1"/>
          <w:color w:val="auto"/>
        </w:rPr>
        <w:t>Term Commencement</w:t>
      </w:r>
      <w:r>
        <w:rPr>
          <w:rFonts w:ascii="Times New Roman" w:cs="Times New Roman" w:eastAsia="Times New Roman" w:hAnsi="Times New Roman"/>
          <w:sz w:val="17"/>
          <w:szCs w:val="17"/>
          <w:color w:val="auto"/>
        </w:rPr>
        <w:t xml:space="preserve">”) of the applicable Lease Term pursuant to the Agreement relating to the item of Equipment that is the subject of such Advance. Interest on all Advances shall accrue at a fluctuating rate per annum equal to the Term SOFR Index, plus a spread adjustment of 0.11448%, plus </w:t>
      </w:r>
      <w:r>
        <w:rPr>
          <w:rFonts w:ascii="Times New Roman" w:cs="Times New Roman" w:eastAsia="Times New Roman" w:hAnsi="Times New Roman"/>
          <w:sz w:val="17"/>
          <w:szCs w:val="17"/>
          <w:u w:val="single" w:color="auto"/>
          <w:color w:val="auto"/>
        </w:rPr>
        <w:t>1.80</w:t>
      </w:r>
      <w:r>
        <w:rPr>
          <w:rFonts w:ascii="Times New Roman" w:cs="Times New Roman" w:eastAsia="Times New Roman" w:hAnsi="Times New Roman"/>
          <w:sz w:val="17"/>
          <w:szCs w:val="17"/>
          <w:color w:val="auto"/>
        </w:rPr>
        <w:t>%, and shall be capitalized on a monthly basis, with interest accruing thereafter on the amount of the Advances, plus the capitalized interest thereon. All such interest shall be due and payable on the Term Commencement. “</w:t>
      </w:r>
      <w:r>
        <w:rPr>
          <w:rFonts w:ascii="Times New Roman" w:cs="Times New Roman" w:eastAsia="Times New Roman" w:hAnsi="Times New Roman"/>
          <w:sz w:val="17"/>
          <w:szCs w:val="17"/>
          <w:b w:val="1"/>
          <w:bCs w:val="1"/>
          <w:color w:val="auto"/>
        </w:rPr>
        <w:t>Term SOFR Index</w:t>
      </w:r>
      <w:r>
        <w:rPr>
          <w:rFonts w:ascii="Times New Roman" w:cs="Times New Roman" w:eastAsia="Times New Roman" w:hAnsi="Times New Roman"/>
          <w:sz w:val="17"/>
          <w:szCs w:val="17"/>
          <w:color w:val="auto"/>
        </w:rPr>
        <w:t>” shall mean the greater of (a) the per annum rate of interest equal to the one-month Secured Overnight Financing Rate (“</w:t>
      </w:r>
      <w:r>
        <w:rPr>
          <w:rFonts w:ascii="Times New Roman" w:cs="Times New Roman" w:eastAsia="Times New Roman" w:hAnsi="Times New Roman"/>
          <w:sz w:val="17"/>
          <w:szCs w:val="17"/>
          <w:b w:val="1"/>
          <w:bCs w:val="1"/>
          <w:color w:val="auto"/>
        </w:rPr>
        <w:t>Term SOFR</w:t>
      </w:r>
      <w:r>
        <w:rPr>
          <w:rFonts w:ascii="Times New Roman" w:cs="Times New Roman" w:eastAsia="Times New Roman" w:hAnsi="Times New Roman"/>
          <w:sz w:val="17"/>
          <w:szCs w:val="17"/>
          <w:color w:val="auto"/>
        </w:rPr>
        <w:t>”) as published by CME or such other administrator as selected by an appropriate regulatory body and reflected in the applicable Refinitiv screen page (or comparable source selected by BALC), on the fifteenth day of the month in which BALC prepares its monthly or periodic rental invoice hereunder (or the next prior business day if the fifteenth is not a business day) or (b) 1%. (In the event the Term SOFR Index ceases to be determined and made available through public sources or ceases to be a generally accepted index in the marketplace, the index that will be used will be a replacement index applicable to U.S. Dollar collateralized funding selected by BALC that is generally accepted in the commercial credit marketplace as a comparable substitute for the Term SOFR Index with, if necessary, an updated applicable margin or spread adjustment to be determined by BALC in order to preserve the economic yield of BALC from the date of each Advance through the applicable Term Commencement as contemplated on the date thereof.) All interest hereunder shall be calculated on the basis of a year of 360 days and such interest shall be applied to the actual number of days for which interest accrues.</w:t>
      </w:r>
    </w:p>
    <w:p>
      <w:pPr>
        <w:spacing w:after="0" w:line="173" w:lineRule="exact"/>
        <w:rPr>
          <w:sz w:val="20"/>
          <w:szCs w:val="20"/>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Except as expressly amended hereby, the terms and conditions of the Agreement remain unmodified and in full force and effect and are hereby ratified and affirmed. This Amendment shall be effective in BALC’s discretion immediately or as of the next interest re-set date following the date hereof.</w:t>
      </w:r>
    </w:p>
    <w:p>
      <w:pPr>
        <w:spacing w:after="0" w:line="189" w:lineRule="exact"/>
        <w:rPr>
          <w:sz w:val="20"/>
          <w:szCs w:val="20"/>
          <w:color w:val="auto"/>
        </w:rPr>
      </w:pPr>
    </w:p>
    <w:p>
      <w:pPr>
        <w:ind w:firstLine="810"/>
        <w:spacing w:after="0" w:line="250" w:lineRule="auto"/>
        <w:rPr>
          <w:sz w:val="20"/>
          <w:szCs w:val="20"/>
          <w:color w:val="auto"/>
        </w:rPr>
      </w:pPr>
      <w:r>
        <w:rPr>
          <w:rFonts w:ascii="Times New Roman" w:cs="Times New Roman" w:eastAsia="Times New Roman" w:hAnsi="Times New Roman"/>
          <w:sz w:val="18"/>
          <w:szCs w:val="18"/>
          <w:color w:val="auto"/>
        </w:rPr>
        <w:t>IN WITNESS WHEREOF, the parties, each by its duly authorized officer, have duly executed and delivered this Amendment, which is intended to take effect as a sealed instrument, as of the day and year first above written.</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CASELLA WASTE SYSTEMS, INC.</w:t>
            </w:r>
          </w:p>
        </w:tc>
        <w:tc>
          <w:tcPr>
            <w:tcW w:w="65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BANC OF AMERICA LEASING &amp; CAPITAL, LLC</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2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 John P. White Sr.</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2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John P. White Sr.</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w:t>
            </w:r>
          </w:p>
        </w:tc>
        <w:tc>
          <w:tcPr>
            <w:tcW w:w="20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8" w:name="page49"/>
    <w:bookmarkEnd w:id="48"/>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WILLIMANTIC WASTE PAPER CO., INC.</w:t>
            </w:r>
          </w:p>
        </w:tc>
        <w:tc>
          <w:tcPr>
            <w:tcW w:w="65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CASELLA MID-ATLANTIC, LLC</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2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7"/>
        </w:trPr>
        <w:tc>
          <w:tcPr>
            <w:tcW w:w="10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2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2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OXFORD TRANSFER STATION, LLC</w:t>
            </w:r>
          </w:p>
        </w:tc>
        <w:tc>
          <w:tcPr>
            <w:tcW w:w="6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NEW ENGLAND WASTE SERVICES OF N.Y., INC.</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CASELLA RECYCLING, LLC</w:t>
            </w:r>
          </w:p>
        </w:tc>
        <w:tc>
          <w:tcPr>
            <w:tcW w:w="6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CASELLA MAJOR ACCOUNT SERVICES, LLC</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Edmond R. Coletta</w:t>
            </w: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Edmond R. Coletta</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CASELLA WASTE MANAGEMENT OF N.Y. INC.</w:t>
            </w:r>
          </w:p>
        </w:tc>
        <w:tc>
          <w:tcPr>
            <w:tcW w:w="6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CASELLA WASTE MANAGEMENT INC.</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CYCLE WASTE, INC.</w:t>
            </w:r>
          </w:p>
        </w:tc>
        <w:tc>
          <w:tcPr>
            <w:tcW w:w="6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CASELLA WASTE MANAGEMENT OF MASSACHUSETTS, INC.</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r>
        <w:trPr>
          <w:trHeight w:val="37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PINE TREE WASTE, INC.</w:t>
            </w:r>
          </w:p>
        </w:tc>
        <w:tc>
          <w:tcPr>
            <w:tcW w:w="6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WASTE-STREAM, INC.</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r>
        <w:trPr>
          <w:trHeight w:val="61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CASELLA WASTE MANAGEMENT OF PENNSYLVANIA,</w:t>
            </w:r>
          </w:p>
        </w:tc>
        <w:tc>
          <w:tcPr>
            <w:tcW w:w="6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WASTE INDUSTRIES OF DELAWARE, INC.</w:t>
            </w:r>
          </w:p>
        </w:tc>
      </w:t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w:t>
            </w:r>
          </w:p>
        </w:tc>
        <w:tc>
          <w:tcPr>
            <w:tcW w:w="37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ectPr>
          <w:pgSz w:w="11900" w:h="16838" w:orient="portrait"/>
          <w:cols w:equalWidth="0" w:num="1">
            <w:col w:w="11220"/>
          </w:cols>
          <w:pgMar w:left="340" w:top="1440" w:right="339" w:bottom="1440" w:gutter="0" w:footer="0" w:header="0"/>
        </w:sectPr>
      </w:pPr>
    </w:p>
    <w:bookmarkStart w:id="49" w:name="page50"/>
    <w:bookmarkEnd w:id="49"/>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PINK TRASH COMPANY, LLC</w:t>
            </w:r>
          </w:p>
        </w:tc>
        <w:tc>
          <w:tcPr>
            <w:tcW w:w="6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WASTE INDUSTRIES OF MARYLAND, LLC</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PANICHI HOLDING CORP.</w:t>
            </w:r>
          </w:p>
        </w:tc>
        <w:tc>
          <w:tcPr>
            <w:tcW w:w="64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VALLEY 82 HOLDING CORP.</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r>
        <w:trPr>
          <w:trHeight w:val="37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WHITEAIL DISPOSAL, LLC</w:t>
            </w:r>
          </w:p>
        </w:tc>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c>
          <w:tcPr>
            <w:tcW w:w="1880" w:type="dxa"/>
            <w:vAlign w:val="bottom"/>
          </w:tcPr>
          <w:p>
            <w:pPr>
              <w:spacing w:after="0"/>
              <w:rPr>
                <w:sz w:val="23"/>
                <w:szCs w:val="23"/>
                <w:color w:val="auto"/>
              </w:rPr>
            </w:pPr>
          </w:p>
        </w:tc>
        <w:tc>
          <w:tcPr>
            <w:tcW w:w="4600" w:type="dxa"/>
            <w:vAlign w:val="bottom"/>
          </w:tcPr>
          <w:p>
            <w:pPr>
              <w:spacing w:after="0"/>
              <w:rPr>
                <w:sz w:val="23"/>
                <w:szCs w:val="23"/>
                <w:color w:val="auto"/>
              </w:rPr>
            </w:pPr>
          </w:p>
        </w:tc>
      </w:tr>
      <w:tr>
        <w:trPr>
          <w:trHeight w:val="27"/>
        </w:trPr>
        <w:tc>
          <w:tcPr>
            <w:tcW w:w="10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c>
          <w:tcPr>
            <w:tcW w:w="18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c>
          <w:tcPr>
            <w:tcW w:w="1880" w:type="dxa"/>
            <w:vAlign w:val="bottom"/>
          </w:tcPr>
          <w:p>
            <w:pPr>
              <w:spacing w:after="0"/>
              <w:rPr>
                <w:sz w:val="23"/>
                <w:szCs w:val="23"/>
                <w:color w:val="auto"/>
              </w:rPr>
            </w:pPr>
          </w:p>
        </w:tc>
        <w:tc>
          <w:tcPr>
            <w:tcW w:w="4600" w:type="dxa"/>
            <w:vAlign w:val="bottom"/>
          </w:tcPr>
          <w:p>
            <w:pPr>
              <w:spacing w:after="0"/>
              <w:rPr>
                <w:sz w:val="23"/>
                <w:szCs w:val="23"/>
                <w:color w:val="auto"/>
              </w:rPr>
            </w:pPr>
          </w:p>
        </w:tc>
      </w:tr>
    </w:tbl>
    <w:p>
      <w:pPr>
        <w:sectPr>
          <w:pgSz w:w="11900" w:h="16838" w:orient="portrait"/>
          <w:cols w:equalWidth="0" w:num="1">
            <w:col w:w="11220"/>
          </w:cols>
          <w:pgMar w:left="340" w:top="144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2057400" cy="582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25"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xml:space="preserve">Addendum to Master Lease Agreement No. </w:t>
      </w:r>
      <w:r>
        <w:rPr>
          <w:rFonts w:ascii="Times New Roman" w:cs="Times New Roman" w:eastAsia="Times New Roman" w:hAnsi="Times New Roman"/>
          <w:sz w:val="16"/>
          <w:szCs w:val="16"/>
          <w:b w:val="1"/>
          <w:bCs w:val="1"/>
          <w:u w:val="single" w:color="auto"/>
          <w:color w:val="auto"/>
        </w:rPr>
        <w:t>36629-90000</w:t>
      </w:r>
    </w:p>
    <w:p>
      <w:pPr>
        <w:spacing w:after="0" w:line="53" w:lineRule="exact"/>
        <w:rPr>
          <w:sz w:val="20"/>
          <w:szCs w:val="20"/>
          <w:color w:val="auto"/>
        </w:rPr>
      </w:pPr>
    </w:p>
    <w:p>
      <w:pPr>
        <w:ind w:left="20"/>
        <w:spacing w:after="0"/>
        <w:tabs>
          <w:tab w:leader="none" w:pos="9380" w:val="left"/>
        </w:tabs>
        <w:rPr>
          <w:sz w:val="20"/>
          <w:szCs w:val="20"/>
          <w:color w:val="auto"/>
        </w:rPr>
      </w:pPr>
      <w:r>
        <w:rPr>
          <w:rFonts w:ascii="Times New Roman" w:cs="Times New Roman" w:eastAsia="Times New Roman" w:hAnsi="Times New Roman"/>
          <w:sz w:val="16"/>
          <w:szCs w:val="16"/>
          <w:b w:val="1"/>
          <w:bCs w:val="1"/>
          <w:color w:val="auto"/>
        </w:rPr>
        <w:t>Banc of America Leasing &amp; Capital, LLC</w:t>
      </w:r>
      <w:r>
        <w:rPr>
          <w:sz w:val="20"/>
          <w:szCs w:val="20"/>
          <w:color w:val="auto"/>
        </w:rPr>
        <w:tab/>
      </w:r>
      <w:r>
        <w:rPr>
          <w:rFonts w:ascii="Times New Roman" w:cs="Times New Roman" w:eastAsia="Times New Roman" w:hAnsi="Times New Roman"/>
          <w:sz w:val="15"/>
          <w:szCs w:val="15"/>
          <w:b w:val="1"/>
          <w:bCs w:val="1"/>
          <w:color w:val="auto"/>
        </w:rPr>
        <w:t>(Co-Lessee)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6909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6"/>
          <w:szCs w:val="16"/>
          <w:color w:val="auto"/>
        </w:rPr>
        <w:t>This Addendum (the “</w:t>
      </w:r>
      <w:r>
        <w:rPr>
          <w:rFonts w:ascii="Times New Roman" w:cs="Times New Roman" w:eastAsia="Times New Roman" w:hAnsi="Times New Roman"/>
          <w:sz w:val="16"/>
          <w:szCs w:val="16"/>
          <w:b w:val="1"/>
          <w:bCs w:val="1"/>
          <w:color w:val="auto"/>
        </w:rPr>
        <w:t>Addendum</w:t>
      </w:r>
      <w:r>
        <w:rPr>
          <w:rFonts w:ascii="Times New Roman" w:cs="Times New Roman" w:eastAsia="Times New Roman" w:hAnsi="Times New Roman"/>
          <w:sz w:val="16"/>
          <w:szCs w:val="16"/>
          <w:color w:val="auto"/>
        </w:rPr>
        <w:t xml:space="preserve">”) is an addendum to that certain Master Lease Agreement No. </w:t>
      </w:r>
      <w:r>
        <w:rPr>
          <w:rFonts w:ascii="Times New Roman" w:cs="Times New Roman" w:eastAsia="Times New Roman" w:hAnsi="Times New Roman"/>
          <w:sz w:val="16"/>
          <w:szCs w:val="16"/>
          <w:b w:val="1"/>
          <w:bCs w:val="1"/>
          <w:color w:val="auto"/>
        </w:rPr>
        <w:t>36629-90000</w:t>
      </w:r>
      <w:r>
        <w:rPr>
          <w:rFonts w:ascii="Times New Roman" w:cs="Times New Roman" w:eastAsia="Times New Roman" w:hAnsi="Times New Roman"/>
          <w:sz w:val="16"/>
          <w:szCs w:val="16"/>
          <w:color w:val="auto"/>
        </w:rPr>
        <w:t xml:space="preserve"> dated as of </w:t>
      </w:r>
      <w:r>
        <w:rPr>
          <w:rFonts w:ascii="Times New Roman" w:cs="Times New Roman" w:eastAsia="Times New Roman" w:hAnsi="Times New Roman"/>
          <w:sz w:val="16"/>
          <w:szCs w:val="16"/>
          <w:u w:val="single" w:color="auto"/>
          <w:color w:val="auto"/>
        </w:rPr>
        <w:t>July 20</w:t>
      </w:r>
      <w:r>
        <w:rPr>
          <w:rFonts w:ascii="Times New Roman" w:cs="Times New Roman" w:eastAsia="Times New Roman" w:hAnsi="Times New Roman"/>
          <w:sz w:val="16"/>
          <w:szCs w:val="16"/>
          <w:color w:val="auto"/>
        </w:rPr>
        <w:t>, 2020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xml:space="preserve">”) by and between </w:t>
      </w:r>
      <w:r>
        <w:rPr>
          <w:rFonts w:ascii="Times New Roman" w:cs="Times New Roman" w:eastAsia="Times New Roman" w:hAnsi="Times New Roman"/>
          <w:sz w:val="16"/>
          <w:szCs w:val="16"/>
          <w:b w:val="1"/>
          <w:bCs w:val="1"/>
          <w:color w:val="auto"/>
        </w:rPr>
        <w:t>Banc of America Leasing &amp; Capital, LLC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Lessor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u w:val="single" w:color="auto"/>
          <w:color w:val="auto"/>
        </w:rPr>
        <w:t>Casella Waste Systems,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Lessee</w:t>
      </w:r>
      <w:r>
        <w:rPr>
          <w:rFonts w:ascii="Times New Roman" w:cs="Times New Roman" w:eastAsia="Times New Roman" w:hAnsi="Times New Roman"/>
          <w:sz w:val="16"/>
          <w:szCs w:val="16"/>
          <w:color w:val="auto"/>
        </w:rPr>
        <w:t>”), who have determined that it is to their mutual benefit to make certain amendments to the Agreement and each of the Leases and Related Agreements in connection therewith (collectively, the “</w:t>
      </w:r>
      <w:r>
        <w:rPr>
          <w:rFonts w:ascii="Times New Roman" w:cs="Times New Roman" w:eastAsia="Times New Roman" w:hAnsi="Times New Roman"/>
          <w:sz w:val="16"/>
          <w:szCs w:val="16"/>
          <w:b w:val="1"/>
          <w:bCs w:val="1"/>
          <w:color w:val="auto"/>
        </w:rPr>
        <w:t>Lease Documents</w:t>
      </w:r>
      <w:r>
        <w:rPr>
          <w:rFonts w:ascii="Times New Roman" w:cs="Times New Roman" w:eastAsia="Times New Roman" w:hAnsi="Times New Roman"/>
          <w:sz w:val="16"/>
          <w:szCs w:val="16"/>
          <w:color w:val="auto"/>
        </w:rPr>
        <w:t>”). The parties hereto desire that each of the entities executing this Addendum as a Co-Lessee below (together with the Lessee, each a “</w:t>
      </w: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Co-Lessees</w:t>
      </w:r>
      <w:r>
        <w:rPr>
          <w:rFonts w:ascii="Times New Roman" w:cs="Times New Roman" w:eastAsia="Times New Roman" w:hAnsi="Times New Roman"/>
          <w:sz w:val="16"/>
          <w:szCs w:val="16"/>
          <w:color w:val="auto"/>
        </w:rPr>
        <w:t>”) be and become a party to the Agreement and that each may enter into one or more Schedules under the Agreement upon the terms and conditions provided herein. All capitalized terms used herein without definition shall have the respective meaning assigned or referred to them in the Agreement. Accordingly, for good and valuable consideration, intending to be legally bound and pursuant to the terms and conditions of the Agreement, it is hereby agreed as follows:</w:t>
      </w:r>
    </w:p>
    <w:p>
      <w:pPr>
        <w:spacing w:after="0" w:line="73" w:lineRule="exact"/>
        <w:rPr>
          <w:sz w:val="20"/>
          <w:szCs w:val="20"/>
          <w:color w:val="auto"/>
        </w:rPr>
      </w:pPr>
    </w:p>
    <w:p>
      <w:pPr>
        <w:jc w:val="both"/>
        <w:ind w:firstLine="8"/>
        <w:spacing w:after="0" w:line="237" w:lineRule="auto"/>
        <w:tabs>
          <w:tab w:leader="none" w:pos="32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Addition of Co-Lessees</w:t>
      </w:r>
      <w:r>
        <w:rPr>
          <w:rFonts w:ascii="Times New Roman" w:cs="Times New Roman" w:eastAsia="Times New Roman" w:hAnsi="Times New Roman"/>
          <w:sz w:val="16"/>
          <w:szCs w:val="16"/>
          <w:color w:val="auto"/>
        </w:rPr>
        <w:t>. Lessor and Co-Lessees agree that each Co-Lessee is and shall be deemed to be a signatory party to the Agreement effective as of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and that: (i) each Co-Lessee may enter into one or more leases of Equipment under the Agreement by executing and delivering to Lessor a Schedule and other Lease Documents with respect thereto; (ii) each Schedule evidences a lease of the applicable Equipment to the applicable Co-Lessee, notwithstanding the designation of other entities as Co-Lesees; and (iii) notwithstanding any single Co-Lessee entering into a Schedule, upon such execution and delivery by any one Co-Lessee, each Co-Lessee shall be jointly and severally obligated with each other Co-Lessee for the payment or performance of any Obligations owing to Lessor under or in respect of each Schedule and the other Lease Documents (the “</w:t>
      </w:r>
      <w:r>
        <w:rPr>
          <w:rFonts w:ascii="Times New Roman" w:cs="Times New Roman" w:eastAsia="Times New Roman" w:hAnsi="Times New Roman"/>
          <w:sz w:val="16"/>
          <w:szCs w:val="16"/>
          <w:b w:val="1"/>
          <w:bCs w:val="1"/>
          <w:color w:val="auto"/>
        </w:rPr>
        <w:t>Lease Obligations</w:t>
      </w:r>
      <w:r>
        <w:rPr>
          <w:rFonts w:ascii="Times New Roman" w:cs="Times New Roman" w:eastAsia="Times New Roman" w:hAnsi="Times New Roman"/>
          <w:sz w:val="16"/>
          <w:szCs w:val="16"/>
          <w:color w:val="auto"/>
        </w:rPr>
        <w:t>”), and all Lease Documents shall constitute the joint and several obligation of each and every Co-Lessee, jointly and severally with any Guarantor that may be liable, directly or indirectly, for the payment or performance of any Lease Obligation. Notwithstanding any provision herein or in the Agreement to the contrary, no Co-Lessee shall have any interest in the Equipment subject to a Schedule, other than the Co-Lessee executing such Schedule.</w:t>
      </w:r>
    </w:p>
    <w:p>
      <w:pPr>
        <w:spacing w:after="0" w:line="72" w:lineRule="exact"/>
        <w:rPr>
          <w:rFonts w:ascii="Times New Roman" w:cs="Times New Roman" w:eastAsia="Times New Roman" w:hAnsi="Times New Roman"/>
          <w:sz w:val="16"/>
          <w:szCs w:val="16"/>
          <w:color w:val="auto"/>
        </w:rPr>
      </w:pPr>
    </w:p>
    <w:p>
      <w:pPr>
        <w:jc w:val="both"/>
        <w:ind w:firstLine="8"/>
        <w:spacing w:after="0" w:line="236" w:lineRule="auto"/>
        <w:tabs>
          <w:tab w:leader="none" w:pos="28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Nature of Obligations. </w:t>
      </w:r>
      <w:r>
        <w:rPr>
          <w:rFonts w:ascii="Times New Roman" w:cs="Times New Roman" w:eastAsia="Times New Roman" w:hAnsi="Times New Roman"/>
          <w:sz w:val="16"/>
          <w:szCs w:val="16"/>
          <w:color w:val="auto"/>
        </w:rPr>
        <w:t>Each Co-Lessee’s Lease Obligations owing to Lessor are absolute and unconditional, and shall not be affected, reduced, diminished, released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discharged for any reason (other than the payment and performance of the Lease Obligations in full), including without limitation: (i) any illegality, unenforceability, or invalidity of any Lease Document or Lease Obligations; (ii) any termination, discharge, cancellation, amendment, or modification of the terms of any Lease Document, or any consent, extension, indulgence, compromise, settlement, or complete or partial release of any Co-Lessee or Guarantor with respect to any Lease Obligation; (iii) any exercise or non-exercise of any right, remedy, power, or privilege with respect to any Lease Obligation or any Collateral under any Lease Document; (iv) any voluntary or involuntary bankruptcy, insolvency, liquidation, dissolution or similar proceeding with respect to any Co-Lessee or Guarantor; (v) any defect in title to or condition of any item of Equipment or any Collateral; (vi) any failure of Lessor to create or properly perfect any lien, mortgage, pledge or security interest in any Collateral, any release, subordination, surrender, exchange, deterioration, waste, loss or impairment of such Collateral or Lessor’s interest therein, or any failure of Lessor to exercise reasonable care in the preservation, protection, sale or other treatment of such Collateral; (vii) any merger or consolidation of any Co-Lessee into or with any other entity, or any reorganization of or change in the composition of the shareholders, partners or members of any Co-Lessee; or any termination of or other change in the relationship between any Co-Lessees; (viii) any other action or inaction on the part of Lessor, whether or not such action or inaction prejudices any Co-Lessee or increases the likelihood that any Co-Lessee will be required to pay or perform any Lease Obligation pursuant to the terms of the Lease Documents; and (ix) any other condition or circumstance which might otherwise constitute a legal or equitable discharge, release, defense, or limitation arising out of any laws of the United States of America or any state thereof.</w:t>
      </w:r>
    </w:p>
    <w:p>
      <w:pPr>
        <w:spacing w:after="0" w:line="78" w:lineRule="exact"/>
        <w:rPr>
          <w:rFonts w:ascii="Times New Roman" w:cs="Times New Roman" w:eastAsia="Times New Roman" w:hAnsi="Times New Roman"/>
          <w:sz w:val="16"/>
          <w:szCs w:val="16"/>
          <w:color w:val="auto"/>
        </w:rPr>
      </w:pPr>
    </w:p>
    <w:p>
      <w:pPr>
        <w:jc w:val="both"/>
        <w:ind w:firstLine="8"/>
        <w:spacing w:after="0" w:line="236" w:lineRule="auto"/>
        <w:tabs>
          <w:tab w:leader="none" w:pos="29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Waivers</w:t>
      </w:r>
      <w:r>
        <w:rPr>
          <w:rFonts w:ascii="Times New Roman" w:cs="Times New Roman" w:eastAsia="Times New Roman" w:hAnsi="Times New Roman"/>
          <w:sz w:val="16"/>
          <w:szCs w:val="16"/>
          <w:color w:val="auto"/>
        </w:rPr>
        <w:t>. Each Co-Lessee hereby waives: (a) any right to require Lessor to file suit or proceed to obtain or assert any claim or exhaust remedies against any other Co-Lessee or its assets, or any Collateral or any Guarantor, either before or as a condition to enforcing any of Lessor’s rights and remedies against such Co-Lessee under the Lease Documents, to join any Co-Lessee or Guarantor in any action seeking to enforce the Lease Documents, to marshal assets or allocate the use or benefits of any item of Equipment or any Collateral, or to resort to any other means of obtaining payment or performance of any Lease Obligation; (b) any notice of the execution, delivery or acceptance by Lessor, any Co-Lessee or any other party of any Lease Documents, notice of the amount of credit extended by Lessor to any Co-Lessee at any time, notice of defaults or other non-performance by any Co-Lessee; notice of the acceptance of the Lease Documents by Lessor; notice of Lessor’s demand and presentation for payment upon any Co-Lessee or Guarantor; notice of any other action or inaction on the part of Lessor in connection with the Lease Documents or any Lease Obligation; (c) until all Lease Obligations have been paid or performed in full, any right which such Co-Lessee may have against any other Co-Lessee as the result of the performance by such Co-Lessee of its joint and several obligations under the Lease Documents after the occurrence and during the continuation of an Event of Default, including, but not limited to, contractual, statutory and common law rights of subrogation, reimbursement, indemnification, set-off or contribution; and (d) any defenses which Co-Lessee may have or assert against the enforcement of the Lease Documents or any Lease Obligation based upon suretyship principles or any impairment of Collateral.</w:t>
      </w:r>
    </w:p>
    <w:p>
      <w:pPr>
        <w:spacing w:after="0" w:line="75" w:lineRule="exact"/>
        <w:rPr>
          <w:rFonts w:ascii="Times New Roman" w:cs="Times New Roman" w:eastAsia="Times New Roman" w:hAnsi="Times New Roman"/>
          <w:sz w:val="16"/>
          <w:szCs w:val="16"/>
          <w:color w:val="auto"/>
        </w:rPr>
      </w:pPr>
    </w:p>
    <w:p>
      <w:pPr>
        <w:ind w:right="140" w:firstLine="8"/>
        <w:spacing w:after="0" w:line="239" w:lineRule="auto"/>
        <w:tabs>
          <w:tab w:leader="none" w:pos="28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Representations and Warranties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Co-Lessee hereby represents and warrants that it has the form of organization, chief executive office and any organizational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identification number indicated below with its execution of this Addendum, and hereby reaffirms all of the representations, warranties and covenants contained in the Agreement concerning such Co-Lessee. Each Co-Lessee further represents and warrants to Lessor that: (a) it has received, or will receive, substantial benefit from the agreements and transactions giving rise to the Lease Obligations, and has received, or will receive, reasonably equivalent value for its undertakings under the Lease Documents; (b) it is not entering into the Lease Documents in reliance on the value or the availability of any of the Collateral or on the basis that any party will be liable to perform any Lease Obligation or that Lessor will look to any other party to perform any Lease Obligation; (c) Lessor has not made any</w:t>
      </w:r>
    </w:p>
    <w:p>
      <w:pPr>
        <w:spacing w:after="0" w:line="226" w:lineRule="exact"/>
        <w:rPr>
          <w:sz w:val="20"/>
          <w:szCs w:val="20"/>
          <w:color w:val="auto"/>
        </w:rPr>
      </w:pPr>
    </w:p>
    <w:p>
      <w:pPr>
        <w:ind w:left="20"/>
        <w:spacing w:after="0"/>
        <w:tabs>
          <w:tab w:leader="none" w:pos="5240" w:val="left"/>
          <w:tab w:leader="none" w:pos="10820" w:val="left"/>
        </w:tabs>
        <w:rPr>
          <w:sz w:val="20"/>
          <w:szCs w:val="20"/>
          <w:color w:val="auto"/>
        </w:rPr>
      </w:pPr>
      <w:r>
        <w:rPr>
          <w:rFonts w:ascii="Times New Roman" w:cs="Times New Roman" w:eastAsia="Times New Roman" w:hAnsi="Times New Roman"/>
          <w:sz w:val="14"/>
          <w:szCs w:val="14"/>
          <w:color w:val="auto"/>
        </w:rPr>
        <w:t>Master Lease Addendum — Co-Lessee</w:t>
      </w:r>
      <w:r>
        <w:rPr>
          <w:sz w:val="20"/>
          <w:szCs w:val="20"/>
          <w:color w:val="auto"/>
        </w:rPr>
        <w:tab/>
      </w:r>
      <w:r>
        <w:rPr>
          <w:rFonts w:ascii="Times New Roman" w:cs="Times New Roman" w:eastAsia="Times New Roman" w:hAnsi="Times New Roman"/>
          <w:sz w:val="16"/>
          <w:szCs w:val="16"/>
          <w:color w:val="auto"/>
        </w:rPr>
        <w:t>Page 1 of 5</w:t>
      </w:r>
      <w:r>
        <w:rPr>
          <w:sz w:val="20"/>
          <w:szCs w:val="20"/>
          <w:color w:val="auto"/>
        </w:rPr>
        <w:tab/>
      </w:r>
      <w:r>
        <w:rPr>
          <w:rFonts w:ascii="Times New Roman" w:cs="Times New Roman" w:eastAsia="Times New Roman" w:hAnsi="Times New Roman"/>
          <w:sz w:val="14"/>
          <w:szCs w:val="14"/>
          <w:color w:val="auto"/>
        </w:rPr>
        <w:t>4.1.06</w:t>
      </w:r>
    </w:p>
    <w:p>
      <w:pPr>
        <w:sectPr>
          <w:pgSz w:w="11900" w:h="16838" w:orient="portrait"/>
          <w:cols w:equalWidth="0" w:num="1">
            <w:col w:w="11240"/>
          </w:cols>
          <w:pgMar w:left="320" w:top="117" w:right="339" w:bottom="1440" w:gutter="0" w:footer="0" w:header="0"/>
        </w:sectPr>
      </w:pPr>
    </w:p>
    <w:bookmarkStart w:id="51" w:name="page52"/>
    <w:bookmarkEnd w:id="51"/>
    <w:p>
      <w:pPr>
        <w:ind w:right="180"/>
        <w:spacing w:after="0" w:line="249" w:lineRule="auto"/>
        <w:rPr>
          <w:sz w:val="20"/>
          <w:szCs w:val="20"/>
          <w:color w:val="auto"/>
        </w:rPr>
      </w:pPr>
      <w:r>
        <w:rPr>
          <w:rFonts w:ascii="Times New Roman" w:cs="Times New Roman" w:eastAsia="Times New Roman" w:hAnsi="Times New Roman"/>
          <w:sz w:val="16"/>
          <w:szCs w:val="16"/>
          <w:color w:val="auto"/>
        </w:rPr>
        <w:t>representation, warranty or statement to such Co-Lessee in order to induce it to join and enter into the Lease Documents; (d) such Co-Lessee has adequate means to obtain continuing and sufficient information concerning the financial and business condition of the other Co-Lessees and any Guarantors in respect of the Lease Obligations; and</w:t>
      </w:r>
    </w:p>
    <w:p>
      <w:pPr>
        <w:spacing w:after="0" w:line="1" w:lineRule="exact"/>
        <w:rPr>
          <w:sz w:val="20"/>
          <w:szCs w:val="20"/>
          <w:color w:val="auto"/>
        </w:rPr>
      </w:pPr>
    </w:p>
    <w:p>
      <w:pPr>
        <w:ind w:right="40" w:firstLine="8"/>
        <w:spacing w:after="0" w:line="239" w:lineRule="auto"/>
        <w:tabs>
          <w:tab w:leader="none" w:pos="2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and every Co-Lessee may have access to and permitted use of any and all item(s) of Equipment described in any Schedule, regardless of whether such Schedule has been executed by any particular Co-Lessee.</w:t>
      </w:r>
    </w:p>
    <w:p>
      <w:pPr>
        <w:spacing w:after="0" w:line="7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6"/>
          <w:szCs w:val="16"/>
          <w:color w:val="auto"/>
        </w:rPr>
        <w:t>This Addendum shall be deemed a “Related Agreement” as defined in the Agreement, and is subject to all of the terms and provisions applicable to Related Agreements provided in the Agreement. It is expressly agreed by the parties that this Addendum is supplemental to the Agreement and made a part thereof, and that all the terms, conditions and provisions thereof, unless specifically modified herein, shall remain in full force and effect. In the event of any conflict, inconsistency or incongruity between the provisions of this Addendum and any of the provisions of any Lease Document, the provisions of this Addendum shall in all respects govern and control.</w:t>
      </w:r>
    </w:p>
    <w:p>
      <w:pPr>
        <w:spacing w:after="0" w:line="6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This Addendum amends and restates those certain prior Addendums to Master Lease Agreement No. 36629-90000, dated as of July 20, 2020 and August 29, 2024 and delivered by the Co-Lessees party thereto to Lessor (the “Prior Addendums”), by adding certain Co-Lessees thereto and restating all Co-Lessees herein, and shall not operate to discharge, satisfy, cancel or release, or be deemed to be a substitution or novation of the obligations of any Co-Lessee heretofore evidenced by the Prior Addendums, which obligations are hereby preserved and confirmed. The Co-Lessees acknowledge that the continued relation of Lessor and the Co-Lessees is contingent on the Co-Lessees executing and delivering this Addendum.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 WITNESS WHEREOF, the parties have caused this Addendum to be executed as of </w:t>
      </w:r>
      <w:r>
        <w:rPr>
          <w:rFonts w:ascii="Times New Roman" w:cs="Times New Roman" w:eastAsia="Times New Roman" w:hAnsi="Times New Roman"/>
          <w:sz w:val="16"/>
          <w:szCs w:val="16"/>
          <w:u w:val="single" w:color="auto"/>
          <w:color w:val="auto"/>
        </w:rPr>
        <w:t>June 24</w:t>
      </w:r>
      <w:r>
        <w:rPr>
          <w:rFonts w:ascii="Times New Roman" w:cs="Times New Roman" w:eastAsia="Times New Roman" w:hAnsi="Times New Roman"/>
          <w:sz w:val="16"/>
          <w:szCs w:val="16"/>
          <w:color w:val="auto"/>
        </w:rPr>
        <w:t>, 2025.</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620" w:type="dxa"/>
            <w:vAlign w:val="bottom"/>
            <w:tcBorders>
              <w:top w:val="single" w:sz="8" w:color="auto"/>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Willimantic Waste Paper Co., Inc.</w:t>
            </w:r>
          </w:p>
        </w:tc>
        <w:tc>
          <w:tcPr>
            <w:tcW w:w="5620" w:type="dxa"/>
            <w:vAlign w:val="bottom"/>
            <w:tcBorders>
              <w:top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Casella Mid-Atlantic, LLC</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a Connecticut corporation, with an organizational identification number and a</w:t>
            </w:r>
          </w:p>
        </w:tc>
        <w:tc>
          <w:tcPr>
            <w:tcW w:w="280" w:type="dxa"/>
            <w:vAlign w:val="bottom"/>
          </w:tcPr>
          <w:p>
            <w:pPr>
              <w:spacing w:after="0"/>
              <w:rPr>
                <w:sz w:val="19"/>
                <w:szCs w:val="19"/>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a limited liability company organized under the laws of Delaware, with an</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380" w:type="dxa"/>
            <w:vAlign w:val="bottom"/>
            <w:tcBorders>
              <w:right w:val="single" w:sz="8" w:color="auto"/>
            </w:tcBorders>
            <w:gridSpan w:val="4"/>
            <w:vMerge w:val="restart"/>
          </w:tcPr>
          <w:p>
            <w:pPr>
              <w:ind w:left="140"/>
              <w:spacing w:after="0"/>
              <w:rPr>
                <w:sz w:val="20"/>
                <w:szCs w:val="20"/>
                <w:color w:val="auto"/>
              </w:rPr>
            </w:pPr>
            <w:r>
              <w:rPr>
                <w:rFonts w:ascii="Times New Roman" w:cs="Times New Roman" w:eastAsia="Times New Roman" w:hAnsi="Times New Roman"/>
                <w:sz w:val="16"/>
                <w:szCs w:val="16"/>
                <w:color w:val="auto"/>
              </w:rPr>
              <w:t>office at the address set forth below</w:t>
            </w:r>
          </w:p>
        </w:tc>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w w:val="92"/>
              </w:rPr>
              <w:t>number and a chief executive</w:t>
            </w:r>
          </w:p>
        </w:tc>
        <w:tc>
          <w:tcPr>
            <w:tcW w:w="6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w w:val="88"/>
              </w:rPr>
              <w:t>chief executive</w:t>
            </w:r>
          </w:p>
        </w:tc>
        <w:tc>
          <w:tcPr>
            <w:tcW w:w="4380" w:type="dxa"/>
            <w:vAlign w:val="bottom"/>
            <w:tcBorders>
              <w:right w:val="single" w:sz="8" w:color="auto"/>
            </w:tcBorders>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89"/>
              </w:rPr>
              <w:t>organizational identification</w:t>
            </w:r>
          </w:p>
        </w:tc>
        <w:tc>
          <w:tcPr>
            <w:tcW w:w="1880" w:type="dxa"/>
            <w:vAlign w:val="bottom"/>
            <w:gridSpan w:val="3"/>
            <w:vMerge w:val="continue"/>
          </w:tcPr>
          <w:p>
            <w:pPr>
              <w:spacing w:after="0"/>
              <w:rPr>
                <w:sz w:val="17"/>
                <w:szCs w:val="17"/>
                <w:color w:val="auto"/>
              </w:rPr>
            </w:pPr>
          </w:p>
        </w:tc>
        <w:tc>
          <w:tcPr>
            <w:tcW w:w="16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office at the address</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set forth below</w:t>
            </w:r>
          </w:p>
        </w:tc>
        <w:tc>
          <w:tcPr>
            <w:tcW w:w="0" w:type="dxa"/>
            <w:vAlign w:val="bottom"/>
          </w:tcPr>
          <w:p>
            <w:pPr>
              <w:spacing w:after="0"/>
              <w:rPr>
                <w:sz w:val="1"/>
                <w:szCs w:val="1"/>
                <w:color w:val="auto"/>
              </w:rPr>
            </w:pPr>
          </w:p>
        </w:tc>
      </w:tr>
      <w:tr>
        <w:trPr>
          <w:trHeight w:val="350"/>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0" w:type="dxa"/>
            <w:vAlign w:val="bottom"/>
          </w:tcPr>
          <w:p>
            <w:pPr>
              <w:spacing w:after="0"/>
              <w:rPr>
                <w:sz w:val="1"/>
                <w:szCs w:val="1"/>
                <w:color w:val="auto"/>
              </w:rPr>
            </w:pP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7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Taxpayer ID # : 06-09507117</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Taxpayer ID # : 92-3045411</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Org. ID # 0049984</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Org. ID # 7284202</w:t>
            </w:r>
          </w:p>
        </w:tc>
        <w:tc>
          <w:tcPr>
            <w:tcW w:w="0" w:type="dxa"/>
            <w:vAlign w:val="bottom"/>
          </w:tcPr>
          <w:p>
            <w:pPr>
              <w:spacing w:after="0"/>
              <w:rPr>
                <w:sz w:val="1"/>
                <w:szCs w:val="1"/>
                <w:color w:val="auto"/>
              </w:rPr>
            </w:pPr>
          </w:p>
        </w:tc>
      </w:tr>
      <w:tr>
        <w:trPr>
          <w:trHeight w:val="222"/>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Address: 121 Chronicle Road</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Borders>
              <w:right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color w:val="auto"/>
              </w:rPr>
              <w:t>Willimantic, CT 06226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80" w:type="dxa"/>
            <w:vAlign w:val="bottom"/>
            <w:tcBorders>
              <w:right w:val="single" w:sz="8" w:color="auto"/>
            </w:tcBorders>
            <w:gridSpan w:val="9"/>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0" w:type="dxa"/>
            <w:vAlign w:val="bottom"/>
          </w:tcPr>
          <w:p>
            <w:pPr>
              <w:spacing w:after="0"/>
              <w:rPr>
                <w:sz w:val="1"/>
                <w:szCs w:val="1"/>
                <w:color w:val="auto"/>
              </w:rPr>
            </w:pPr>
          </w:p>
        </w:tc>
      </w:tr>
      <w:tr>
        <w:trPr>
          <w:trHeight w:val="33"/>
        </w:trPr>
        <w:tc>
          <w:tcPr>
            <w:tcW w:w="460" w:type="dxa"/>
            <w:vAlign w:val="bottom"/>
            <w:tcBorders>
              <w:left w:val="single" w:sz="8" w:color="auto"/>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tcBorders>
              <w:left w:val="single" w:sz="8" w:color="auto"/>
              <w:right w:val="single" w:sz="8" w:color="auto"/>
            </w:tcBorders>
            <w:gridSpan w:val="9"/>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Oxford Transfer Station, LLC</w:t>
            </w:r>
          </w:p>
        </w:tc>
        <w:tc>
          <w:tcPr>
            <w:tcW w:w="5620" w:type="dxa"/>
            <w:vAlign w:val="bottom"/>
            <w:tcBorders>
              <w:right w:val="single" w:sz="8" w:color="auto"/>
            </w:tcBorders>
            <w:gridSpan w:val="11"/>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New England Waste Services of N.Y., Inc.</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60" w:type="dxa"/>
            <w:vAlign w:val="bottom"/>
            <w:tcBorders>
              <w:right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40" w:type="dxa"/>
            <w:vAlign w:val="bottom"/>
            <w:gridSpan w:val="3"/>
            <w:shd w:val="clear" w:color="auto" w:fill="000000"/>
          </w:tcPr>
          <w:p>
            <w:pPr>
              <w:spacing w:after="0" w:line="20" w:lineRule="exact"/>
              <w:rPr>
                <w:sz w:val="1"/>
                <w:szCs w:val="1"/>
                <w:color w:val="auto"/>
              </w:rPr>
            </w:pPr>
          </w:p>
        </w:tc>
        <w:tc>
          <w:tcPr>
            <w:tcW w:w="208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a limited liability company organized under the laws of Delaware, with an</w:t>
            </w:r>
          </w:p>
        </w:tc>
        <w:tc>
          <w:tcPr>
            <w:tcW w:w="280" w:type="dxa"/>
            <w:vAlign w:val="bottom"/>
          </w:tcPr>
          <w:p>
            <w:pPr>
              <w:spacing w:after="0"/>
              <w:rPr>
                <w:sz w:val="19"/>
                <w:szCs w:val="19"/>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a New York corporation, with an organizational identification number and a</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40" w:type="dxa"/>
            <w:vAlign w:val="bottom"/>
            <w:gridSpan w:val="4"/>
            <w:shd w:val="clear" w:color="auto" w:fill="000000"/>
          </w:tcPr>
          <w:p>
            <w:pPr>
              <w:spacing w:after="0" w:line="20" w:lineRule="exact"/>
              <w:rPr>
                <w:sz w:val="1"/>
                <w:szCs w:val="1"/>
                <w:color w:val="auto"/>
              </w:rPr>
            </w:pPr>
          </w:p>
        </w:tc>
        <w:tc>
          <w:tcPr>
            <w:tcW w:w="352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number and a chief executive office at the address</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520" w:type="dxa"/>
            <w:vAlign w:val="bottom"/>
            <w:tcBorders>
              <w:right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140" w:type="dxa"/>
            <w:vAlign w:val="bottom"/>
            <w:vMerge w:val="continue"/>
          </w:tcPr>
          <w:p>
            <w:pPr>
              <w:spacing w:after="0"/>
              <w:rPr>
                <w:sz w:val="17"/>
                <w:szCs w:val="17"/>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89"/>
              </w:rPr>
              <w:t>organizational identification</w:t>
            </w:r>
          </w:p>
        </w:tc>
        <w:tc>
          <w:tcPr>
            <w:tcW w:w="3520" w:type="dxa"/>
            <w:vAlign w:val="bottom"/>
            <w:tcBorders>
              <w:right w:val="single" w:sz="8" w:color="auto"/>
            </w:tcBorders>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chief executive office at the address set forth below</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set forth below</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0" w:type="dxa"/>
            <w:vAlign w:val="bottom"/>
          </w:tcPr>
          <w:p>
            <w:pPr>
              <w:spacing w:after="0"/>
              <w:rPr>
                <w:sz w:val="1"/>
                <w:szCs w:val="1"/>
                <w:color w:val="auto"/>
              </w:rPr>
            </w:pP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7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Taxpayer ID # : 04-3454163</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Taxpayer ID # : 14-1794820</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Org. ID # 3653351</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Org. ID # 2047871</w:t>
            </w:r>
          </w:p>
        </w:tc>
        <w:tc>
          <w:tcPr>
            <w:tcW w:w="0" w:type="dxa"/>
            <w:vAlign w:val="bottom"/>
          </w:tcPr>
          <w:p>
            <w:pPr>
              <w:spacing w:after="0"/>
              <w:rPr>
                <w:sz w:val="1"/>
                <w:szCs w:val="1"/>
                <w:color w:val="auto"/>
              </w:rPr>
            </w:pPr>
          </w:p>
        </w:tc>
      </w:tr>
      <w:tr>
        <w:trPr>
          <w:trHeight w:val="222"/>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0" w:type="dxa"/>
            <w:vAlign w:val="bottom"/>
          </w:tcPr>
          <w:p>
            <w:pPr>
              <w:spacing w:after="0"/>
              <w:rPr>
                <w:sz w:val="1"/>
                <w:szCs w:val="1"/>
                <w:color w:val="auto"/>
              </w:rPr>
            </w:pPr>
          </w:p>
        </w:tc>
      </w:tr>
      <w:tr>
        <w:trPr>
          <w:trHeight w:val="210"/>
        </w:trPr>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Borders>
              <w:right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80" w:type="dxa"/>
            <w:vAlign w:val="bottom"/>
            <w:tcBorders>
              <w:right w:val="single" w:sz="8" w:color="auto"/>
            </w:tcBorders>
            <w:gridSpan w:val="9"/>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0" w:type="dxa"/>
            <w:vAlign w:val="bottom"/>
          </w:tcPr>
          <w:p>
            <w:pPr>
              <w:spacing w:after="0"/>
              <w:rPr>
                <w:sz w:val="1"/>
                <w:szCs w:val="1"/>
                <w:color w:val="auto"/>
              </w:rPr>
            </w:pPr>
          </w:p>
        </w:tc>
      </w:tr>
      <w:tr>
        <w:trPr>
          <w:trHeight w:val="33"/>
        </w:trPr>
        <w:tc>
          <w:tcPr>
            <w:tcW w:w="32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240" w:val="left"/>
          <w:tab w:leader="none" w:pos="10820" w:val="left"/>
        </w:tabs>
        <w:rPr>
          <w:sz w:val="20"/>
          <w:szCs w:val="20"/>
          <w:color w:val="auto"/>
        </w:rPr>
      </w:pPr>
      <w:r>
        <w:rPr>
          <w:rFonts w:ascii="Times New Roman" w:cs="Times New Roman" w:eastAsia="Times New Roman" w:hAnsi="Times New Roman"/>
          <w:sz w:val="14"/>
          <w:szCs w:val="14"/>
          <w:color w:val="auto"/>
        </w:rPr>
        <w:t>Master Lease Addendum — Co-Lessee</w:t>
      </w:r>
      <w:r>
        <w:rPr>
          <w:sz w:val="20"/>
          <w:szCs w:val="20"/>
          <w:color w:val="auto"/>
        </w:rPr>
        <w:tab/>
      </w:r>
      <w:r>
        <w:rPr>
          <w:rFonts w:ascii="Times New Roman" w:cs="Times New Roman" w:eastAsia="Times New Roman" w:hAnsi="Times New Roman"/>
          <w:sz w:val="16"/>
          <w:szCs w:val="16"/>
          <w:color w:val="auto"/>
        </w:rPr>
        <w:t>Page 2 of 5</w:t>
      </w:r>
      <w:r>
        <w:rPr>
          <w:sz w:val="20"/>
          <w:szCs w:val="20"/>
          <w:color w:val="auto"/>
        </w:rPr>
        <w:tab/>
      </w:r>
      <w:r>
        <w:rPr>
          <w:rFonts w:ascii="Times New Roman" w:cs="Times New Roman" w:eastAsia="Times New Roman" w:hAnsi="Times New Roman"/>
          <w:sz w:val="14"/>
          <w:szCs w:val="14"/>
          <w:color w:val="auto"/>
        </w:rPr>
        <w:t>4.1.06</w:t>
      </w:r>
    </w:p>
    <w:p>
      <w:pPr>
        <w:sectPr>
          <w:pgSz w:w="11900" w:h="16838" w:orient="portrait"/>
          <w:cols w:equalWidth="0" w:num="1">
            <w:col w:w="11240"/>
          </w:cols>
          <w:pgMar w:left="320" w:top="1125"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03"/>
        </w:trPr>
        <w:tc>
          <w:tcPr>
            <w:tcW w:w="5220" w:type="dxa"/>
            <w:vAlign w:val="bottom"/>
            <w:tcBorders>
              <w:top w:val="single" w:sz="8" w:color="auto"/>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Casella Recycling, LLC</w:t>
            </w:r>
          </w:p>
        </w:tc>
        <w:tc>
          <w:tcPr>
            <w:tcW w:w="400" w:type="dxa"/>
            <w:vAlign w:val="bottom"/>
            <w:tcBorders>
              <w:top w:val="single" w:sz="8" w:color="auto"/>
              <w:right w:val="single" w:sz="8" w:color="auto"/>
            </w:tcBorders>
          </w:tcPr>
          <w:p>
            <w:pPr>
              <w:spacing w:after="0"/>
              <w:rPr>
                <w:sz w:val="17"/>
                <w:szCs w:val="17"/>
                <w:color w:val="auto"/>
              </w:rPr>
            </w:pPr>
          </w:p>
        </w:tc>
        <w:tc>
          <w:tcPr>
            <w:tcW w:w="5620" w:type="dxa"/>
            <w:vAlign w:val="bottom"/>
            <w:tcBorders>
              <w:top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Casella Major Account Services, LLC</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4900" w:type="dxa"/>
            <w:vAlign w:val="bottom"/>
            <w:gridSpan w:val="11"/>
          </w:tcPr>
          <w:p>
            <w:pPr>
              <w:ind w:left="40"/>
              <w:spacing w:after="0"/>
              <w:rPr>
                <w:sz w:val="20"/>
                <w:szCs w:val="20"/>
                <w:color w:val="auto"/>
              </w:rPr>
            </w:pPr>
            <w:r>
              <w:rPr>
                <w:rFonts w:ascii="Times New Roman" w:cs="Times New Roman" w:eastAsia="Times New Roman" w:hAnsi="Times New Roman"/>
                <w:sz w:val="16"/>
                <w:szCs w:val="16"/>
                <w:color w:val="auto"/>
              </w:rPr>
              <w:t>a limited liability company organized under the laws of Maine, with an</w:t>
            </w:r>
          </w:p>
        </w:tc>
        <w:tc>
          <w:tcPr>
            <w:tcW w:w="40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12"/>
          </w:tcPr>
          <w:p>
            <w:pPr>
              <w:ind w:left="340"/>
              <w:spacing w:after="0"/>
              <w:rPr>
                <w:sz w:val="20"/>
                <w:szCs w:val="20"/>
                <w:color w:val="auto"/>
              </w:rPr>
            </w:pPr>
            <w:r>
              <w:rPr>
                <w:rFonts w:ascii="Times New Roman" w:cs="Times New Roman" w:eastAsia="Times New Roman" w:hAnsi="Times New Roman"/>
                <w:sz w:val="16"/>
                <w:szCs w:val="16"/>
                <w:color w:val="auto"/>
              </w:rPr>
              <w:t>a limited liability company organized under the laws of Vermont, with an</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5300" w:type="dxa"/>
            <w:vAlign w:val="bottom"/>
            <w:tcBorders>
              <w:righ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organizational identification number and a chief executive office at the address</w:t>
            </w:r>
          </w:p>
        </w:tc>
        <w:tc>
          <w:tcPr>
            <w:tcW w:w="5620" w:type="dxa"/>
            <w:vAlign w:val="bottom"/>
            <w:tcBorders>
              <w:right w:val="single" w:sz="8" w:color="auto"/>
            </w:tcBorders>
            <w:gridSpan w:val="12"/>
          </w:tcPr>
          <w:p>
            <w:pPr>
              <w:ind w:left="340"/>
              <w:spacing w:after="0"/>
              <w:rPr>
                <w:sz w:val="20"/>
                <w:szCs w:val="20"/>
                <w:color w:val="auto"/>
              </w:rPr>
            </w:pPr>
            <w:r>
              <w:rPr>
                <w:rFonts w:ascii="Times New Roman" w:cs="Times New Roman" w:eastAsia="Times New Roman" w:hAnsi="Times New Roman"/>
                <w:sz w:val="16"/>
                <w:szCs w:val="16"/>
                <w:color w:val="auto"/>
              </w:rPr>
              <w:t>organizational identification number and a chief executive office at the address</w:t>
            </w:r>
          </w:p>
        </w:tc>
      </w:tr>
      <w:tr>
        <w:trPr>
          <w:trHeight w:val="210"/>
        </w:trPr>
        <w:tc>
          <w:tcPr>
            <w:tcW w:w="320" w:type="dxa"/>
            <w:vAlign w:val="bottom"/>
            <w:tcBorders>
              <w:left w:val="single" w:sz="8" w:color="auto"/>
            </w:tcBorders>
          </w:tcPr>
          <w:p>
            <w:pPr>
              <w:spacing w:after="0"/>
              <w:rPr>
                <w:sz w:val="18"/>
                <w:szCs w:val="18"/>
                <w:color w:val="auto"/>
              </w:rPr>
            </w:pPr>
          </w:p>
        </w:tc>
        <w:tc>
          <w:tcPr>
            <w:tcW w:w="4900" w:type="dxa"/>
            <w:vAlign w:val="bottom"/>
            <w:gridSpan w:val="11"/>
          </w:tcPr>
          <w:p>
            <w:pPr>
              <w:ind w:left="40"/>
              <w:spacing w:after="0"/>
              <w:rPr>
                <w:sz w:val="20"/>
                <w:szCs w:val="20"/>
                <w:color w:val="auto"/>
              </w:rPr>
            </w:pPr>
            <w:r>
              <w:rPr>
                <w:rFonts w:ascii="Times New Roman" w:cs="Times New Roman" w:eastAsia="Times New Roman" w:hAnsi="Times New Roman"/>
                <w:sz w:val="16"/>
                <w:szCs w:val="16"/>
                <w:color w:val="auto"/>
              </w:rPr>
              <w:t>set forth below</w:t>
            </w:r>
          </w:p>
        </w:tc>
        <w:tc>
          <w:tcPr>
            <w:tcW w:w="40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gridSpan w:val="12"/>
          </w:tcPr>
          <w:p>
            <w:pPr>
              <w:ind w:left="340"/>
              <w:spacing w:after="0"/>
              <w:rPr>
                <w:sz w:val="20"/>
                <w:szCs w:val="20"/>
                <w:color w:val="auto"/>
              </w:rPr>
            </w:pPr>
            <w:r>
              <w:rPr>
                <w:rFonts w:ascii="Times New Roman" w:cs="Times New Roman" w:eastAsia="Times New Roman" w:hAnsi="Times New Roman"/>
                <w:sz w:val="16"/>
                <w:szCs w:val="16"/>
                <w:color w:val="auto"/>
              </w:rPr>
              <w:t>set forth below</w:t>
            </w:r>
          </w:p>
        </w:tc>
      </w:tr>
      <w:tr>
        <w:trPr>
          <w:trHeight w:val="351"/>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400" w:type="dxa"/>
            <w:vAlign w:val="bottom"/>
            <w:tcBorders>
              <w:bottom w:val="single" w:sz="8" w:color="auto"/>
              <w:right w:val="single" w:sz="8" w:color="auto"/>
            </w:tcBorders>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color w:val="auto"/>
              </w:rPr>
              <w:t>/s/ Edmond R. Coletta</w:t>
            </w: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3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400" w:type="dxa"/>
            <w:vAlign w:val="bottom"/>
            <w:tcBorders>
              <w:right w:val="single" w:sz="8" w:color="auto"/>
            </w:tcBorders>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6"/>
                <w:szCs w:val="16"/>
                <w:color w:val="auto"/>
              </w:rPr>
              <w:t>Edmond R. Coletta</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Taxpayer ID # : 01-0203130</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Taxpayer ID # : 30-0297037</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Org. ID # 20063190DC</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Org. ID # 0019724</w:t>
            </w:r>
          </w:p>
        </w:tc>
      </w:tr>
      <w:tr>
        <w:trPr>
          <w:trHeight w:val="235"/>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40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Address: 50 Belden Road</w:t>
            </w:r>
          </w:p>
        </w:tc>
      </w:tr>
      <w:tr>
        <w:trPr>
          <w:trHeight w:val="223"/>
        </w:trPr>
        <w:tc>
          <w:tcPr>
            <w:tcW w:w="32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40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11"/>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r>
      <w:tr>
        <w:trPr>
          <w:trHeight w:val="189"/>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Casella Waste Management of Pennsylvania, Inc.</w:t>
            </w:r>
          </w:p>
        </w:tc>
        <w:tc>
          <w:tcPr>
            <w:tcW w:w="40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Waste Industries of Delaware, Inc.</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5300" w:type="dxa"/>
            <w:vAlign w:val="bottom"/>
            <w:tcBorders>
              <w:righ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a Pennsylvania corporation, with an organizational identification number and a</w:t>
            </w:r>
          </w:p>
        </w:tc>
        <w:tc>
          <w:tcPr>
            <w:tcW w:w="5620" w:type="dxa"/>
            <w:vAlign w:val="bottom"/>
            <w:tcBorders>
              <w:right w:val="single" w:sz="8" w:color="auto"/>
            </w:tcBorders>
            <w:gridSpan w:val="12"/>
          </w:tcPr>
          <w:p>
            <w:pPr>
              <w:ind w:left="340"/>
              <w:spacing w:after="0"/>
              <w:rPr>
                <w:sz w:val="20"/>
                <w:szCs w:val="20"/>
                <w:color w:val="auto"/>
              </w:rPr>
            </w:pPr>
            <w:r>
              <w:rPr>
                <w:rFonts w:ascii="Times New Roman" w:cs="Times New Roman" w:eastAsia="Times New Roman" w:hAnsi="Times New Roman"/>
                <w:sz w:val="16"/>
                <w:szCs w:val="16"/>
                <w:color w:val="auto"/>
              </w:rPr>
              <w:t>a Delaware corporation, with an organizational identification number and a chief</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4900" w:type="dxa"/>
            <w:vAlign w:val="bottom"/>
            <w:gridSpan w:val="11"/>
          </w:tcPr>
          <w:p>
            <w:pPr>
              <w:ind w:left="40"/>
              <w:spacing w:after="0"/>
              <w:rPr>
                <w:sz w:val="20"/>
                <w:szCs w:val="20"/>
                <w:color w:val="auto"/>
              </w:rPr>
            </w:pPr>
            <w:r>
              <w:rPr>
                <w:rFonts w:ascii="Times New Roman" w:cs="Times New Roman" w:eastAsia="Times New Roman" w:hAnsi="Times New Roman"/>
                <w:sz w:val="16"/>
                <w:szCs w:val="16"/>
                <w:color w:val="auto"/>
              </w:rPr>
              <w:t>chief executive office at the address set forth below</w:t>
            </w:r>
          </w:p>
        </w:tc>
        <w:tc>
          <w:tcPr>
            <w:tcW w:w="40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gridSpan w:val="12"/>
          </w:tcPr>
          <w:p>
            <w:pPr>
              <w:ind w:left="340"/>
              <w:spacing w:after="0"/>
              <w:rPr>
                <w:sz w:val="20"/>
                <w:szCs w:val="20"/>
                <w:color w:val="auto"/>
              </w:rPr>
            </w:pPr>
            <w:r>
              <w:rPr>
                <w:rFonts w:ascii="Times New Roman" w:cs="Times New Roman" w:eastAsia="Times New Roman" w:hAnsi="Times New Roman"/>
                <w:sz w:val="16"/>
                <w:szCs w:val="16"/>
                <w:color w:val="auto"/>
              </w:rPr>
              <w:t>executive office at the address set forth below</w:t>
            </w:r>
          </w:p>
        </w:tc>
      </w:tr>
      <w:tr>
        <w:trPr>
          <w:trHeight w:val="350"/>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400" w:type="dxa"/>
            <w:vAlign w:val="bottom"/>
            <w:tcBorders>
              <w:bottom w:val="single" w:sz="8" w:color="auto"/>
              <w:right w:val="single" w:sz="8" w:color="auto"/>
            </w:tcBorders>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3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400" w:type="dxa"/>
            <w:vAlign w:val="bottom"/>
            <w:tcBorders>
              <w:right w:val="single" w:sz="8" w:color="auto"/>
            </w:tcBorders>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6"/>
                <w:szCs w:val="16"/>
                <w:color w:val="auto"/>
              </w:rPr>
              <w:t>Bradford J. Helgeson</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Taxpayer ID # : 23-2876596</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Taxpayer ID # : 27-3957840</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Org. ID # 002734222</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Org. ID # 4896543</w:t>
            </w:r>
          </w:p>
        </w:tc>
      </w:tr>
      <w:tr>
        <w:trPr>
          <w:trHeight w:val="235"/>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Address: 19 Ness Lane</w:t>
            </w:r>
          </w:p>
        </w:tc>
        <w:tc>
          <w:tcPr>
            <w:tcW w:w="40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r>
      <w:tr>
        <w:trPr>
          <w:trHeight w:val="223"/>
        </w:trPr>
        <w:tc>
          <w:tcPr>
            <w:tcW w:w="32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6"/>
                <w:szCs w:val="16"/>
                <w:color w:val="auto"/>
              </w:rPr>
              <w:t>Kane, PA 16735</w:t>
            </w:r>
          </w:p>
        </w:tc>
        <w:tc>
          <w:tcPr>
            <w:tcW w:w="40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11"/>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r>
      <w:tr>
        <w:trPr>
          <w:trHeight w:val="189"/>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Pink Trash Company, LLC</w:t>
            </w:r>
          </w:p>
        </w:tc>
        <w:tc>
          <w:tcPr>
            <w:tcW w:w="40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Waste Industries of Maryland, LLC</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60" w:type="dxa"/>
            <w:vAlign w:val="bottom"/>
            <w:gridSpan w:val="5"/>
            <w:shd w:val="clear" w:color="auto" w:fill="000000"/>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00" w:type="dxa"/>
            <w:vAlign w:val="bottom"/>
            <w:gridSpan w:val="5"/>
            <w:shd w:val="clear" w:color="auto" w:fill="000000"/>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4900" w:type="dxa"/>
            <w:vAlign w:val="bottom"/>
            <w:gridSpan w:val="11"/>
          </w:tcPr>
          <w:p>
            <w:pPr>
              <w:ind w:left="40"/>
              <w:spacing w:after="0"/>
              <w:rPr>
                <w:sz w:val="20"/>
                <w:szCs w:val="20"/>
                <w:color w:val="auto"/>
              </w:rPr>
            </w:pPr>
            <w:r>
              <w:rPr>
                <w:rFonts w:ascii="Times New Roman" w:cs="Times New Roman" w:eastAsia="Times New Roman" w:hAnsi="Times New Roman"/>
                <w:sz w:val="16"/>
                <w:szCs w:val="16"/>
                <w:color w:val="auto"/>
              </w:rPr>
              <w:t>a limited liability company organized under the laws of Delaware, with an</w:t>
            </w:r>
          </w:p>
        </w:tc>
        <w:tc>
          <w:tcPr>
            <w:tcW w:w="40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12"/>
          </w:tcPr>
          <w:p>
            <w:pPr>
              <w:ind w:left="340"/>
              <w:spacing w:after="0"/>
              <w:rPr>
                <w:sz w:val="20"/>
                <w:szCs w:val="20"/>
                <w:color w:val="auto"/>
              </w:rPr>
            </w:pPr>
            <w:r>
              <w:rPr>
                <w:rFonts w:ascii="Times New Roman" w:cs="Times New Roman" w:eastAsia="Times New Roman" w:hAnsi="Times New Roman"/>
                <w:sz w:val="16"/>
                <w:szCs w:val="16"/>
                <w:color w:val="auto"/>
              </w:rPr>
              <w:t>a limited liability company organized under the laws of Delaware, with an</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4"/>
            <w:shd w:val="clear" w:color="auto" w:fill="000000"/>
          </w:tcPr>
          <w:p>
            <w:pPr>
              <w:spacing w:after="0" w:line="20" w:lineRule="exact"/>
              <w:rPr>
                <w:sz w:val="1"/>
                <w:szCs w:val="1"/>
                <w:color w:val="auto"/>
              </w:rPr>
            </w:pPr>
          </w:p>
        </w:tc>
        <w:tc>
          <w:tcPr>
            <w:tcW w:w="1940" w:type="dxa"/>
            <w:vAlign w:val="bottom"/>
            <w:tcBorders>
              <w:right w:val="single" w:sz="8" w:color="auto"/>
            </w:tcBorders>
            <w:gridSpan w:val="3"/>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4"/>
            <w:shd w:val="clear" w:color="auto" w:fill="000000"/>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5300" w:type="dxa"/>
            <w:vAlign w:val="bottom"/>
            <w:tcBorders>
              <w:righ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organizational identification number and a chief executive office at the address</w:t>
            </w:r>
          </w:p>
        </w:tc>
        <w:tc>
          <w:tcPr>
            <w:tcW w:w="5620" w:type="dxa"/>
            <w:vAlign w:val="bottom"/>
            <w:tcBorders>
              <w:right w:val="single" w:sz="8" w:color="auto"/>
            </w:tcBorders>
            <w:gridSpan w:val="12"/>
          </w:tcPr>
          <w:p>
            <w:pPr>
              <w:ind w:left="340"/>
              <w:spacing w:after="0"/>
              <w:rPr>
                <w:sz w:val="20"/>
                <w:szCs w:val="20"/>
                <w:color w:val="auto"/>
              </w:rPr>
            </w:pPr>
            <w:r>
              <w:rPr>
                <w:rFonts w:ascii="Times New Roman" w:cs="Times New Roman" w:eastAsia="Times New Roman" w:hAnsi="Times New Roman"/>
                <w:sz w:val="16"/>
                <w:szCs w:val="16"/>
                <w:color w:val="auto"/>
              </w:rPr>
              <w:t>organizational identification number and a chief executive office at the address</w:t>
            </w:r>
          </w:p>
        </w:tc>
      </w:tr>
      <w:tr>
        <w:trPr>
          <w:trHeight w:val="210"/>
        </w:trPr>
        <w:tc>
          <w:tcPr>
            <w:tcW w:w="320" w:type="dxa"/>
            <w:vAlign w:val="bottom"/>
            <w:tcBorders>
              <w:left w:val="single" w:sz="8" w:color="auto"/>
            </w:tcBorders>
          </w:tcPr>
          <w:p>
            <w:pPr>
              <w:spacing w:after="0"/>
              <w:rPr>
                <w:sz w:val="18"/>
                <w:szCs w:val="18"/>
                <w:color w:val="auto"/>
              </w:rPr>
            </w:pPr>
          </w:p>
        </w:tc>
        <w:tc>
          <w:tcPr>
            <w:tcW w:w="4900" w:type="dxa"/>
            <w:vAlign w:val="bottom"/>
            <w:gridSpan w:val="11"/>
          </w:tcPr>
          <w:p>
            <w:pPr>
              <w:ind w:left="40"/>
              <w:spacing w:after="0"/>
              <w:rPr>
                <w:sz w:val="20"/>
                <w:szCs w:val="20"/>
                <w:color w:val="auto"/>
              </w:rPr>
            </w:pPr>
            <w:r>
              <w:rPr>
                <w:rFonts w:ascii="Times New Roman" w:cs="Times New Roman" w:eastAsia="Times New Roman" w:hAnsi="Times New Roman"/>
                <w:sz w:val="16"/>
                <w:szCs w:val="16"/>
                <w:color w:val="auto"/>
              </w:rPr>
              <w:t>set forth below</w:t>
            </w:r>
          </w:p>
        </w:tc>
        <w:tc>
          <w:tcPr>
            <w:tcW w:w="40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gridSpan w:val="12"/>
          </w:tcPr>
          <w:p>
            <w:pPr>
              <w:ind w:left="340"/>
              <w:spacing w:after="0"/>
              <w:rPr>
                <w:sz w:val="20"/>
                <w:szCs w:val="20"/>
                <w:color w:val="auto"/>
              </w:rPr>
            </w:pPr>
            <w:r>
              <w:rPr>
                <w:rFonts w:ascii="Times New Roman" w:cs="Times New Roman" w:eastAsia="Times New Roman" w:hAnsi="Times New Roman"/>
                <w:sz w:val="16"/>
                <w:szCs w:val="16"/>
                <w:color w:val="auto"/>
              </w:rPr>
              <w:t>set forth below</w:t>
            </w:r>
          </w:p>
        </w:tc>
      </w:tr>
      <w:tr>
        <w:trPr>
          <w:trHeight w:val="310"/>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400" w:type="dxa"/>
            <w:vAlign w:val="bottom"/>
            <w:tcBorders>
              <w:bottom w:val="single" w:sz="8" w:color="auto"/>
              <w:right w:val="single" w:sz="8" w:color="auto"/>
            </w:tcBorders>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3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400" w:type="dxa"/>
            <w:vAlign w:val="bottom"/>
            <w:tcBorders>
              <w:right w:val="single" w:sz="8" w:color="auto"/>
            </w:tcBorders>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6"/>
                <w:szCs w:val="16"/>
                <w:color w:val="auto"/>
              </w:rPr>
              <w:t>Bradford J. Helgeson</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Taxpayer ID # : 84-3059610</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Taxpayer ID # : 26-3662015</w:t>
            </w:r>
          </w:p>
        </w:tc>
      </w:tr>
      <w:tr>
        <w:trPr>
          <w:trHeight w:val="243"/>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Org. ID # 7545339</w:t>
            </w:r>
          </w:p>
        </w:tc>
        <w:tc>
          <w:tcPr>
            <w:tcW w:w="40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Org. ID # 4619185</w:t>
            </w:r>
          </w:p>
        </w:tc>
      </w:tr>
      <w:tr>
        <w:trPr>
          <w:trHeight w:val="235"/>
        </w:trPr>
        <w:tc>
          <w:tcPr>
            <w:tcW w:w="5220" w:type="dxa"/>
            <w:vAlign w:val="bottom"/>
            <w:tcBorders>
              <w:left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40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r>
      <w:tr>
        <w:trPr>
          <w:trHeight w:val="223"/>
        </w:trPr>
        <w:tc>
          <w:tcPr>
            <w:tcW w:w="32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40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11"/>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r>
      <w:tr>
        <w:trPr>
          <w:trHeight w:val="534"/>
        </w:trPr>
        <w:tc>
          <w:tcPr>
            <w:tcW w:w="5220" w:type="dxa"/>
            <w:vAlign w:val="bottom"/>
            <w:gridSpan w:val="12"/>
          </w:tcPr>
          <w:p>
            <w:pPr>
              <w:ind w:left="20"/>
              <w:spacing w:after="0"/>
              <w:rPr>
                <w:sz w:val="20"/>
                <w:szCs w:val="20"/>
                <w:color w:val="auto"/>
              </w:rPr>
            </w:pPr>
            <w:r>
              <w:rPr>
                <w:rFonts w:ascii="Times New Roman" w:cs="Times New Roman" w:eastAsia="Times New Roman" w:hAnsi="Times New Roman"/>
                <w:sz w:val="14"/>
                <w:szCs w:val="14"/>
                <w:color w:val="auto"/>
              </w:rPr>
              <w:t>Master Lease Addendum — Co-Lessee</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Page 3 of 5</w:t>
            </w:r>
          </w:p>
        </w:tc>
        <w:tc>
          <w:tcPr>
            <w:tcW w:w="5180" w:type="dxa"/>
            <w:vAlign w:val="bottom"/>
            <w:gridSpan w:val="11"/>
          </w:tcPr>
          <w:p>
            <w:pPr>
              <w:jc w:val="right"/>
              <w:ind w:right="40"/>
              <w:spacing w:after="0"/>
              <w:rPr>
                <w:sz w:val="20"/>
                <w:szCs w:val="20"/>
                <w:color w:val="auto"/>
              </w:rPr>
            </w:pPr>
            <w:r>
              <w:rPr>
                <w:rFonts w:ascii="Times New Roman" w:cs="Times New Roman" w:eastAsia="Times New Roman" w:hAnsi="Times New Roman"/>
                <w:sz w:val="14"/>
                <w:szCs w:val="14"/>
                <w:color w:val="auto"/>
              </w:rPr>
              <w:t>4.1.06</w:t>
            </w:r>
          </w:p>
        </w:tc>
      </w:tr>
    </w:tbl>
    <w:p>
      <w:pPr>
        <w:sectPr>
          <w:pgSz w:w="11900" w:h="16838" w:orient="portrait"/>
          <w:cols w:equalWidth="0" w:num="1">
            <w:col w:w="11240"/>
          </w:cols>
          <w:pgMar w:left="320" w:top="1051" w:right="339" w:bottom="144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620" w:type="dxa"/>
            <w:vAlign w:val="bottom"/>
            <w:tcBorders>
              <w:top w:val="single" w:sz="8" w:color="auto"/>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Panichi Holding Corp.</w:t>
            </w:r>
          </w:p>
        </w:tc>
        <w:tc>
          <w:tcPr>
            <w:tcW w:w="5620" w:type="dxa"/>
            <w:vAlign w:val="bottom"/>
            <w:tcBorders>
              <w:top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Valley 82 Holding Corp.</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a New York corporation, with an organizational identification number and a</w:t>
            </w:r>
          </w:p>
        </w:tc>
        <w:tc>
          <w:tcPr>
            <w:tcW w:w="280" w:type="dxa"/>
            <w:vAlign w:val="bottom"/>
          </w:tcPr>
          <w:p>
            <w:pPr>
              <w:spacing w:after="0"/>
              <w:rPr>
                <w:sz w:val="19"/>
                <w:szCs w:val="19"/>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a New York corporation, with an organizational identification number and a</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chief executive office at the address set forth below</w:t>
            </w:r>
          </w:p>
        </w:tc>
        <w:tc>
          <w:tcPr>
            <w:tcW w:w="280" w:type="dxa"/>
            <w:vAlign w:val="bottom"/>
          </w:tcPr>
          <w:p>
            <w:pPr>
              <w:spacing w:after="0"/>
              <w:rPr>
                <w:sz w:val="18"/>
                <w:szCs w:val="18"/>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chief executive office at the address set forth below</w:t>
            </w:r>
          </w:p>
        </w:tc>
      </w:tr>
      <w:tr>
        <w:trPr>
          <w:trHeight w:val="350"/>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7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Bradford J. Helgeson</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Taxpayer ID # : 14-1777670</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Taxpayer ID # : 14-1738521</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Org. ID # 1878575</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Org. ID # 1498845</w:t>
            </w:r>
          </w:p>
        </w:tc>
      </w:tr>
      <w:tr>
        <w:trPr>
          <w:trHeight w:val="235"/>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r>
      <w:tr>
        <w:trPr>
          <w:trHeight w:val="223"/>
        </w:trPr>
        <w:tc>
          <w:tcPr>
            <w:tcW w:w="32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9"/>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r>
      <w:tr>
        <w:trPr>
          <w:trHeight w:val="189"/>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Casella Waste Management of N.Y., Inc</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Casella Waste Management, Inc.</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200" w:type="dxa"/>
            <w:vAlign w:val="bottom"/>
            <w:tcBorders>
              <w:left w:val="single" w:sz="8" w:color="auto"/>
            </w:tcBorders>
            <w:shd w:val="clear" w:color="auto" w:fill="000000"/>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a New York corporation, with an organizational identification number and a</w:t>
            </w:r>
          </w:p>
        </w:tc>
        <w:tc>
          <w:tcPr>
            <w:tcW w:w="280" w:type="dxa"/>
            <w:vAlign w:val="bottom"/>
          </w:tcPr>
          <w:p>
            <w:pPr>
              <w:spacing w:after="0"/>
              <w:rPr>
                <w:sz w:val="19"/>
                <w:szCs w:val="19"/>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a Vermont corporation, with an organizational identification number and a chief</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Borders>
              <w:right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chief executive office at the address set forth below</w:t>
            </w:r>
          </w:p>
        </w:tc>
        <w:tc>
          <w:tcPr>
            <w:tcW w:w="280" w:type="dxa"/>
            <w:vAlign w:val="bottom"/>
          </w:tcPr>
          <w:p>
            <w:pPr>
              <w:spacing w:after="0"/>
              <w:rPr>
                <w:sz w:val="18"/>
                <w:szCs w:val="18"/>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executive office at the address set forth below</w:t>
            </w:r>
          </w:p>
        </w:tc>
      </w:tr>
      <w:tr>
        <w:trPr>
          <w:trHeight w:val="351"/>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7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Bradford J. Helgeson</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Taxpayer ID # : 14-1794819</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Taxpayer ID # : 03-0272349</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Org. ID # 2047872</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Org. ID # 0079205</w:t>
            </w:r>
          </w:p>
        </w:tc>
      </w:tr>
      <w:tr>
        <w:trPr>
          <w:trHeight w:val="235"/>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r>
      <w:tr>
        <w:trPr>
          <w:trHeight w:val="223"/>
        </w:trPr>
        <w:tc>
          <w:tcPr>
            <w:tcW w:w="32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9"/>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r>
      <w:tr>
        <w:trPr>
          <w:trHeight w:val="189"/>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All Cycle Waste, Inc.</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Casella Waste Management of Massachusetts, Inc.</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3400" w:type="dxa"/>
            <w:vAlign w:val="bottom"/>
            <w:tcBorders>
              <w:right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700" w:type="dxa"/>
            <w:vAlign w:val="bottom"/>
            <w:gridSpan w:val="3"/>
            <w:shd w:val="clear" w:color="auto" w:fill="000000"/>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a Vermont corporation, with an organizational identification number and a chief</w:t>
            </w:r>
          </w:p>
        </w:tc>
        <w:tc>
          <w:tcPr>
            <w:tcW w:w="280" w:type="dxa"/>
            <w:vAlign w:val="bottom"/>
          </w:tcPr>
          <w:p>
            <w:pPr>
              <w:spacing w:after="0"/>
              <w:rPr>
                <w:sz w:val="19"/>
                <w:szCs w:val="19"/>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a Massachusetts corporation, with an organizational identification number and a</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600" w:type="dxa"/>
            <w:vAlign w:val="bottom"/>
            <w:tcBorders>
              <w:right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4240" w:type="dxa"/>
            <w:vAlign w:val="bottom"/>
            <w:tcBorders>
              <w:right w:val="single" w:sz="8" w:color="auto"/>
            </w:tcBorders>
            <w:gridSpan w:val="4"/>
          </w:tcPr>
          <w:p>
            <w:pPr>
              <w:spacing w:after="0" w:line="20" w:lineRule="exact"/>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executive office at the address set forth below</w:t>
            </w:r>
          </w:p>
        </w:tc>
        <w:tc>
          <w:tcPr>
            <w:tcW w:w="280" w:type="dxa"/>
            <w:vAlign w:val="bottom"/>
          </w:tcPr>
          <w:p>
            <w:pPr>
              <w:spacing w:after="0"/>
              <w:rPr>
                <w:sz w:val="18"/>
                <w:szCs w:val="18"/>
                <w:color w:val="auto"/>
              </w:rPr>
            </w:pPr>
          </w:p>
        </w:tc>
        <w:tc>
          <w:tcPr>
            <w:tcW w:w="5340" w:type="dxa"/>
            <w:vAlign w:val="bottom"/>
            <w:tcBorders>
              <w:right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color w:val="auto"/>
              </w:rPr>
              <w:t>chief executive office at the address set forth below</w:t>
            </w:r>
          </w:p>
        </w:tc>
      </w:tr>
      <w:tr>
        <w:trPr>
          <w:trHeight w:val="310"/>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7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Bradford J. Helgeson</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Taxpayer ID # : 03-0343753</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Taxpayer ID # : 03-0364282</w:t>
            </w:r>
          </w:p>
        </w:tc>
      </w:tr>
      <w:tr>
        <w:trPr>
          <w:trHeight w:val="243"/>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Org. ID # 0112077</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Org. ID # 000679930</w:t>
            </w:r>
          </w:p>
        </w:tc>
      </w:tr>
      <w:tr>
        <w:trPr>
          <w:trHeight w:val="235"/>
        </w:trPr>
        <w:tc>
          <w:tcPr>
            <w:tcW w:w="5620" w:type="dxa"/>
            <w:vAlign w:val="bottom"/>
            <w:tcBorders>
              <w:left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562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r>
      <w:tr>
        <w:trPr>
          <w:trHeight w:val="223"/>
        </w:trPr>
        <w:tc>
          <w:tcPr>
            <w:tcW w:w="32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9"/>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5240" w:val="left"/>
          <w:tab w:leader="none" w:pos="10820" w:val="left"/>
        </w:tabs>
        <w:rPr>
          <w:sz w:val="20"/>
          <w:szCs w:val="20"/>
          <w:color w:val="auto"/>
        </w:rPr>
      </w:pPr>
      <w:r>
        <w:rPr>
          <w:rFonts w:ascii="Times New Roman" w:cs="Times New Roman" w:eastAsia="Times New Roman" w:hAnsi="Times New Roman"/>
          <w:sz w:val="14"/>
          <w:szCs w:val="14"/>
          <w:color w:val="auto"/>
        </w:rPr>
        <w:t>Master Lease Addendum — Co-Lessee</w:t>
      </w:r>
      <w:r>
        <w:rPr>
          <w:sz w:val="20"/>
          <w:szCs w:val="20"/>
          <w:color w:val="auto"/>
        </w:rPr>
        <w:tab/>
      </w:r>
      <w:r>
        <w:rPr>
          <w:rFonts w:ascii="Times New Roman" w:cs="Times New Roman" w:eastAsia="Times New Roman" w:hAnsi="Times New Roman"/>
          <w:sz w:val="16"/>
          <w:szCs w:val="16"/>
          <w:color w:val="auto"/>
        </w:rPr>
        <w:t>Page 4 of 5</w:t>
      </w:r>
      <w:r>
        <w:rPr>
          <w:sz w:val="20"/>
          <w:szCs w:val="20"/>
          <w:color w:val="auto"/>
        </w:rPr>
        <w:tab/>
      </w:r>
      <w:r>
        <w:rPr>
          <w:rFonts w:ascii="Times New Roman" w:cs="Times New Roman" w:eastAsia="Times New Roman" w:hAnsi="Times New Roman"/>
          <w:sz w:val="14"/>
          <w:szCs w:val="14"/>
          <w:color w:val="auto"/>
        </w:rPr>
        <w:t>4.1.06</w:t>
      </w:r>
    </w:p>
    <w:p>
      <w:pPr>
        <w:sectPr>
          <w:pgSz w:w="11900" w:h="16838" w:orient="portrait"/>
          <w:cols w:equalWidth="0" w:num="1">
            <w:col w:w="11240"/>
          </w:cols>
          <w:pgMar w:left="320" w:top="1294" w:right="3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03"/>
        </w:trPr>
        <w:tc>
          <w:tcPr>
            <w:tcW w:w="5620" w:type="dxa"/>
            <w:vAlign w:val="bottom"/>
            <w:tcBorders>
              <w:top w:val="single" w:sz="8" w:color="auto"/>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Pine Tree Waste, Inc.</w:t>
            </w:r>
          </w:p>
        </w:tc>
        <w:tc>
          <w:tcPr>
            <w:tcW w:w="5620" w:type="dxa"/>
            <w:vAlign w:val="bottom"/>
            <w:tcBorders>
              <w:top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Waste-Stream, Inc.</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530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color w:val="auto"/>
              </w:rPr>
              <w:t>a Maine corporation, with an organizational identification number and a chief</w:t>
            </w:r>
          </w:p>
        </w:tc>
        <w:tc>
          <w:tcPr>
            <w:tcW w:w="280" w:type="dxa"/>
            <w:vAlign w:val="bottom"/>
          </w:tcPr>
          <w:p>
            <w:pPr>
              <w:spacing w:after="0"/>
              <w:rPr>
                <w:sz w:val="19"/>
                <w:szCs w:val="19"/>
                <w:color w:val="auto"/>
              </w:rPr>
            </w:pPr>
          </w:p>
        </w:tc>
        <w:tc>
          <w:tcPr>
            <w:tcW w:w="5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color w:val="auto"/>
              </w:rPr>
              <w:t>a New York corporation, with an organizational identification number and a</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9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color w:val="auto"/>
              </w:rPr>
              <w:t>executive office at the address set forth below</w:t>
            </w:r>
          </w:p>
        </w:tc>
        <w:tc>
          <w:tcPr>
            <w:tcW w:w="280" w:type="dxa"/>
            <w:vAlign w:val="bottom"/>
          </w:tcPr>
          <w:p>
            <w:pPr>
              <w:spacing w:after="0"/>
              <w:rPr>
                <w:sz w:val="18"/>
                <w:szCs w:val="18"/>
                <w:color w:val="auto"/>
              </w:rPr>
            </w:pPr>
          </w:p>
        </w:tc>
        <w:tc>
          <w:tcPr>
            <w:tcW w:w="5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color w:val="auto"/>
              </w:rPr>
              <w:t>chief executive office at the address set forth below</w:t>
            </w:r>
          </w:p>
        </w:tc>
      </w:tr>
      <w:tr>
        <w:trPr>
          <w:trHeight w:val="350"/>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tcBorders>
              <w:bottom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7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Bradford J. Helgeson</w:t>
            </w:r>
          </w:p>
        </w:tc>
      </w:tr>
      <w:tr>
        <w:trPr>
          <w:trHeight w:val="243"/>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Title: Vice President &amp; Treasurer</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r>
      <w:tr>
        <w:trPr>
          <w:trHeight w:val="243"/>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Taxpayer ID # : 01-0513956</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Taxpayer ID # : 14-1488894</w:t>
            </w:r>
          </w:p>
        </w:tc>
      </w:tr>
      <w:tr>
        <w:trPr>
          <w:trHeight w:val="243"/>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Org. ID # 19980957D</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Org. ID # 188584</w:t>
            </w:r>
          </w:p>
        </w:tc>
      </w:tr>
      <w:tr>
        <w:trPr>
          <w:trHeight w:val="235"/>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r>
      <w:tr>
        <w:trPr>
          <w:trHeight w:val="223"/>
        </w:trPr>
        <w:tc>
          <w:tcPr>
            <w:tcW w:w="32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r>
      <w:tr>
        <w:trPr>
          <w:trHeight w:val="189"/>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Casella Waste Systems, Inc.</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Co-Lessee</w:t>
            </w:r>
            <w:r>
              <w:rPr>
                <w:rFonts w:ascii="Times New Roman" w:cs="Times New Roman" w:eastAsia="Times New Roman" w:hAnsi="Times New Roman"/>
                <w:sz w:val="16"/>
                <w:szCs w:val="16"/>
                <w:color w:val="auto"/>
              </w:rPr>
              <w:t>: Whitetail Disposal, LLC</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560" w:type="dxa"/>
            <w:vAlign w:val="bottom"/>
            <w:tcBorders>
              <w:right w:val="single" w:sz="8" w:color="auto"/>
            </w:tcBorders>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9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gridSpan w:val="4"/>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r>
      <w:tr>
        <w:trPr>
          <w:trHeight w:val="223"/>
        </w:trPr>
        <w:tc>
          <w:tcPr>
            <w:tcW w:w="320" w:type="dxa"/>
            <w:vAlign w:val="bottom"/>
            <w:tcBorders>
              <w:left w:val="single" w:sz="8" w:color="auto"/>
            </w:tcBorders>
          </w:tcPr>
          <w:p>
            <w:pPr>
              <w:spacing w:after="0"/>
              <w:rPr>
                <w:sz w:val="19"/>
                <w:szCs w:val="19"/>
                <w:color w:val="auto"/>
              </w:rPr>
            </w:pPr>
          </w:p>
        </w:tc>
        <w:tc>
          <w:tcPr>
            <w:tcW w:w="530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color w:val="auto"/>
              </w:rPr>
              <w:t>a Delaware corporation, with an organizational identification number and a</w:t>
            </w:r>
          </w:p>
        </w:tc>
        <w:tc>
          <w:tcPr>
            <w:tcW w:w="280" w:type="dxa"/>
            <w:vAlign w:val="bottom"/>
          </w:tcPr>
          <w:p>
            <w:pPr>
              <w:spacing w:after="0"/>
              <w:rPr>
                <w:sz w:val="19"/>
                <w:szCs w:val="19"/>
                <w:color w:val="auto"/>
              </w:rPr>
            </w:pPr>
          </w:p>
        </w:tc>
        <w:tc>
          <w:tcPr>
            <w:tcW w:w="5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color w:val="auto"/>
              </w:rPr>
              <w:t>a limited liability company organized under the laws of Pennsylvania, with an</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540" w:type="dxa"/>
            <w:vAlign w:val="bottom"/>
            <w:tcBorders>
              <w:right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r>
      <w:tr>
        <w:trPr>
          <w:trHeight w:val="196"/>
        </w:trPr>
        <w:tc>
          <w:tcPr>
            <w:tcW w:w="320" w:type="dxa"/>
            <w:vAlign w:val="bottom"/>
            <w:tcBorders>
              <w:left w:val="single" w:sz="8" w:color="auto"/>
            </w:tcBorders>
          </w:tcPr>
          <w:p>
            <w:pPr>
              <w:spacing w:after="0"/>
              <w:rPr>
                <w:sz w:val="17"/>
                <w:szCs w:val="17"/>
                <w:color w:val="auto"/>
              </w:rPr>
            </w:pPr>
          </w:p>
        </w:tc>
        <w:tc>
          <w:tcPr>
            <w:tcW w:w="530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color w:val="auto"/>
              </w:rPr>
              <w:t>chief executive office at the address set forth below</w:t>
            </w:r>
          </w:p>
        </w:tc>
        <w:tc>
          <w:tcPr>
            <w:tcW w:w="280" w:type="dxa"/>
            <w:vAlign w:val="bottom"/>
          </w:tcPr>
          <w:p>
            <w:pPr>
              <w:spacing w:after="0"/>
              <w:rPr>
                <w:sz w:val="17"/>
                <w:szCs w:val="17"/>
                <w:color w:val="auto"/>
              </w:rPr>
            </w:pPr>
          </w:p>
        </w:tc>
        <w:tc>
          <w:tcPr>
            <w:tcW w:w="5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color w:val="auto"/>
              </w:rPr>
              <w:t>organizational identification number and a chief executive office at the address</w:t>
            </w:r>
          </w:p>
        </w:tc>
      </w:tr>
      <w:tr>
        <w:trPr>
          <w:trHeight w:val="210"/>
        </w:trPr>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Borders>
              <w:right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color w:val="auto"/>
              </w:rPr>
              <w:t>set forth below</w:t>
            </w:r>
          </w:p>
        </w:tc>
      </w:tr>
      <w:tr>
        <w:trPr>
          <w:trHeight w:val="350"/>
        </w:trPr>
        <w:tc>
          <w:tcPr>
            <w:tcW w:w="3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By:</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tcBorders>
              <w:bottom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/s/ Bradford J. Helgeson</w:t>
            </w:r>
          </w:p>
        </w:tc>
      </w:tr>
      <w:tr>
        <w:trPr>
          <w:trHeight w:val="210"/>
        </w:trPr>
        <w:tc>
          <w:tcPr>
            <w:tcW w:w="92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color w:val="auto"/>
              </w:rPr>
              <w:t>Print Name:</w:t>
            </w:r>
          </w:p>
        </w:tc>
        <w:tc>
          <w:tcPr>
            <w:tcW w:w="47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Bradford J. Helgeson</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Bradford J. Helgeson</w:t>
            </w:r>
          </w:p>
        </w:tc>
      </w:tr>
      <w:tr>
        <w:trPr>
          <w:trHeight w:val="243"/>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Title: Vice President &amp; Chief Financial Officer</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Title: Vice President &amp; Treasurer</w:t>
            </w:r>
          </w:p>
        </w:tc>
      </w:tr>
      <w:tr>
        <w:trPr>
          <w:trHeight w:val="243"/>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Taxpayer ID # : 03-0338873</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Taxpayer ID # : 03-0338873</w:t>
            </w:r>
          </w:p>
        </w:tc>
      </w:tr>
      <w:tr>
        <w:trPr>
          <w:trHeight w:val="243"/>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Org. ID # 2327496</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Org. ID # 0003841261</w:t>
            </w:r>
          </w:p>
        </w:tc>
      </w:tr>
      <w:tr>
        <w:trPr>
          <w:trHeight w:val="235"/>
        </w:trPr>
        <w:tc>
          <w:tcPr>
            <w:tcW w:w="5620" w:type="dxa"/>
            <w:vAlign w:val="bottom"/>
            <w:tcBorders>
              <w:left w:val="single" w:sz="8" w:color="auto"/>
              <w:right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color w:val="auto"/>
              </w:rPr>
              <w:t>Address: 25 Greens Hill Lane</w:t>
            </w: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Address: 25 Greens Hill Lane</w:t>
            </w:r>
          </w:p>
        </w:tc>
      </w:tr>
      <w:tr>
        <w:trPr>
          <w:trHeight w:val="223"/>
        </w:trPr>
        <w:tc>
          <w:tcPr>
            <w:tcW w:w="32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gridSpan w:val="6"/>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color w:val="auto"/>
              </w:rPr>
              <w:t>Rutland, VT 05701</w:t>
            </w:r>
          </w:p>
        </w:tc>
      </w:tr>
      <w:tr>
        <w:trPr>
          <w:trHeight w:val="243"/>
        </w:trPr>
        <w:tc>
          <w:tcPr>
            <w:tcW w:w="32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Banc of America Leasing &amp; Capital, LLC</w:t>
            </w:r>
          </w:p>
        </w:tc>
      </w:tr>
      <w:tr>
        <w:trPr>
          <w:trHeight w:val="263"/>
        </w:trPr>
        <w:tc>
          <w:tcPr>
            <w:tcW w:w="32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980" w:type="dxa"/>
            <w:vAlign w:val="bottom"/>
            <w:tcBorders>
              <w:right w:val="single" w:sz="8" w:color="auto"/>
            </w:tcBorders>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20" w:type="dxa"/>
            <w:vAlign w:val="bottom"/>
            <w:tcBorders>
              <w:bottom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/s/ John P. White Sr.</w:t>
            </w:r>
          </w:p>
        </w:tc>
      </w:tr>
      <w:tr>
        <w:trPr>
          <w:trHeight w:val="210"/>
        </w:trPr>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Print Name:</w:t>
            </w:r>
          </w:p>
        </w:tc>
        <w:tc>
          <w:tcPr>
            <w:tcW w:w="47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John P. White Sr.</w:t>
            </w:r>
          </w:p>
        </w:tc>
      </w:tr>
      <w:tr>
        <w:trPr>
          <w:trHeight w:val="256"/>
        </w:trPr>
        <w:tc>
          <w:tcPr>
            <w:tcW w:w="320" w:type="dxa"/>
            <w:vAlign w:val="bottom"/>
            <w:tcBorders>
              <w:left w:val="single" w:sz="8" w:color="auto"/>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240" w:val="left"/>
          <w:tab w:leader="none" w:pos="10820" w:val="left"/>
        </w:tabs>
        <w:rPr>
          <w:sz w:val="20"/>
          <w:szCs w:val="20"/>
          <w:color w:val="auto"/>
        </w:rPr>
      </w:pPr>
      <w:r>
        <w:rPr>
          <w:rFonts w:ascii="Times New Roman" w:cs="Times New Roman" w:eastAsia="Times New Roman" w:hAnsi="Times New Roman"/>
          <w:sz w:val="14"/>
          <w:szCs w:val="14"/>
          <w:color w:val="auto"/>
        </w:rPr>
        <w:t>Master Lease Addendum — Co-Lessee</w:t>
      </w:r>
      <w:r>
        <w:rPr>
          <w:sz w:val="20"/>
          <w:szCs w:val="20"/>
          <w:color w:val="auto"/>
        </w:rPr>
        <w:tab/>
      </w:r>
      <w:r>
        <w:rPr>
          <w:rFonts w:ascii="Times New Roman" w:cs="Times New Roman" w:eastAsia="Times New Roman" w:hAnsi="Times New Roman"/>
          <w:sz w:val="16"/>
          <w:szCs w:val="16"/>
          <w:color w:val="auto"/>
        </w:rPr>
        <w:t>Page 5 of 5</w:t>
      </w:r>
      <w:r>
        <w:rPr>
          <w:sz w:val="20"/>
          <w:szCs w:val="20"/>
          <w:color w:val="auto"/>
        </w:rPr>
        <w:tab/>
      </w:r>
      <w:r>
        <w:rPr>
          <w:rFonts w:ascii="Times New Roman" w:cs="Times New Roman" w:eastAsia="Times New Roman" w:hAnsi="Times New Roman"/>
          <w:sz w:val="14"/>
          <w:szCs w:val="14"/>
          <w:color w:val="auto"/>
        </w:rPr>
        <w:t>4.1.06</w:t>
      </w:r>
    </w:p>
    <w:p>
      <w:pPr>
        <w:sectPr>
          <w:pgSz w:w="11900" w:h="16838" w:orient="portrait"/>
          <w:cols w:equalWidth="0" w:num="1">
            <w:col w:w="11240"/>
          </w:cols>
          <w:pgMar w:left="320" w:top="129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0"/>
          <w:szCs w:val="20"/>
          <w:b w:val="1"/>
          <w:bCs w:val="1"/>
          <w:color w:val="auto"/>
        </w:rPr>
        <w:t>FIRST AMENDMENT TO SECOND AMENDED AND RESTATED CREDIT AGREEMENT (SUSTAINABILITY TABLE AMENDMENT)</w:t>
      </w:r>
    </w:p>
    <w:p>
      <w:pPr>
        <w:spacing w:after="0" w:line="16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This FIRST AMENDMENT TO SECOND AMENDED AND RESTATED CREDIT AGREEMENT (SUSTAINABILITY TABLE AMENDMENT) dated as of July 30,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by and among CASELLA WASTE SYSTEMS,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BOFA SECURITIES, INC., as a sustainability coordinator (“</w:t>
      </w:r>
      <w:r>
        <w:rPr>
          <w:rFonts w:ascii="Times New Roman" w:cs="Times New Roman" w:eastAsia="Times New Roman" w:hAnsi="Times New Roman"/>
          <w:sz w:val="20"/>
          <w:szCs w:val="20"/>
          <w:u w:val="single" w:color="auto"/>
          <w:color w:val="auto"/>
        </w:rPr>
        <w:t>BofA Securities</w:t>
      </w:r>
      <w:r>
        <w:rPr>
          <w:rFonts w:ascii="Times New Roman" w:cs="Times New Roman" w:eastAsia="Times New Roman" w:hAnsi="Times New Roman"/>
          <w:sz w:val="20"/>
          <w:szCs w:val="20"/>
          <w:color w:val="auto"/>
        </w:rPr>
        <w:t>”), TD SECURITIES (USA) LLC as a sustainability coordinator (“</w:t>
      </w:r>
      <w:r>
        <w:rPr>
          <w:rFonts w:ascii="Times New Roman" w:cs="Times New Roman" w:eastAsia="Times New Roman" w:hAnsi="Times New Roman"/>
          <w:sz w:val="20"/>
          <w:szCs w:val="20"/>
          <w:u w:val="single" w:color="auto"/>
          <w:color w:val="auto"/>
        </w:rPr>
        <w:t>TD Securities</w:t>
      </w:r>
      <w:r>
        <w:rPr>
          <w:rFonts w:ascii="Times New Roman" w:cs="Times New Roman" w:eastAsia="Times New Roman" w:hAnsi="Times New Roman"/>
          <w:sz w:val="20"/>
          <w:szCs w:val="20"/>
          <w:color w:val="auto"/>
        </w:rPr>
        <w:t>” and collectively with BofA Securities the “</w:t>
      </w:r>
      <w:r>
        <w:rPr>
          <w:rFonts w:ascii="Times New Roman" w:cs="Times New Roman" w:eastAsia="Times New Roman" w:hAnsi="Times New Roman"/>
          <w:sz w:val="20"/>
          <w:szCs w:val="20"/>
          <w:u w:val="single" w:color="auto"/>
          <w:color w:val="auto"/>
        </w:rPr>
        <w:t>Sustainability Coordinators</w:t>
      </w:r>
      <w:r>
        <w:rPr>
          <w:rFonts w:ascii="Times New Roman" w:cs="Times New Roman" w:eastAsia="Times New Roman" w:hAnsi="Times New Roman"/>
          <w:sz w:val="20"/>
          <w:szCs w:val="20"/>
          <w:color w:val="auto"/>
        </w:rPr>
        <w:t>” and BANK OF AMERICA,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Capitalized terms used but not otherwise defined herein have the respective meanings ascribed to them in the Credit Agreement described below.</w:t>
      </w:r>
    </w:p>
    <w:p>
      <w:pPr>
        <w:spacing w:after="0" w:line="1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u w:val="single" w:color="auto"/>
          <w:color w:val="auto"/>
        </w:rPr>
        <w:t>PRELIMINARY STATEMENTS</w:t>
      </w:r>
    </w:p>
    <w:p>
      <w:pPr>
        <w:spacing w:after="0" w:line="162" w:lineRule="exact"/>
        <w:rPr>
          <w:sz w:val="20"/>
          <w:szCs w:val="20"/>
          <w:color w:val="auto"/>
        </w:rPr>
      </w:pPr>
    </w:p>
    <w:p>
      <w:pPr>
        <w:jc w:val="both"/>
        <w:ind w:firstLine="656"/>
        <w:spacing w:after="0" w:line="239"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certain other borrowers, the Administrative Agent, the Sustainability Coordinators and the Lenders have entered into that certain Second Amended and Restated Credit Agreement dated as of September 27, 2024 (as amended hereby and as further amended, restated, extended,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pursuant to which the Lenders have made available to the Borrowers a term loan facility and a revolving credit facility.</w:t>
      </w:r>
    </w:p>
    <w:p>
      <w:pPr>
        <w:spacing w:after="0" w:line="123" w:lineRule="exact"/>
        <w:rPr>
          <w:rFonts w:ascii="Times New Roman" w:cs="Times New Roman" w:eastAsia="Times New Roman" w:hAnsi="Times New Roman"/>
          <w:sz w:val="20"/>
          <w:szCs w:val="20"/>
          <w:color w:val="auto"/>
        </w:rPr>
      </w:pPr>
    </w:p>
    <w:p>
      <w:pPr>
        <w:jc w:val="both"/>
        <w:ind w:firstLine="656"/>
        <w:spacing w:after="0" w:line="247" w:lineRule="auto"/>
        <w:tabs>
          <w:tab w:leader="none" w:pos="128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and the Sustainability Coordinators, each acting reasonably, have determined that as a result of the previously disclosed Resource Solutions Impacting Transaction (related to the acquisition by the Parent (directly or indirectly) of certain assets of Save That Stuff, Inc., notice thereof which was provided by the Borrowers on February 19, 2025) the Sustainability Table, should be amended.</w:t>
      </w:r>
    </w:p>
    <w:p>
      <w:pPr>
        <w:spacing w:after="0" w:line="126" w:lineRule="exact"/>
        <w:rPr>
          <w:rFonts w:ascii="Times New Roman" w:cs="Times New Roman" w:eastAsia="Times New Roman" w:hAnsi="Times New Roman"/>
          <w:sz w:val="20"/>
          <w:szCs w:val="20"/>
          <w:color w:val="auto"/>
        </w:rPr>
      </w:pPr>
    </w:p>
    <w:p>
      <w:pPr>
        <w:ind w:firstLine="656"/>
        <w:spacing w:after="0" w:line="255" w:lineRule="auto"/>
        <w:tabs>
          <w:tab w:leader="none" w:pos="128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2.21(g)</w:t>
      </w:r>
      <w:r>
        <w:rPr>
          <w:rFonts w:ascii="Times New Roman" w:cs="Times New Roman" w:eastAsia="Times New Roman" w:hAnsi="Times New Roman"/>
          <w:sz w:val="20"/>
          <w:szCs w:val="20"/>
          <w:color w:val="auto"/>
        </w:rPr>
        <w:t xml:space="preserve"> of the Credit Agreement, the Sustainability Coordinators, the Parent and the Administrative Agent have agreed to amend the Sustainability Table as defined herein.</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agree as follows:</w:t>
      </w:r>
    </w:p>
    <w:p>
      <w:pPr>
        <w:spacing w:after="0" w:line="94" w:lineRule="exact"/>
        <w:rPr>
          <w:sz w:val="20"/>
          <w:szCs w:val="20"/>
          <w:color w:val="auto"/>
        </w:rPr>
      </w:pPr>
    </w:p>
    <w:p>
      <w:pPr>
        <w:jc w:val="both"/>
        <w:ind w:right="20" w:firstLine="656"/>
        <w:spacing w:after="0" w:line="247" w:lineRule="auto"/>
        <w:tabs>
          <w:tab w:leader="none" w:pos="129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Sustainability Table Amendment.</w:t>
      </w:r>
      <w:r>
        <w:rPr>
          <w:rFonts w:ascii="Times New Roman" w:cs="Times New Roman" w:eastAsia="Times New Roman" w:hAnsi="Times New Roman"/>
          <w:sz w:val="20"/>
          <w:szCs w:val="20"/>
          <w:color w:val="auto"/>
        </w:rPr>
        <w:t xml:space="preserve"> Notwithstanding any provision of the Credit Agreement or any other Loan Document to the contrary, the parties hereto hereby agree that the Sustainability Table attached to the Credit Agreement as </w:t>
      </w:r>
      <w:r>
        <w:rPr>
          <w:rFonts w:ascii="Times New Roman" w:cs="Times New Roman" w:eastAsia="Times New Roman" w:hAnsi="Times New Roman"/>
          <w:sz w:val="20"/>
          <w:szCs w:val="20"/>
          <w:u w:val="single" w:color="auto"/>
          <w:color w:val="auto"/>
        </w:rPr>
        <w:t>Schedule 2.21</w:t>
      </w:r>
      <w:r>
        <w:rPr>
          <w:rFonts w:ascii="Times New Roman" w:cs="Times New Roman" w:eastAsia="Times New Roman" w:hAnsi="Times New Roman"/>
          <w:sz w:val="20"/>
          <w:szCs w:val="20"/>
          <w:color w:val="auto"/>
        </w:rPr>
        <w:t xml:space="preserve"> thereto is hereby amended to replace the “Resources Solutions Amount” table provided therein with the following:</w:t>
      </w:r>
    </w:p>
    <w:p>
      <w:pPr>
        <w:spacing w:after="0" w:line="1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Resource Solutions Amount</w:t>
      </w:r>
    </w:p>
    <w:p>
      <w:pPr>
        <w:spacing w:after="0" w:line="249" w:lineRule="exact"/>
        <w:rPr>
          <w:sz w:val="20"/>
          <w:szCs w:val="20"/>
          <w:color w:val="auto"/>
        </w:rPr>
      </w:pPr>
    </w:p>
    <w:tbl>
      <w:tblPr>
        <w:tblLayout w:type="fixed"/>
        <w:tblInd w:w="1270" w:type="dxa"/>
        <w:tblCellMar>
          <w:top w:w="0" w:type="dxa"/>
          <w:left w:w="0" w:type="dxa"/>
          <w:bottom w:w="0" w:type="dxa"/>
          <w:right w:w="0" w:type="dxa"/>
        </w:tblCellMar>
      </w:tblPr>
      <w:tr>
        <w:trPr>
          <w:trHeight w:val="315"/>
        </w:trPr>
        <w:tc>
          <w:tcPr>
            <w:tcW w:w="1840" w:type="dxa"/>
            <w:vAlign w:val="bottom"/>
            <w:tcBorders>
              <w:top w:val="single" w:sz="8" w:color="auto"/>
              <w:left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Fiscal Year</w:t>
            </w:r>
          </w:p>
        </w:tc>
        <w:tc>
          <w:tcPr>
            <w:tcW w:w="390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Resource Solutions Threshold</w:t>
            </w:r>
          </w:p>
        </w:tc>
        <w:tc>
          <w:tcPr>
            <w:tcW w:w="398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Resource Solutions Target</w:t>
            </w:r>
          </w:p>
        </w:tc>
      </w:tr>
      <w:tr>
        <w:trPr>
          <w:trHeight w:val="250"/>
        </w:trPr>
        <w:tc>
          <w:tcPr>
            <w:tcW w:w="1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1.214</w:t>
            </w:r>
          </w:p>
        </w:tc>
        <w:tc>
          <w:tcPr>
            <w:tcW w:w="3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1.361</w:t>
            </w:r>
          </w:p>
        </w:tc>
      </w:tr>
      <w:tr>
        <w:trPr>
          <w:trHeight w:val="258"/>
        </w:trPr>
        <w:tc>
          <w:tcPr>
            <w:tcW w:w="1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1.259</w:t>
            </w: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1.426</w:t>
            </w:r>
          </w:p>
        </w:tc>
      </w:tr>
      <w:tr>
        <w:trPr>
          <w:trHeight w:val="263"/>
        </w:trPr>
        <w:tc>
          <w:tcPr>
            <w:tcW w:w="1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1.437</w:t>
            </w: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1.606</w:t>
            </w:r>
          </w:p>
        </w:tc>
      </w:tr>
      <w:tr>
        <w:trPr>
          <w:trHeight w:val="264"/>
        </w:trPr>
        <w:tc>
          <w:tcPr>
            <w:tcW w:w="1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1.492</w:t>
            </w:r>
          </w:p>
        </w:tc>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1.701</w:t>
            </w:r>
          </w:p>
        </w:tc>
      </w:tr>
    </w:tbl>
    <w:p>
      <w:pPr>
        <w:spacing w:after="0" w:line="72" w:lineRule="exact"/>
        <w:rPr>
          <w:sz w:val="20"/>
          <w:szCs w:val="20"/>
          <w:color w:val="auto"/>
        </w:rPr>
      </w:pPr>
    </w:p>
    <w:p>
      <w:pPr>
        <w:jc w:val="both"/>
        <w:ind w:firstLine="656"/>
        <w:spacing w:after="0" w:line="244" w:lineRule="auto"/>
        <w:tabs>
          <w:tab w:leader="none" w:pos="12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This Amendment shall become effective at 5:00 p.m. on July 30, 2025 (such date,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provided that (a) the Administrative Agent shall have received counterparts of this Amendment from a Responsible Officer of the Parent, from each of the Sustainability Coordinators and the Administrative Agent and (b) the Administrative Agent shall have not received written notice from the Required Lenders objecting to this Amendment prior to such time.</w:t>
      </w:r>
    </w:p>
    <w:p>
      <w:pPr>
        <w:spacing w:after="0" w:line="12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this Amendment.</w:t>
      </w:r>
      <w:r>
        <w:rPr>
          <w:rFonts w:ascii="Times New Roman" w:cs="Times New Roman" w:eastAsia="Times New Roman" w:hAnsi="Times New Roman"/>
          <w:sz w:val="19"/>
          <w:szCs w:val="19"/>
          <w:color w:val="auto"/>
        </w:rPr>
        <w:t xml:space="preserve"> The Parent, on behalf of itself and each other Borrower,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207897239_3</w:t>
      </w:r>
    </w:p>
    <w:p>
      <w:pPr>
        <w:sectPr>
          <w:pgSz w:w="11900" w:h="16838" w:orient="portrait"/>
          <w:cols w:equalWidth="0" w:num="1">
            <w:col w:w="11240"/>
          </w:cols>
          <w:pgMar w:left="320" w:top="114" w:right="339" w:bottom="1440" w:gutter="0" w:footer="0" w:header="0"/>
        </w:sectPr>
      </w:pPr>
    </w:p>
    <w:bookmarkStart w:id="56" w:name="page57"/>
    <w:bookmarkEnd w:id="56"/>
    <w:p>
      <w:pPr>
        <w:spacing w:after="0" w:line="13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agrees that, except as expressly provided herein, (a) the Credit Agreement, the Security Agreement, the Pledge Agreement, each other Security Document and each other Loan Document shall remain unmodified and in full force and effect, and (b) this Amendment shall not be deemed to (i) be a waiver of, consent to, a modification of or amendment to any other term or condition of the Credit Agreement, the Security Agreement, the Pledge Agreement, any other Security Document any other Loan Document or any other agreement by and among any of the Borrowers, on the one hand, and the Administrative Agent or any Lender, on the other hand, (ii) prejudice any right or rights which the Administrative Agent or the Lenders may now have or may have in the future under or in connection with the Credit Agreement, the Security Agreement, the Pledge Agreement, any other Security Document, any other Loan Document or any of the instruments or agreements referred to therein, as the same may be amended, restated, supplemented or otherwise modified from time to time, or (iii) be a commitment or any other undertaking or expression of any willingness to engage in any further discussion with the Borrowers or any other Person with respect to any waiver, amendment, modification or any other change to the Credit Agreement, the Security Agreement, the Pledge Agreement, any other Security Document, or any other Loan Document or any rights or remedies arising in favor of the Administrative Agent or the Lenders under or with respect to any such documents. References in the Credit Agreement to “this Agreement” (and indirect references such as “hereunder”, “hereby”, “herein” and “hereof”) and in any other Loan Document to the “Credit Agreement” shall be deemed to be references to the Credit Agreement as modified hereby. This Amendment shall be deemed incorporated into, and a part of, the Credit Agreement, and shall constitute a “Loan Document” under and as defined in the Credit Agreement.</w:t>
      </w:r>
    </w:p>
    <w:p>
      <w:pPr>
        <w:spacing w:after="0" w:line="134" w:lineRule="exact"/>
        <w:rPr>
          <w:sz w:val="20"/>
          <w:szCs w:val="20"/>
          <w:color w:val="auto"/>
        </w:rPr>
      </w:pPr>
    </w:p>
    <w:p>
      <w:pPr>
        <w:jc w:val="both"/>
        <w:ind w:firstLine="656"/>
        <w:spacing w:after="0" w:line="237" w:lineRule="auto"/>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The Parent, on behalf of itself and each other Borrower, hereby (a) acknowledges and consents to all of the terms and conditions of this Amendment, (b) confirms and reaffirms all of its obligations under the Loan Documents, (c) confirms and reaffirms that each of the Liens granted in or pursuant to the Loan Documents are valid and subsisting as security for the payment and performance of the Obligations outstanding on the Effective Date immediately prior to the effectiveness of the amendments provided by this Amendment and any Obligations outstanding at any time thereafter under the Credit Agreement, and (d) agrees that this Amendment and all documents executed in connection herewith (i) do not operate to reduce or discharge the Borrower’s obligations under the Loan Documents and (ii) in no manner impair or otherwise adversely affect any of the Liens granted in or pursuant to the Loan Documents.</w:t>
      </w:r>
    </w:p>
    <w:p>
      <w:pPr>
        <w:spacing w:after="0" w:line="12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62" w:lineRule="exact"/>
        <w:rPr>
          <w:sz w:val="20"/>
          <w:szCs w:val="20"/>
          <w:color w:val="auto"/>
        </w:rPr>
      </w:pPr>
    </w:p>
    <w:p>
      <w:pPr>
        <w:ind w:right="900" w:firstLine="656"/>
        <w:spacing w:after="0" w:line="255"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binding upon and inure to the benefit of the parties hereto and their respective permitted successors and assigns.</w:t>
      </w:r>
    </w:p>
    <w:p>
      <w:pPr>
        <w:spacing w:after="0" w:line="118" w:lineRule="exact"/>
        <w:rPr>
          <w:rFonts w:ascii="Times New Roman" w:cs="Times New Roman" w:eastAsia="Times New Roman" w:hAnsi="Times New Roman"/>
          <w:sz w:val="20"/>
          <w:szCs w:val="20"/>
          <w:color w:val="auto"/>
        </w:rPr>
      </w:pPr>
    </w:p>
    <w:p>
      <w:pPr>
        <w:jc w:val="both"/>
        <w:ind w:firstLine="656"/>
        <w:spacing w:after="0"/>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AMENDMENT IS SUBJECT TO THE PROVISIONS OF SECTIONS 10.17 AND 10.18 OF THE CREDIT AGREEMENT, AS APPLICABLE, RELATING TO GOVERNING LAW, VENUE AND WAIVER OF RIGHT TO TRIAL BY JURY, THE PROVISIONS OF WHICH ARE BY THIS REFERENCE INCORPORATED HEREIN IN FULL,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33"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may be executed in counterparts (and by different parties hereto in different counterparts), each of which shall constitute an original, but all of which when taken together shall constitute a single contract. This Amendment and the other Loan Documents, constitutes the entire contract among the parties relating to the subject matter hereof and supersedes any and all previous agreements and understandings, oral or written, relating to the subject matter hereof. Delivery of an executed counterpart of a signature page of this Amendment by facsimile or other electronic imaging means (e.g. “pdf” or “tif”) shall be effective as delivery of a manually executed counterpart of this Amendment and the provisions of Section 10.20 of the Credit Agreement are by this reference incorporated herein in full, mutatis mutandis. This Amendment may not be amended except in accordance with the provisions of Section 10.01 of the Credit Agreement.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207897239_3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5" w:lineRule="exact"/>
        <w:rPr>
          <w:sz w:val="20"/>
          <w:szCs w:val="20"/>
          <w:color w:val="auto"/>
        </w:rPr>
      </w:pPr>
    </w:p>
    <w:p>
      <w:pPr>
        <w:jc w:val="both"/>
        <w:ind w:firstLine="656"/>
        <w:spacing w:after="0" w:line="239" w:lineRule="auto"/>
        <w:tabs>
          <w:tab w:leader="none" w:pos="12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Amendment or the other Loan Documents is held to be illegal, invalid or unenforceable, (a) the legality, validity and enforceability of the remaining provisions of this Amendment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23" w:lineRule="exact"/>
        <w:rPr>
          <w:rFonts w:ascii="Times New Roman" w:cs="Times New Roman" w:eastAsia="Times New Roman" w:hAnsi="Times New Roman"/>
          <w:sz w:val="20"/>
          <w:szCs w:val="20"/>
          <w:color w:val="auto"/>
        </w:rPr>
      </w:pPr>
    </w:p>
    <w:p>
      <w:pPr>
        <w:jc w:val="both"/>
        <w:ind w:firstLine="656"/>
        <w:spacing w:after="0" w:line="239" w:lineRule="auto"/>
        <w:tabs>
          <w:tab w:leader="none" w:pos="128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agrees to pay in accordance with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of the Credit Agreement all reasonable out-of-pocket expenses incurred by the Administrative Agent and its Affiliates in connection with the preparation, execution, delivery, administration of this the Amendment and the other instruments and documents to be delivered in connection herewith, including, the reasonable fees, charges and disbursements of counsel for the Administrative Agent with respect thereto and with respect to advising the Administrative Agent as to its rights and responsibilities hereunder and thereunder.</w:t>
      </w:r>
    </w:p>
    <w:p>
      <w:pPr>
        <w:spacing w:after="0" w:line="12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207897239_3</w:t>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as of the date first above written.</w:t>
      </w:r>
    </w:p>
    <w:p>
      <w:pPr>
        <w:sectPr>
          <w:pgSz w:w="11900" w:h="16838" w:orient="portrait"/>
          <w:cols w:equalWidth="0" w:num="1">
            <w:col w:w="10180"/>
          </w:cols>
          <w:pgMar w:left="980" w:top="1413" w:right="739" w:bottom="1440" w:gutter="0" w:footer="0" w:header="0"/>
        </w:sectPr>
      </w:pPr>
    </w:p>
    <w:p>
      <w:pPr>
        <w:spacing w:after="0" w:line="4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CASELLA WASTE SYSTEMS, INC.</w:t>
      </w:r>
    </w:p>
    <w:p>
      <w:pPr>
        <w:spacing w:after="0" w:line="1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Bradford J. Helgeson</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Bradford J. Helgeson</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Casella Waste Systems, Inc.</w:t>
      </w:r>
    </w:p>
    <w:p>
      <w:pPr>
        <w:spacing w:after="0" w:line="2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First Amendment to Second Amended and Restated Credit Agreement (Sustainability Table Amendment)</w:t>
      </w:r>
    </w:p>
    <w:p>
      <w:pPr>
        <w:spacing w:after="0" w:line="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Signature Page</w:t>
      </w:r>
    </w:p>
    <w:p>
      <w:pPr>
        <w:sectPr>
          <w:pgSz w:w="11900" w:h="16838" w:orient="portrait"/>
          <w:cols w:equalWidth="0" w:num="1">
            <w:col w:w="10180"/>
          </w:cols>
          <w:pgMar w:left="980" w:top="1413" w:right="739" w:bottom="1440" w:gutter="0" w:footer="0" w:header="0"/>
          <w:type w:val="continuous"/>
        </w:sectPr>
      </w:pPr>
    </w:p>
    <w:bookmarkStart w:id="59" w:name="page60"/>
    <w:bookmarkEnd w:id="59"/>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DeWayne D. Rosse</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 DeWayne D. Rosse</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Casella Waste Systems,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First Amendment to Second Amended and Restated Credit Agreement (Sustainability Table Amendment)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w:t>
      </w:r>
    </w:p>
    <w:p>
      <w:pPr>
        <w:sectPr>
          <w:pgSz w:w="11900" w:h="16838" w:orient="portrait"/>
          <w:cols w:equalWidth="0" w:num="1">
            <w:col w:w="9019"/>
          </w:cols>
          <w:pgMar w:left="1440" w:top="1440" w:right="1440" w:bottom="1440" w:gutter="0" w:footer="0" w:header="0"/>
        </w:sectPr>
      </w:pPr>
    </w:p>
    <w:bookmarkStart w:id="60" w:name="page61"/>
    <w:bookmarkEnd w:id="60"/>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BofA SECURITIES, LLC,</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Sustainability Coordinator</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Stinson</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 Andrew Stinson</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Casella Waste Systems,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First Amendment to Second Amended and Restated Credit Agreement (Sustainability Table Amendment)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w:t>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TD SECURITIES (USA) LLC,</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as Sustainability Coordinator</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Susan Thompson</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 Susan Thompson</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Title: Managing Director, Head of Global Sustainable Finance &amp;</w:t>
      </w:r>
    </w:p>
    <w:p>
      <w:pPr>
        <w:jc w:val="center"/>
        <w:ind w:right="-39"/>
        <w:spacing w:after="0"/>
        <w:rPr>
          <w:sz w:val="20"/>
          <w:szCs w:val="20"/>
          <w:color w:val="auto"/>
        </w:rPr>
      </w:pPr>
      <w:r>
        <w:rPr>
          <w:rFonts w:ascii="Times New Roman" w:cs="Times New Roman" w:eastAsia="Times New Roman" w:hAnsi="Times New Roman"/>
          <w:sz w:val="20"/>
          <w:szCs w:val="20"/>
          <w:color w:val="auto"/>
        </w:rPr>
        <w:t>Advisory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color w:val="auto"/>
        </w:rPr>
        <w:t>Casella Waste Systems, Inc.</w:t>
      </w:r>
    </w:p>
    <w:p>
      <w:pPr>
        <w:spacing w:after="0" w:line="2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color w:val="auto"/>
        </w:rPr>
        <w:t>First Amendment to Second Amended and Restated Credit Agreement (Sustainability Table Amendment)</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Signature Page</w:t>
      </w:r>
    </w:p>
    <w:p>
      <w:pPr>
        <w:sectPr>
          <w:pgSz w:w="11900" w:h="16838" w:orient="portrait"/>
          <w:cols w:equalWidth="0" w:num="1">
            <w:col w:w="9560"/>
          </w:cols>
          <w:pgMar w:left="1440" w:top="1440" w:right="8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6"/>
        </w:trPr>
        <w:tc>
          <w:tcPr>
            <w:tcW w:w="5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236"/>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J. Helgeson, certify that:</w:t>
      </w:r>
    </w:p>
    <w:p>
      <w:pPr>
        <w:spacing w:after="0" w:line="117" w:lineRule="exact"/>
        <w:rPr>
          <w:sz w:val="20"/>
          <w:szCs w:val="20"/>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6"/>
        </w:trPr>
        <w:tc>
          <w:tcPr>
            <w:tcW w:w="43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30"/>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6"/>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June 30, 2025 as filed with the Securities and Exchange Commission on the date hereof (“Report”), the undersigned, John W. Casella, Chairman and Chief Executive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8"/>
        </w:trPr>
        <w:tc>
          <w:tcPr>
            <w:tcW w:w="56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June 30, 2025 as filed with the Securities and Exchange Commission on the date hereof (“Report”), the undersigned, Bradford J. Helgeson, Executive Vice President and Chief Financial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8"/>
        </w:trPr>
        <w:tc>
          <w:tcPr>
            <w:tcW w:w="522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lowerRoman"/>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lvl w:ilvl="1">
      <w:lvlJc w:val="left"/>
      <w:lvlText w:val="%2."/>
      <w:numFmt w:val="decimal"/>
      <w:start w:val="1"/>
    </w:lvl>
  </w:abstractNum>
  <w:abstractNum w:abstractNumId="23">
    <w:nsid w:val="8138641"/>
    <w:multiLevelType w:val="hybridMultilevel"/>
    <w:lvl w:ilvl="0">
      <w:lvlJc w:val="left"/>
      <w:lvlText w:val="%1."/>
      <w:numFmt w:val="decimal"/>
      <w:start w:val="2"/>
    </w:lvl>
    <w:lvl w:ilvl="1">
      <w:lvlJc w:val="left"/>
      <w:lvlText w:val="%2"/>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lowerLetter"/>
      <w:start w:val="5"/>
    </w:lvl>
  </w:abstractNum>
  <w:abstractNum w:abstractNumId="26">
    <w:nsid w:val="737B8DDC"/>
    <w:multiLevelType w:val="hybridMultilevel"/>
    <w:lvl w:ilvl="0">
      <w:lvlJc w:val="left"/>
      <w:lvlText w:val="%1."/>
      <w:numFmt w:val="upperLetter"/>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2"/>
    </w:lvl>
  </w:abstractNum>
  <w:abstractNum w:abstractNumId="29">
    <w:nsid w:val="4516DDE9"/>
    <w:multiLevelType w:val="hybridMultilevel"/>
    <w:lvl w:ilvl="0">
      <w:lvlJc w:val="left"/>
      <w:lvlText w:val="%1."/>
      <w:numFmt w:val="decimal"/>
      <w:start w:val="4"/>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2025-07-31T15:19:01Z</dcterms:created>
  <dcterms:modified xsi:type="dcterms:W3CDTF">2025-07-31T15:19:01Z</dcterms:modified>
</cp:coreProperties>
</file>