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62865</wp:posOffset>
            </wp:positionH>
            <wp:positionV relativeFrom="paragraph">
              <wp:posOffset>224790</wp:posOffset>
            </wp:positionV>
            <wp:extent cx="701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825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190500</wp:posOffset>
            </wp:positionV>
            <wp:extent cx="701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 w:lineRule="exact"/>
        <w:rPr>
          <w:sz w:val="24"/>
          <w:szCs w:val="24"/>
          <w:color w:val="auto"/>
        </w:rPr>
      </w:pPr>
    </w:p>
    <w:p>
      <w:pPr>
        <w:ind w:left="4240"/>
        <w:spacing w:after="0"/>
        <w:rPr>
          <w:sz w:val="20"/>
          <w:szCs w:val="20"/>
          <w:color w:val="auto"/>
        </w:rPr>
      </w:pPr>
      <w:r>
        <w:rPr>
          <w:rFonts w:ascii="Arial" w:cs="Arial" w:eastAsia="Arial" w:hAnsi="Arial"/>
          <w:sz w:val="11"/>
          <w:szCs w:val="11"/>
          <w:color w:val="auto"/>
        </w:rPr>
        <w:t>____________________________________________________</w:t>
      </w:r>
    </w:p>
    <w:p>
      <w:pPr>
        <w:jc w:val="center"/>
        <w:spacing w:after="0"/>
        <w:rPr>
          <w:sz w:val="20"/>
          <w:szCs w:val="20"/>
          <w:color w:val="auto"/>
        </w:rPr>
      </w:pPr>
      <w:r>
        <w:rPr>
          <w:rFonts w:ascii="Arial" w:cs="Arial" w:eastAsia="Arial" w:hAnsi="Arial"/>
          <w:sz w:val="28"/>
          <w:szCs w:val="28"/>
          <w:b w:val="1"/>
          <w:bCs w:val="1"/>
          <w:color w:val="auto"/>
        </w:rPr>
        <w:t>FORM 10-K</w:t>
      </w:r>
    </w:p>
    <w:p>
      <w:pPr>
        <w:spacing w:after="0" w:line="15" w:lineRule="exact"/>
        <w:rPr>
          <w:sz w:val="24"/>
          <w:szCs w:val="24"/>
          <w:color w:val="auto"/>
        </w:rPr>
      </w:pPr>
    </w:p>
    <w:p>
      <w:pPr>
        <w:ind w:left="4240"/>
        <w:spacing w:after="0"/>
        <w:rPr>
          <w:sz w:val="20"/>
          <w:szCs w:val="20"/>
          <w:color w:val="auto"/>
        </w:rPr>
      </w:pPr>
      <w:r>
        <w:rPr>
          <w:rFonts w:ascii="Arial" w:cs="Arial" w:eastAsia="Arial" w:hAnsi="Arial"/>
          <w:sz w:val="11"/>
          <w:szCs w:val="11"/>
          <w:color w:val="auto"/>
        </w:rPr>
        <w:t>____________________________________________________</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640" w:hanging="616"/>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80" w:type="dxa"/>
            <w:vAlign w:val="bottom"/>
          </w:tcPr>
          <w:p>
            <w:pPr>
              <w:spacing w:after="0"/>
              <w:rPr>
                <w:sz w:val="20"/>
                <w:szCs w:val="20"/>
                <w:color w:val="auto"/>
              </w:rPr>
            </w:pPr>
            <w:r>
              <w:rPr>
                <w:rFonts w:ascii="Arial" w:cs="Arial" w:eastAsia="Arial" w:hAnsi="Arial"/>
                <w:sz w:val="14"/>
                <w:szCs w:val="14"/>
                <w:b w:val="1"/>
                <w:bCs w:val="1"/>
                <w:color w:val="auto"/>
                <w:w w:val="97"/>
              </w:rPr>
              <w:t>Or</w:t>
            </w:r>
          </w:p>
        </w:tc>
        <w:tc>
          <w:tcPr>
            <w:tcW w:w="400" w:type="dxa"/>
            <w:vAlign w:val="bottom"/>
            <w:gridSpan w:val="2"/>
          </w:tcPr>
          <w:p>
            <w:pPr>
              <w:spacing w:after="0" w:line="211" w:lineRule="exact"/>
              <w:rPr>
                <w:sz w:val="20"/>
                <w:szCs w:val="20"/>
                <w:color w:val="auto"/>
              </w:rPr>
            </w:pPr>
            <w:r>
              <w:rPr>
                <w:rFonts w:ascii="MS PGothic" w:cs="MS PGothic" w:eastAsia="MS PGothic" w:hAnsi="MS PGothic"/>
                <w:sz w:val="21"/>
                <w:szCs w:val="21"/>
                <w:color w:val="auto"/>
              </w:rPr>
              <w:t>☐</w:t>
            </w:r>
          </w:p>
        </w:tc>
        <w:tc>
          <w:tcPr>
            <w:tcW w:w="10260" w:type="dxa"/>
            <w:vAlign w:val="bottom"/>
            <w:gridSpan w:val="12"/>
            <w:vMerge w:val="restart"/>
          </w:tcPr>
          <w:p>
            <w:pPr>
              <w:ind w:left="220"/>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52"/>
        </w:trPr>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60" w:type="dxa"/>
            <w:vAlign w:val="bottom"/>
            <w:gridSpan w:val="1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92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For the transition period from</w:t>
            </w:r>
          </w:p>
        </w:tc>
        <w:tc>
          <w:tcPr>
            <w:tcW w:w="700" w:type="dxa"/>
            <w:vAlign w:val="bottom"/>
            <w:tcBorders>
              <w:bottom w:val="single" w:sz="8" w:color="auto"/>
            </w:tcBorders>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280" w:type="dxa"/>
            <w:vAlign w:val="bottom"/>
            <w:tcBorders>
              <w:bottom w:val="single" w:sz="8" w:color="auto"/>
            </w:tcBorders>
            <w:gridSpan w:val="2"/>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Commission file number 000-23211</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520" w:type="dxa"/>
            <w:vAlign w:val="bottom"/>
            <w:gridSpan w:val="9"/>
          </w:tcPr>
          <w:p>
            <w:pPr>
              <w:jc w:val="center"/>
              <w:spacing w:after="0"/>
              <w:rPr>
                <w:sz w:val="20"/>
                <w:szCs w:val="20"/>
                <w:color w:val="auto"/>
              </w:rPr>
            </w:pPr>
            <w:r>
              <w:rPr>
                <w:rFonts w:ascii="Arial" w:cs="Arial" w:eastAsia="Arial" w:hAnsi="Arial"/>
                <w:sz w:val="11"/>
                <w:szCs w:val="11"/>
                <w:color w:val="auto"/>
                <w:w w:val="86"/>
              </w:rPr>
              <w:t>____________________________________________________</w:t>
            </w:r>
          </w:p>
        </w:tc>
        <w:tc>
          <w:tcPr>
            <w:tcW w:w="1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60" w:type="dxa"/>
            <w:vAlign w:val="bottom"/>
            <w:gridSpan w:val="12"/>
          </w:tcPr>
          <w:p>
            <w:pPr>
              <w:jc w:val="center"/>
              <w:ind w:right="149"/>
              <w:spacing w:after="0"/>
              <w:rPr>
                <w:sz w:val="20"/>
                <w:szCs w:val="20"/>
                <w:color w:val="auto"/>
              </w:rPr>
            </w:pPr>
            <w:r>
              <w:rPr>
                <w:rFonts w:ascii="Arial" w:cs="Arial" w:eastAsia="Arial" w:hAnsi="Arial"/>
                <w:sz w:val="39"/>
                <w:szCs w:val="39"/>
                <w:b w:val="1"/>
                <w:bCs w:val="1"/>
                <w:color w:val="auto"/>
                <w:w w:val="98"/>
              </w:rPr>
              <w:t>CASELLA WASTE SYSTEMS, INC.</w:t>
            </w: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66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w w:val="91"/>
              </w:rPr>
              <w:t>(Exact name of registrant as specified in its charter)</w:t>
            </w: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520" w:type="dxa"/>
            <w:vAlign w:val="bottom"/>
            <w:gridSpan w:val="9"/>
          </w:tcPr>
          <w:p>
            <w:pPr>
              <w:jc w:val="center"/>
              <w:spacing w:after="0"/>
              <w:rPr>
                <w:sz w:val="20"/>
                <w:szCs w:val="20"/>
                <w:color w:val="auto"/>
              </w:rPr>
            </w:pPr>
            <w:r>
              <w:rPr>
                <w:rFonts w:ascii="Arial" w:cs="Arial" w:eastAsia="Arial" w:hAnsi="Arial"/>
                <w:sz w:val="11"/>
                <w:szCs w:val="11"/>
                <w:color w:val="auto"/>
                <w:w w:val="86"/>
              </w:rPr>
              <w:t>____________________________________________________</w:t>
            </w:r>
          </w:p>
        </w:tc>
        <w:tc>
          <w:tcPr>
            <w:tcW w:w="1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tcPr>
          <w:p>
            <w:pPr>
              <w:jc w:val="center"/>
              <w:ind w:left="1015"/>
              <w:spacing w:after="0"/>
              <w:rPr>
                <w:sz w:val="20"/>
                <w:szCs w:val="20"/>
                <w:color w:val="auto"/>
              </w:rPr>
            </w:pPr>
            <w:r>
              <w:rPr>
                <w:rFonts w:ascii="Arial" w:cs="Arial" w:eastAsia="Arial" w:hAnsi="Arial"/>
                <w:sz w:val="14"/>
                <w:szCs w:val="14"/>
                <w:b w:val="1"/>
                <w:bCs w:val="1"/>
                <w:color w:val="auto"/>
                <w:w w:val="94"/>
              </w:rPr>
              <w:t>Delaware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tcPr>
          <w:p>
            <w:pPr>
              <w:jc w:val="right"/>
              <w:ind w:right="1989"/>
              <w:spacing w:after="0"/>
              <w:rPr>
                <w:sz w:val="20"/>
                <w:szCs w:val="20"/>
                <w:color w:val="auto"/>
              </w:rPr>
            </w:pPr>
            <w:r>
              <w:rPr>
                <w:rFonts w:ascii="Arial" w:cs="Arial" w:eastAsia="Arial" w:hAnsi="Arial"/>
                <w:sz w:val="14"/>
                <w:szCs w:val="14"/>
                <w:b w:val="1"/>
                <w:bCs w:val="1"/>
                <w:color w:val="auto"/>
              </w:rPr>
              <w:t>03-0338873</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tcPr>
          <w:p>
            <w:pPr>
              <w:jc w:val="center"/>
              <w:ind w:left="1015"/>
              <w:spacing w:after="0"/>
              <w:rPr>
                <w:sz w:val="20"/>
                <w:szCs w:val="20"/>
                <w:color w:val="auto"/>
              </w:rPr>
            </w:pPr>
            <w:r>
              <w:rPr>
                <w:rFonts w:ascii="Arial" w:cs="Arial" w:eastAsia="Arial" w:hAnsi="Arial"/>
                <w:sz w:val="14"/>
                <w:szCs w:val="14"/>
                <w:b w:val="1"/>
                <w:bCs w:val="1"/>
                <w:color w:val="auto"/>
                <w:w w:val="92"/>
              </w:rPr>
              <w:t>(State or other jurisdiction of</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60" w:type="dxa"/>
            <w:vAlign w:val="bottom"/>
          </w:tcPr>
          <w:p>
            <w:pPr>
              <w:jc w:val="center"/>
              <w:ind w:right="1349"/>
              <w:spacing w:after="0"/>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jc w:val="center"/>
              <w:ind w:left="1015"/>
              <w:spacing w:after="0"/>
              <w:rPr>
                <w:sz w:val="20"/>
                <w:szCs w:val="20"/>
                <w:color w:val="auto"/>
              </w:rPr>
            </w:pPr>
            <w:r>
              <w:rPr>
                <w:rFonts w:ascii="Arial" w:cs="Arial" w:eastAsia="Arial" w:hAnsi="Arial"/>
                <w:sz w:val="14"/>
                <w:szCs w:val="14"/>
                <w:b w:val="1"/>
                <w:bCs w:val="1"/>
                <w:color w:val="auto"/>
                <w:w w:val="93"/>
              </w:rPr>
              <w:t>incorporation or organization)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60" w:type="dxa"/>
            <w:vAlign w:val="bottom"/>
          </w:tcPr>
          <w:p>
            <w:pPr>
              <w:jc w:val="center"/>
              <w:ind w:right="1369"/>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tcPr>
          <w:p>
            <w:pPr>
              <w:jc w:val="center"/>
              <w:ind w:left="1015"/>
              <w:spacing w:after="0"/>
              <w:rPr>
                <w:sz w:val="20"/>
                <w:szCs w:val="20"/>
                <w:color w:val="auto"/>
              </w:rPr>
            </w:pPr>
            <w:r>
              <w:rPr>
                <w:rFonts w:ascii="Arial" w:cs="Arial" w:eastAsia="Arial" w:hAnsi="Arial"/>
                <w:sz w:val="14"/>
                <w:szCs w:val="14"/>
                <w:b w:val="1"/>
                <w:bCs w:val="1"/>
                <w:color w:val="auto"/>
                <w:w w:val="95"/>
              </w:rPr>
              <w:t>25 Greens Hill Lane, Rutland, VT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tcPr>
          <w:p>
            <w:pPr>
              <w:jc w:val="right"/>
              <w:ind w:right="2149"/>
              <w:spacing w:after="0"/>
              <w:rPr>
                <w:sz w:val="20"/>
                <w:szCs w:val="20"/>
                <w:color w:val="auto"/>
              </w:rPr>
            </w:pPr>
            <w:r>
              <w:rPr>
                <w:rFonts w:ascii="Arial" w:cs="Arial" w:eastAsia="Arial" w:hAnsi="Arial"/>
                <w:sz w:val="14"/>
                <w:szCs w:val="14"/>
                <w:b w:val="1"/>
                <w:bCs w:val="1"/>
                <w:color w:val="auto"/>
              </w:rPr>
              <w:t>05701</w:t>
            </w: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60" w:type="dxa"/>
            <w:vAlign w:val="bottom"/>
            <w:gridSpan w:val="5"/>
          </w:tcPr>
          <w:p>
            <w:pPr>
              <w:jc w:val="center"/>
              <w:ind w:right="1520"/>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Pr>
          <w:p>
            <w:pPr>
              <w:jc w:val="center"/>
              <w:ind w:right="134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68"/>
        </w:trPr>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60" w:type="dxa"/>
            <w:vAlign w:val="bottom"/>
            <w:gridSpan w:val="12"/>
          </w:tcPr>
          <w:p>
            <w:pPr>
              <w:jc w:val="center"/>
              <w:ind w:right="149"/>
              <w:spacing w:after="0"/>
              <w:rPr>
                <w:sz w:val="20"/>
                <w:szCs w:val="20"/>
                <w:color w:val="auto"/>
              </w:rPr>
            </w:pPr>
            <w:r>
              <w:rPr>
                <w:rFonts w:ascii="Arial" w:cs="Arial" w:eastAsia="Arial" w:hAnsi="Arial"/>
                <w:sz w:val="14"/>
                <w:szCs w:val="14"/>
                <w:b w:val="1"/>
                <w:bCs w:val="1"/>
                <w:color w:val="auto"/>
                <w:w w:val="90"/>
              </w:rPr>
              <w:t>Registrant’s telephone number, including area code: (802) 775-0325</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660" w:type="dxa"/>
            <w:vAlign w:val="bottom"/>
            <w:gridSpan w:val="10"/>
          </w:tcPr>
          <w:p>
            <w:pPr>
              <w:jc w:val="center"/>
              <w:ind w:right="80"/>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vMerge w:val="restart"/>
          </w:tcPr>
          <w:p>
            <w:pPr>
              <w:jc w:val="center"/>
              <w:ind w:left="75"/>
              <w:spacing w:after="0"/>
              <w:rPr>
                <w:sz w:val="20"/>
                <w:szCs w:val="20"/>
                <w:color w:val="auto"/>
              </w:rPr>
            </w:pPr>
            <w:r>
              <w:rPr>
                <w:rFonts w:ascii="Arial" w:cs="Arial" w:eastAsia="Arial" w:hAnsi="Arial"/>
                <w:sz w:val="14"/>
                <w:szCs w:val="14"/>
                <w:b w:val="1"/>
                <w:bCs w:val="1"/>
                <w:color w:val="auto"/>
                <w:w w:val="89"/>
              </w:rPr>
              <w:t>Title of each class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ind w:left="1040"/>
              <w:spacing w:after="0"/>
              <w:rPr>
                <w:sz w:val="20"/>
                <w:szCs w:val="20"/>
                <w:color w:val="auto"/>
              </w:rPr>
            </w:pPr>
            <w:r>
              <w:rPr>
                <w:rFonts w:ascii="Arial" w:cs="Arial" w:eastAsia="Arial" w:hAnsi="Arial"/>
                <w:sz w:val="14"/>
                <w:szCs w:val="14"/>
                <w:b w:val="1"/>
                <w:bCs w:val="1"/>
                <w:color w:val="auto"/>
              </w:rPr>
              <w:t>Trading</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60" w:type="dxa"/>
            <w:vAlign w:val="bottom"/>
          </w:tcPr>
          <w:p>
            <w:pPr>
              <w:jc w:val="center"/>
              <w:ind w:right="429"/>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gridSpan w:val="2"/>
            <w:vMerge w:val="restart"/>
          </w:tcPr>
          <w:p>
            <w:pPr>
              <w:jc w:val="center"/>
              <w:ind w:left="369"/>
              <w:spacing w:after="0"/>
              <w:rPr>
                <w:sz w:val="20"/>
                <w:szCs w:val="20"/>
                <w:color w:val="auto"/>
              </w:rPr>
            </w:pPr>
            <w:r>
              <w:rPr>
                <w:rFonts w:ascii="Arial" w:cs="Arial" w:eastAsia="Arial" w:hAnsi="Arial"/>
                <w:sz w:val="14"/>
                <w:szCs w:val="14"/>
                <w:b w:val="1"/>
                <w:bCs w:val="1"/>
                <w:color w:val="auto"/>
                <w:w w:val="91"/>
              </w:rPr>
              <w:t>Symbol(s)</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360" w:type="dxa"/>
            <w:vAlign w:val="bottom"/>
            <w:vMerge w:val="restart"/>
          </w:tcPr>
          <w:p>
            <w:pPr>
              <w:jc w:val="center"/>
              <w:ind w:right="429"/>
              <w:spacing w:after="0"/>
              <w:rPr>
                <w:sz w:val="20"/>
                <w:szCs w:val="20"/>
                <w:color w:val="auto"/>
              </w:rPr>
            </w:pPr>
            <w:r>
              <w:rPr>
                <w:rFonts w:ascii="Arial" w:cs="Arial" w:eastAsia="Arial" w:hAnsi="Arial"/>
                <w:sz w:val="14"/>
                <w:szCs w:val="14"/>
                <w:b w:val="1"/>
                <w:bCs w:val="1"/>
                <w:color w:val="auto"/>
                <w:w w:val="89"/>
              </w:rPr>
              <w:t>on which registered</w:t>
            </w:r>
          </w:p>
        </w:tc>
        <w:tc>
          <w:tcPr>
            <w:tcW w:w="0" w:type="dxa"/>
            <w:vAlign w:val="bottom"/>
          </w:tcPr>
          <w:p>
            <w:pPr>
              <w:spacing w:after="0"/>
              <w:rPr>
                <w:sz w:val="1"/>
                <w:szCs w:val="1"/>
                <w:color w:val="auto"/>
              </w:rPr>
            </w:pPr>
          </w:p>
        </w:tc>
      </w:tr>
      <w:tr>
        <w:trPr>
          <w:trHeight w:val="85"/>
        </w:trPr>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140" w:type="dxa"/>
            <w:vAlign w:val="bottom"/>
            <w:tcBorders>
              <w:bottom w:val="single" w:sz="8" w:color="auto"/>
            </w:tcBorders>
            <w:gridSpan w:val="2"/>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tcPr>
          <w:p>
            <w:pPr>
              <w:jc w:val="center"/>
              <w:ind w:left="75"/>
              <w:spacing w:after="0"/>
              <w:rPr>
                <w:sz w:val="20"/>
                <w:szCs w:val="20"/>
                <w:color w:val="auto"/>
              </w:rPr>
            </w:pPr>
            <w:r>
              <w:rPr>
                <w:rFonts w:ascii="Arial" w:cs="Arial" w:eastAsia="Arial" w:hAnsi="Arial"/>
                <w:sz w:val="14"/>
                <w:szCs w:val="14"/>
                <w:color w:val="auto"/>
                <w:w w:val="90"/>
              </w:rPr>
              <w:t>Class A common stock, $0.01 par value per share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2"/>
          </w:tcPr>
          <w:p>
            <w:pPr>
              <w:jc w:val="center"/>
              <w:ind w:left="369"/>
              <w:spacing w:after="0"/>
              <w:rPr>
                <w:sz w:val="20"/>
                <w:szCs w:val="20"/>
                <w:color w:val="auto"/>
              </w:rPr>
            </w:pPr>
            <w:r>
              <w:rPr>
                <w:rFonts w:ascii="Arial" w:cs="Arial" w:eastAsia="Arial" w:hAnsi="Arial"/>
                <w:sz w:val="14"/>
                <w:szCs w:val="14"/>
                <w:color w:val="auto"/>
                <w:w w:val="92"/>
              </w:rPr>
              <w:t>CWST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tcPr>
          <w:p>
            <w:pPr>
              <w:jc w:val="center"/>
              <w:ind w:right="429"/>
              <w:spacing w:after="0"/>
              <w:rPr>
                <w:sz w:val="20"/>
                <w:szCs w:val="20"/>
                <w:color w:val="auto"/>
              </w:rPr>
            </w:pPr>
            <w:r>
              <w:rPr>
                <w:rFonts w:ascii="Arial" w:cs="Arial" w:eastAsia="Arial" w:hAnsi="Arial"/>
                <w:sz w:val="14"/>
                <w:szCs w:val="14"/>
                <w:color w:val="auto"/>
                <w:w w:val="92"/>
              </w:rPr>
              <w:t>The Nasdaq Stock Market LLC</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60" w:type="dxa"/>
            <w:vAlign w:val="bottom"/>
          </w:tcPr>
          <w:p>
            <w:pPr>
              <w:jc w:val="center"/>
              <w:ind w:right="409"/>
              <w:spacing w:after="0"/>
              <w:rPr>
                <w:sz w:val="20"/>
                <w:szCs w:val="20"/>
                <w:color w:val="auto"/>
              </w:rPr>
            </w:pPr>
            <w:r>
              <w:rPr>
                <w:rFonts w:ascii="Arial" w:cs="Arial" w:eastAsia="Arial" w:hAnsi="Arial"/>
                <w:sz w:val="14"/>
                <w:szCs w:val="14"/>
                <w:color w:val="auto"/>
                <w:w w:val="91"/>
              </w:rPr>
              <w:t>(Nasdaq Global Select Market)</w:t>
            </w:r>
          </w:p>
        </w:tc>
        <w:tc>
          <w:tcPr>
            <w:tcW w:w="0" w:type="dxa"/>
            <w:vAlign w:val="bottom"/>
          </w:tcPr>
          <w:p>
            <w:pPr>
              <w:spacing w:after="0"/>
              <w:rPr>
                <w:sz w:val="1"/>
                <w:szCs w:val="1"/>
                <w:color w:val="auto"/>
              </w:rPr>
            </w:pPr>
          </w:p>
        </w:tc>
      </w:tr>
      <w:tr>
        <w:trPr>
          <w:trHeight w:val="268"/>
        </w:trPr>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660" w:type="dxa"/>
            <w:vAlign w:val="bottom"/>
            <w:gridSpan w:val="10"/>
          </w:tcPr>
          <w:p>
            <w:pPr>
              <w:jc w:val="center"/>
              <w:ind w:right="80"/>
              <w:spacing w:after="0"/>
              <w:rPr>
                <w:sz w:val="20"/>
                <w:szCs w:val="20"/>
                <w:color w:val="auto"/>
              </w:rPr>
            </w:pPr>
            <w:r>
              <w:rPr>
                <w:rFonts w:ascii="Arial" w:cs="Arial" w:eastAsia="Arial" w:hAnsi="Arial"/>
                <w:sz w:val="14"/>
                <w:szCs w:val="14"/>
                <w:b w:val="1"/>
                <w:bCs w:val="1"/>
                <w:color w:val="auto"/>
                <w:w w:val="90"/>
              </w:rPr>
              <w:t>Securities registered pursuant to Section 12(g) of the Act:</w:t>
            </w: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2"/>
          </w:tcPr>
          <w:p>
            <w:pPr>
              <w:jc w:val="center"/>
              <w:ind w:left="369"/>
              <w:spacing w:after="0"/>
              <w:rPr>
                <w:sz w:val="20"/>
                <w:szCs w:val="20"/>
                <w:color w:val="auto"/>
              </w:rPr>
            </w:pPr>
            <w:r>
              <w:rPr>
                <w:rFonts w:ascii="Arial" w:cs="Arial" w:eastAsia="Arial" w:hAnsi="Arial"/>
                <w:sz w:val="14"/>
                <w:szCs w:val="14"/>
                <w:b w:val="1"/>
                <w:bCs w:val="1"/>
                <w:color w:val="auto"/>
                <w:w w:val="87"/>
              </w:rPr>
              <w:t>None.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gridSpan w:val="11"/>
          </w:tcPr>
          <w:p>
            <w:pPr>
              <w:ind w:left="140"/>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560" w:type="dxa"/>
            <w:vAlign w:val="bottom"/>
            <w:gridSpan w:val="3"/>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6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2"/>
        </w:trPr>
        <w:tc>
          <w:tcPr>
            <w:tcW w:w="6920" w:type="dxa"/>
            <w:vAlign w:val="bottom"/>
            <w:gridSpan w:val="11"/>
          </w:tcPr>
          <w:p>
            <w:pPr>
              <w:ind w:left="140"/>
              <w:spacing w:after="0"/>
              <w:rPr>
                <w:sz w:val="20"/>
                <w:szCs w:val="20"/>
                <w:color w:val="auto"/>
              </w:rPr>
            </w:pPr>
            <w:r>
              <w:rPr>
                <w:rFonts w:ascii="Arial" w:cs="Arial" w:eastAsia="Arial" w:hAnsi="Arial"/>
                <w:sz w:val="14"/>
                <w:szCs w:val="14"/>
                <w:color w:val="auto"/>
                <w:w w:val="92"/>
              </w:rPr>
              <w:t>Indicate by check mark if the registrant is not required to file reports pursuant to Section 13 or Section 15(d) of the Act.</w:t>
            </w:r>
          </w:p>
        </w:tc>
        <w:tc>
          <w:tcPr>
            <w:tcW w:w="60" w:type="dxa"/>
            <w:vAlign w:val="bottom"/>
          </w:tcPr>
          <w:p>
            <w:pPr>
              <w:spacing w:after="0"/>
              <w:rPr>
                <w:sz w:val="19"/>
                <w:szCs w:val="19"/>
                <w:color w:val="auto"/>
              </w:rPr>
            </w:pPr>
          </w:p>
        </w:tc>
        <w:tc>
          <w:tcPr>
            <w:tcW w:w="500" w:type="dxa"/>
            <w:vAlign w:val="bottom"/>
            <w:gridSpan w:val="2"/>
          </w:tcPr>
          <w:p>
            <w:pPr>
              <w:ind w:left="8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36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 w:lineRule="exact"/>
        <w:rPr>
          <w:sz w:val="24"/>
          <w:szCs w:val="24"/>
          <w:color w:val="auto"/>
        </w:rPr>
      </w:pPr>
    </w:p>
    <w:p>
      <w:pPr>
        <w:ind w:right="260" w:firstLine="160"/>
        <w:spacing w:after="0" w:line="192" w:lineRule="exact"/>
        <w:rPr>
          <w:sz w:val="20"/>
          <w:szCs w:val="20"/>
          <w:color w:val="auto"/>
        </w:rPr>
      </w:pPr>
      <w:r>
        <w:rPr>
          <w:rFonts w:ascii="Arial" w:cs="Arial" w:eastAsia="Arial" w:hAnsi="Arial"/>
          <w:sz w:val="14"/>
          <w:szCs w:val="14"/>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 w:lineRule="exact"/>
        <w:rPr>
          <w:sz w:val="24"/>
          <w:szCs w:val="24"/>
          <w:color w:val="auto"/>
        </w:rPr>
      </w:pPr>
    </w:p>
    <w:p>
      <w:pPr>
        <w:ind w:left="160"/>
        <w:spacing w:after="0"/>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w:t>
      </w:r>
    </w:p>
    <w:p>
      <w:pPr>
        <w:sectPr>
          <w:pgSz w:w="11900" w:h="16838" w:orient="portrait"/>
          <w:cols w:equalWidth="0" w:num="1">
            <w:col w:w="11240"/>
          </w:cols>
          <w:pgMar w:left="320" w:top="223" w:right="339" w:bottom="1440" w:gutter="0" w:footer="0" w:header="0"/>
        </w:sectPr>
      </w:pPr>
    </w:p>
    <w:p>
      <w:pPr>
        <w:spacing w:after="0" w:line="42" w:lineRule="exact"/>
        <w:rPr>
          <w:sz w:val="24"/>
          <w:szCs w:val="24"/>
          <w:color w:val="auto"/>
        </w:rPr>
      </w:pPr>
    </w:p>
    <w:p>
      <w:pPr>
        <w:spacing w:after="0" w:line="161" w:lineRule="exact"/>
        <w:tabs>
          <w:tab w:leader="none" w:pos="6460" w:val="left"/>
          <w:tab w:leader="none" w:pos="7020" w:val="left"/>
        </w:tabs>
        <w:rPr>
          <w:sz w:val="20"/>
          <w:szCs w:val="20"/>
          <w:color w:val="auto"/>
        </w:rPr>
      </w:pPr>
      <w:r>
        <w:rPr>
          <w:rFonts w:ascii="Arial" w:cs="Arial" w:eastAsia="Arial" w:hAnsi="Arial"/>
          <w:sz w:val="13"/>
          <w:szCs w:val="13"/>
          <w:color w:val="auto"/>
        </w:rPr>
        <w:t>during the preceding 12 months (or for such shorter period that the registrant was required to submit such files).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1" w:lineRule="exact"/>
        <w:rPr>
          <w:sz w:val="24"/>
          <w:szCs w:val="24"/>
          <w:color w:val="auto"/>
        </w:rPr>
      </w:pPr>
    </w:p>
    <w:p>
      <w:pPr>
        <w:ind w:left="16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p>
      <w:pPr>
        <w:spacing w:after="0" w:line="32" w:lineRule="exact"/>
        <w:rPr>
          <w:sz w:val="24"/>
          <w:szCs w:val="24"/>
          <w:color w:val="auto"/>
        </w:rPr>
      </w:pPr>
    </w:p>
    <w:p>
      <w:pPr>
        <w:ind w:left="20"/>
        <w:spacing w:after="0" w:line="161" w:lineRule="exact"/>
        <w:tabs>
          <w:tab w:leader="none" w:pos="3220" w:val="left"/>
          <w:tab w:leader="none" w:pos="3800" w:val="left"/>
          <w:tab w:leader="none" w:pos="7100" w:val="left"/>
          <w:tab w:leader="none" w:pos="76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2" w:lineRule="exact"/>
        <w:rPr>
          <w:sz w:val="24"/>
          <w:szCs w:val="24"/>
          <w:color w:val="auto"/>
        </w:rPr>
      </w:pPr>
    </w:p>
    <w:p>
      <w:pPr>
        <w:sectPr>
          <w:pgSz w:w="11900" w:h="16838" w:orient="portrait"/>
          <w:cols w:equalWidth="0" w:num="2">
            <w:col w:w="10800" w:space="160"/>
            <w:col w:w="280"/>
          </w:cols>
          <w:pgMar w:left="320" w:top="223" w:right="339" w:bottom="1440" w:gutter="0" w:footer="0" w:header="0"/>
          <w:type w:val="continuous"/>
        </w:sectPr>
      </w:pPr>
    </w:p>
    <w:p>
      <w:pPr>
        <w:spacing w:after="0" w:line="12"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97" w:lineRule="exact"/>
        <w:rPr>
          <w:sz w:val="24"/>
          <w:szCs w:val="24"/>
          <w:color w:val="auto"/>
        </w:rPr>
      </w:pPr>
    </w:p>
    <w:p>
      <w:pPr>
        <w:sectPr>
          <w:pgSz w:w="11900" w:h="16838" w:orient="portrait"/>
          <w:cols w:equalWidth="0" w:num="4">
            <w:col w:w="2520" w:space="720"/>
            <w:col w:w="120" w:space="460"/>
            <w:col w:w="2580" w:space="720"/>
            <w:col w:w="4120"/>
          </w:cols>
          <w:pgMar w:left="320" w:top="223" w:right="339" w:bottom="1440" w:gutter="0" w:footer="0" w:header="0"/>
          <w:type w:val="continuous"/>
        </w:sectPr>
      </w:pPr>
    </w:p>
    <w:p>
      <w:pPr>
        <w:ind w:firstLine="160"/>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Act. </w:t>
      </w:r>
      <w:r>
        <w:rPr>
          <w:rFonts w:ascii="MS PGothic" w:cs="MS PGothic" w:eastAsia="MS PGothic" w:hAnsi="MS PGothic"/>
          <w:sz w:val="14"/>
          <w:szCs w:val="14"/>
          <w:color w:val="auto"/>
        </w:rPr>
        <w:t>☐</w:t>
      </w:r>
    </w:p>
    <w:p>
      <w:pPr>
        <w:spacing w:after="0" w:line="3" w:lineRule="exact"/>
        <w:rPr>
          <w:sz w:val="24"/>
          <w:szCs w:val="24"/>
          <w:color w:val="auto"/>
        </w:rPr>
      </w:pPr>
    </w:p>
    <w:p>
      <w:pPr>
        <w:ind w:right="240" w:firstLine="160"/>
        <w:spacing w:after="0" w:line="192" w:lineRule="exact"/>
        <w:rPr>
          <w:sz w:val="20"/>
          <w:szCs w:val="20"/>
          <w:color w:val="auto"/>
        </w:rPr>
      </w:pPr>
      <w:r>
        <w:rPr>
          <w:rFonts w:ascii="Arial" w:cs="Arial" w:eastAsia="Arial" w:hAnsi="Arial"/>
          <w:sz w:val="14"/>
          <w:szCs w:val="14"/>
          <w:color w:val="auto"/>
        </w:rPr>
        <w:t xml:space="preserve">Indicate by check mark whether the registrant has filed a report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 w:lineRule="exact"/>
        <w:rPr>
          <w:sz w:val="24"/>
          <w:szCs w:val="24"/>
          <w:color w:val="auto"/>
        </w:rPr>
      </w:pPr>
    </w:p>
    <w:p>
      <w:pPr>
        <w:ind w:right="140" w:firstLine="160"/>
        <w:spacing w:after="0" w:line="16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80" w:firstLine="160"/>
        <w:spacing w:after="0" w:line="17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ind w:left="160"/>
        <w:spacing w:after="0" w:line="161" w:lineRule="exact"/>
        <w:tabs>
          <w:tab w:leader="none" w:pos="6720" w:val="left"/>
          <w:tab w:leader="none" w:pos="728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7" w:lineRule="exact"/>
        <w:rPr>
          <w:sz w:val="24"/>
          <w:szCs w:val="24"/>
          <w:color w:val="auto"/>
        </w:rPr>
      </w:pPr>
    </w:p>
    <w:p>
      <w:pPr>
        <w:ind w:right="380" w:firstLine="160"/>
        <w:spacing w:after="0" w:line="268" w:lineRule="auto"/>
        <w:rPr>
          <w:sz w:val="20"/>
          <w:szCs w:val="20"/>
          <w:color w:val="auto"/>
        </w:rPr>
      </w:pPr>
      <w:r>
        <w:rPr>
          <w:rFonts w:ascii="Arial" w:cs="Arial" w:eastAsia="Arial" w:hAnsi="Arial"/>
          <w:sz w:val="14"/>
          <w:szCs w:val="14"/>
          <w:color w:val="auto"/>
        </w:rPr>
        <w:t>The aggregate market value of the common equity held by non-affiliates of the registrant, based on the last reported sale price of the registrant’s Class A common stock on the Nasdaq Stock Market at the close of business on June 30, 2022 was approximately $3.6 billion. The registrant does not have any non-voting common stock outstanding.</w:t>
      </w:r>
    </w:p>
    <w:p>
      <w:pPr>
        <w:spacing w:after="0" w:line="1" w:lineRule="exact"/>
        <w:rPr>
          <w:sz w:val="24"/>
          <w:szCs w:val="24"/>
          <w:color w:val="auto"/>
        </w:rPr>
      </w:pPr>
    </w:p>
    <w:p>
      <w:pPr>
        <w:ind w:right="100" w:firstLine="160"/>
        <w:spacing w:after="0" w:line="274" w:lineRule="auto"/>
        <w:rPr>
          <w:sz w:val="20"/>
          <w:szCs w:val="20"/>
          <w:color w:val="auto"/>
        </w:rPr>
      </w:pPr>
      <w:r>
        <w:rPr>
          <w:rFonts w:ascii="Arial" w:cs="Arial" w:eastAsia="Arial" w:hAnsi="Arial"/>
          <w:sz w:val="14"/>
          <w:szCs w:val="14"/>
          <w:color w:val="auto"/>
        </w:rPr>
        <w:t>There were 50,715,714 shares of Class A common stock, $0.01 par value per share, of the registrant outstanding at January 31, 2023. There were 988,200 shares of Class B common stock, $0.01 par value per share, of the registrant outstanding at January 31, 2023.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6" w:lineRule="exact"/>
        <w:rPr>
          <w:sz w:val="24"/>
          <w:szCs w:val="24"/>
          <w:color w:val="auto"/>
        </w:rPr>
      </w:pPr>
    </w:p>
    <w:p>
      <w:pPr>
        <w:ind w:right="240" w:firstLine="160"/>
        <w:spacing w:after="0" w:line="286" w:lineRule="auto"/>
        <w:rPr>
          <w:sz w:val="20"/>
          <w:szCs w:val="20"/>
          <w:color w:val="auto"/>
        </w:rPr>
      </w:pPr>
      <w:r>
        <w:rPr>
          <w:rFonts w:ascii="Arial" w:cs="Arial" w:eastAsia="Arial" w:hAnsi="Arial"/>
          <w:sz w:val="14"/>
          <w:szCs w:val="14"/>
          <w:color w:val="auto"/>
        </w:rPr>
        <w:t>Part III of this Annual Report on Form 10-K incorporates by reference information from the definitive Proxy Statement for the registrant’s 2023 Annual Meeting of Stockholders or a Form10-K/A to be filed with the Securities and Exchange Commission not later than 120 days after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363220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6999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4445</wp:posOffset>
            </wp:positionV>
            <wp:extent cx="6999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PART I.</w:t>
            </w:r>
          </w:p>
        </w:tc>
        <w:tc>
          <w:tcPr>
            <w:tcW w:w="84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w:t>
            </w:r>
          </w:p>
        </w:tc>
        <w:tc>
          <w:tcPr>
            <w:tcW w:w="8860" w:type="dxa"/>
            <w:vAlign w:val="bottom"/>
            <w:gridSpan w:val="25"/>
          </w:tcPr>
          <w:p>
            <w:pPr>
              <w:spacing w:after="0"/>
              <w:rPr>
                <w:sz w:val="20"/>
                <w:szCs w:val="20"/>
                <w:color w:val="auto"/>
              </w:rPr>
            </w:pPr>
            <w:r>
              <w:rPr>
                <w:rFonts w:ascii="Arial" w:cs="Arial" w:eastAsia="Arial" w:hAnsi="Arial"/>
                <w:sz w:val="18"/>
                <w:szCs w:val="18"/>
                <w:color w:val="0000FF"/>
              </w:rPr>
              <w:t>BUSINESS</w:t>
            </w:r>
          </w:p>
        </w:tc>
        <w:tc>
          <w:tcPr>
            <w:tcW w:w="920" w:type="dxa"/>
            <w:vAlign w:val="bottom"/>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1A.</w:t>
            </w:r>
          </w:p>
        </w:tc>
        <w:tc>
          <w:tcPr>
            <w:tcW w:w="12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RISK FACTORS</w:t>
            </w:r>
          </w:p>
        </w:tc>
        <w:tc>
          <w:tcPr>
            <w:tcW w:w="7620" w:type="dxa"/>
            <w:vAlign w:val="bottom"/>
            <w:gridSpan w:val="19"/>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00FF"/>
              </w:rPr>
              <w:t>20</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1B.</w:t>
            </w:r>
          </w:p>
        </w:tc>
        <w:tc>
          <w:tcPr>
            <w:tcW w:w="8860" w:type="dxa"/>
            <w:vAlign w:val="bottom"/>
            <w:gridSpan w:val="25"/>
          </w:tcPr>
          <w:p>
            <w:pPr>
              <w:spacing w:after="0"/>
              <w:rPr>
                <w:sz w:val="20"/>
                <w:szCs w:val="20"/>
                <w:color w:val="auto"/>
              </w:rPr>
            </w:pPr>
            <w:r>
              <w:rPr>
                <w:rFonts w:ascii="Arial" w:cs="Arial" w:eastAsia="Arial" w:hAnsi="Arial"/>
                <w:sz w:val="18"/>
                <w:szCs w:val="18"/>
                <w:color w:val="0000FF"/>
              </w:rPr>
              <w:t>UNRESOLVED STAFF COMMENTS</w:t>
            </w:r>
          </w:p>
        </w:tc>
        <w:tc>
          <w:tcPr>
            <w:tcW w:w="920" w:type="dxa"/>
            <w:vAlign w:val="bottom"/>
          </w:tcPr>
          <w:p>
            <w:pPr>
              <w:jc w:val="right"/>
              <w:spacing w:after="0"/>
              <w:rPr>
                <w:sz w:val="20"/>
                <w:szCs w:val="20"/>
                <w:color w:val="auto"/>
              </w:rPr>
            </w:pPr>
            <w:r>
              <w:rPr>
                <w:rFonts w:ascii="Arial" w:cs="Arial" w:eastAsia="Arial" w:hAnsi="Arial"/>
                <w:sz w:val="18"/>
                <w:szCs w:val="18"/>
                <w:color w:val="0000FF"/>
              </w:rPr>
              <w:t>28</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2.</w:t>
            </w:r>
          </w:p>
        </w:tc>
        <w:tc>
          <w:tcPr>
            <w:tcW w:w="10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7"/>
              </w:rPr>
              <w:t>PROPERTIES</w:t>
            </w:r>
          </w:p>
        </w:tc>
        <w:tc>
          <w:tcPr>
            <w:tcW w:w="1740" w:type="dxa"/>
            <w:vAlign w:val="bottom"/>
            <w:tcBorders>
              <w:top w:val="single" w:sz="8" w:color="0000FF"/>
            </w:tcBorders>
            <w:gridSpan w:val="9"/>
          </w:tcPr>
          <w:p>
            <w:pPr>
              <w:spacing w:after="0"/>
              <w:rPr>
                <w:sz w:val="17"/>
                <w:szCs w:val="17"/>
                <w:color w:val="auto"/>
              </w:rPr>
            </w:pPr>
          </w:p>
        </w:tc>
        <w:tc>
          <w:tcPr>
            <w:tcW w:w="6080" w:type="dxa"/>
            <w:vAlign w:val="bottom"/>
            <w:gridSpan w:val="13"/>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3.</w:t>
            </w:r>
          </w:p>
        </w:tc>
        <w:tc>
          <w:tcPr>
            <w:tcW w:w="18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3"/>
              </w:rPr>
              <w:t>LEGAL PROCEEDINGS</w:t>
            </w:r>
          </w:p>
        </w:tc>
        <w:tc>
          <w:tcPr>
            <w:tcW w:w="7000" w:type="dxa"/>
            <w:vAlign w:val="bottom"/>
            <w:gridSpan w:val="18"/>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4.</w:t>
            </w:r>
          </w:p>
        </w:tc>
        <w:tc>
          <w:tcPr>
            <w:tcW w:w="8860" w:type="dxa"/>
            <w:vAlign w:val="bottom"/>
            <w:gridSpan w:val="25"/>
          </w:tcPr>
          <w:p>
            <w:pPr>
              <w:spacing w:after="0"/>
              <w:rPr>
                <w:sz w:val="20"/>
                <w:szCs w:val="20"/>
                <w:color w:val="auto"/>
              </w:rPr>
            </w:pPr>
            <w:r>
              <w:rPr>
                <w:rFonts w:ascii="Arial" w:cs="Arial" w:eastAsia="Arial" w:hAnsi="Arial"/>
                <w:sz w:val="18"/>
                <w:szCs w:val="18"/>
                <w:color w:val="0000FF"/>
              </w:rPr>
              <w:t>MINE SAFETY DISCLOSURES</w:t>
            </w:r>
          </w:p>
        </w:tc>
        <w:tc>
          <w:tcPr>
            <w:tcW w:w="920" w:type="dxa"/>
            <w:vAlign w:val="bottom"/>
          </w:tcPr>
          <w:p>
            <w:pPr>
              <w:jc w:val="right"/>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6"/>
        </w:trPr>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PART II.</w:t>
            </w:r>
          </w:p>
        </w:tc>
        <w:tc>
          <w:tcPr>
            <w:tcW w:w="780" w:type="dxa"/>
            <w:vAlign w:val="bottom"/>
            <w:gridSpan w:val="4"/>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5.</w:t>
            </w:r>
          </w:p>
        </w:tc>
        <w:tc>
          <w:tcPr>
            <w:tcW w:w="8860" w:type="dxa"/>
            <w:vAlign w:val="bottom"/>
            <w:gridSpan w:val="25"/>
          </w:tcPr>
          <w:p>
            <w:pPr>
              <w:spacing w:after="0"/>
              <w:rPr>
                <w:sz w:val="20"/>
                <w:szCs w:val="20"/>
                <w:color w:val="auto"/>
              </w:rPr>
            </w:pPr>
            <w:r>
              <w:rPr>
                <w:rFonts w:ascii="Arial" w:cs="Arial" w:eastAsia="Arial" w:hAnsi="Arial"/>
                <w:sz w:val="18"/>
                <w:szCs w:val="18"/>
                <w:color w:val="0000FF"/>
              </w:rPr>
              <w:t>MARKET FOR REGISTRANT’S COMMON EQUITY, RELATED STOCKHOLDER MATTERS AND ISSUER</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60" w:type="dxa"/>
            <w:vAlign w:val="bottom"/>
            <w:tcBorders>
              <w:top w:val="single" w:sz="8" w:color="0000FF"/>
              <w:bottom w:val="single" w:sz="8" w:color="0000FF"/>
            </w:tcBorders>
            <w:gridSpan w:val="13"/>
          </w:tcPr>
          <w:p>
            <w:pPr>
              <w:spacing w:after="0" w:line="166" w:lineRule="exact"/>
              <w:rPr>
                <w:sz w:val="20"/>
                <w:szCs w:val="20"/>
                <w:color w:val="auto"/>
              </w:rPr>
            </w:pPr>
            <w:r>
              <w:rPr>
                <w:rFonts w:ascii="Arial" w:cs="Arial" w:eastAsia="Arial" w:hAnsi="Arial"/>
                <w:sz w:val="18"/>
                <w:szCs w:val="18"/>
                <w:color w:val="0000FF"/>
                <w:w w:val="92"/>
              </w:rPr>
              <w:t>PURCHASES OF EQUITY SECURITIES</w:t>
            </w:r>
          </w:p>
        </w:tc>
        <w:tc>
          <w:tcPr>
            <w:tcW w:w="5120" w:type="dxa"/>
            <w:vAlign w:val="bottom"/>
            <w:tcBorders>
              <w:top w:val="single" w:sz="8" w:color="0000FF"/>
            </w:tcBorders>
            <w:gridSpan w:val="11"/>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6.</w:t>
            </w:r>
          </w:p>
        </w:tc>
        <w:tc>
          <w:tcPr>
            <w:tcW w:w="8860" w:type="dxa"/>
            <w:vAlign w:val="bottom"/>
            <w:gridSpan w:val="25"/>
          </w:tcPr>
          <w:p>
            <w:pPr>
              <w:spacing w:after="0"/>
              <w:rPr>
                <w:sz w:val="20"/>
                <w:szCs w:val="20"/>
                <w:color w:val="auto"/>
              </w:rPr>
            </w:pPr>
            <w:r>
              <w:rPr>
                <w:rFonts w:ascii="Arial" w:cs="Arial" w:eastAsia="Arial" w:hAnsi="Arial"/>
                <w:sz w:val="18"/>
                <w:szCs w:val="18"/>
                <w:color w:val="0000FF"/>
              </w:rPr>
              <w:t>[RESERVED]</w:t>
            </w:r>
          </w:p>
        </w:tc>
        <w:tc>
          <w:tcPr>
            <w:tcW w:w="920" w:type="dxa"/>
            <w:vAlign w:val="bottom"/>
          </w:tcPr>
          <w:p>
            <w:pPr>
              <w:jc w:val="right"/>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7.</w:t>
            </w:r>
          </w:p>
        </w:tc>
        <w:tc>
          <w:tcPr>
            <w:tcW w:w="8860" w:type="dxa"/>
            <w:vAlign w:val="bottom"/>
            <w:gridSpan w:val="25"/>
          </w:tcPr>
          <w:p>
            <w:pPr>
              <w:spacing w:after="0"/>
              <w:rPr>
                <w:sz w:val="20"/>
                <w:szCs w:val="20"/>
                <w:color w:val="auto"/>
              </w:rPr>
            </w:pPr>
            <w:r>
              <w:rPr>
                <w:rFonts w:ascii="Arial" w:cs="Arial" w:eastAsia="Arial" w:hAnsi="Arial"/>
                <w:sz w:val="18"/>
                <w:szCs w:val="18"/>
                <w:color w:val="0000FF"/>
              </w:rPr>
              <w:t>MANAGEMENT’S DISCUSSION AND ANALYSIS OF FINANCIAL CONDITION AND RESULTS OF</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60" w:type="dxa"/>
            <w:vAlign w:val="bottom"/>
            <w:tcBorders>
              <w:top w:val="single" w:sz="8" w:color="0000FF"/>
            </w:tcBorders>
            <w:gridSpan w:val="21"/>
          </w:tcPr>
          <w:p>
            <w:pPr>
              <w:spacing w:after="0" w:line="166" w:lineRule="exact"/>
              <w:rPr>
                <w:sz w:val="20"/>
                <w:szCs w:val="20"/>
                <w:color w:val="auto"/>
              </w:rPr>
            </w:pPr>
            <w:r>
              <w:rPr>
                <w:rFonts w:ascii="Arial" w:cs="Arial" w:eastAsia="Arial" w:hAnsi="Arial"/>
                <w:sz w:val="18"/>
                <w:szCs w:val="18"/>
                <w:color w:val="0000FF"/>
              </w:rPr>
              <w:t>OPERATIONS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7A.</w:t>
            </w:r>
          </w:p>
        </w:tc>
        <w:tc>
          <w:tcPr>
            <w:tcW w:w="60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6"/>
              </w:rPr>
              <w:t>QUANTITATIVE AND QUALITATIVE DISCLOSURES ABOUT MARKET RISK</w:t>
            </w:r>
          </w:p>
        </w:tc>
        <w:tc>
          <w:tcPr>
            <w:tcW w:w="2800" w:type="dxa"/>
            <w:vAlign w:val="bottom"/>
            <w:gridSpan w:val="7"/>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00FF"/>
              </w:rPr>
              <w:t>53</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8.</w:t>
            </w:r>
          </w:p>
        </w:tc>
        <w:tc>
          <w:tcPr>
            <w:tcW w:w="46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5"/>
              </w:rPr>
              <w:t>FINANCIAL STATEMENTS AND SUPPLEMENTARY DATA</w:t>
            </w:r>
          </w:p>
        </w:tc>
        <w:tc>
          <w:tcPr>
            <w:tcW w:w="4260" w:type="dxa"/>
            <w:vAlign w:val="bottom"/>
            <w:gridSpan w:val="9"/>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00FF"/>
              </w:rPr>
              <w:t>55</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9.</w:t>
            </w:r>
          </w:p>
        </w:tc>
        <w:tc>
          <w:tcPr>
            <w:tcW w:w="8860" w:type="dxa"/>
            <w:vAlign w:val="bottom"/>
            <w:gridSpan w:val="25"/>
          </w:tcPr>
          <w:p>
            <w:pPr>
              <w:spacing w:after="0"/>
              <w:rPr>
                <w:sz w:val="20"/>
                <w:szCs w:val="20"/>
                <w:color w:val="auto"/>
              </w:rPr>
            </w:pPr>
            <w:r>
              <w:rPr>
                <w:rFonts w:ascii="Arial" w:cs="Arial" w:eastAsia="Arial" w:hAnsi="Arial"/>
                <w:sz w:val="18"/>
                <w:szCs w:val="18"/>
                <w:color w:val="0000FF"/>
              </w:rPr>
              <w:t>CHANGES IN AND DISAGREEMENTS WITH ACCOUNTANTS ON ACCOUNTING AND FINANCIAL</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0000FF"/>
              </w:rPr>
              <w:t>101</w:t>
            </w: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Borders>
              <w:top w:val="single" w:sz="8" w:color="0000FF"/>
              <w:bottom w:val="single" w:sz="8" w:color="0000FF"/>
            </w:tcBorders>
            <w:gridSpan w:val="5"/>
          </w:tcPr>
          <w:p>
            <w:pPr>
              <w:spacing w:after="0" w:line="166" w:lineRule="exact"/>
              <w:rPr>
                <w:sz w:val="20"/>
                <w:szCs w:val="20"/>
                <w:color w:val="auto"/>
              </w:rPr>
            </w:pPr>
            <w:r>
              <w:rPr>
                <w:rFonts w:ascii="Arial" w:cs="Arial" w:eastAsia="Arial" w:hAnsi="Arial"/>
                <w:sz w:val="18"/>
                <w:szCs w:val="18"/>
                <w:color w:val="0000FF"/>
                <w:w w:val="92"/>
              </w:rPr>
              <w:t>DISCLOSURE</w:t>
            </w:r>
          </w:p>
        </w:tc>
        <w:tc>
          <w:tcPr>
            <w:tcW w:w="6720" w:type="dxa"/>
            <w:vAlign w:val="bottom"/>
            <w:tcBorders>
              <w:top w:val="single" w:sz="8" w:color="0000FF"/>
            </w:tcBorders>
            <w:gridSpan w:val="17"/>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9A.</w:t>
            </w:r>
          </w:p>
        </w:tc>
        <w:tc>
          <w:tcPr>
            <w:tcW w:w="8860" w:type="dxa"/>
            <w:vAlign w:val="bottom"/>
            <w:gridSpan w:val="25"/>
          </w:tcPr>
          <w:p>
            <w:pPr>
              <w:spacing w:after="0"/>
              <w:rPr>
                <w:sz w:val="20"/>
                <w:szCs w:val="20"/>
                <w:color w:val="auto"/>
              </w:rPr>
            </w:pPr>
            <w:r>
              <w:rPr>
                <w:rFonts w:ascii="Arial" w:cs="Arial" w:eastAsia="Arial" w:hAnsi="Arial"/>
                <w:sz w:val="18"/>
                <w:szCs w:val="18"/>
                <w:color w:val="0000FF"/>
              </w:rPr>
              <w:t>CONTROLS AND PROCEDURES</w:t>
            </w:r>
          </w:p>
        </w:tc>
        <w:tc>
          <w:tcPr>
            <w:tcW w:w="920" w:type="dxa"/>
            <w:vAlign w:val="bottom"/>
          </w:tcPr>
          <w:p>
            <w:pPr>
              <w:jc w:val="right"/>
              <w:spacing w:after="0"/>
              <w:rPr>
                <w:sz w:val="20"/>
                <w:szCs w:val="20"/>
                <w:color w:val="auto"/>
              </w:rPr>
            </w:pPr>
            <w:r>
              <w:rPr>
                <w:rFonts w:ascii="Arial" w:cs="Arial" w:eastAsia="Arial" w:hAnsi="Arial"/>
                <w:sz w:val="18"/>
                <w:szCs w:val="18"/>
                <w:color w:val="0000FF"/>
              </w:rPr>
              <w:t>101</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9B.</w:t>
            </w:r>
          </w:p>
        </w:tc>
        <w:tc>
          <w:tcPr>
            <w:tcW w:w="256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OTHER INFORMATION</w:t>
            </w:r>
          </w:p>
        </w:tc>
        <w:tc>
          <w:tcPr>
            <w:tcW w:w="6300" w:type="dxa"/>
            <w:vAlign w:val="bottom"/>
            <w:gridSpan w:val="14"/>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00FF"/>
              </w:rPr>
              <w:t>102</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9C.</w:t>
            </w:r>
          </w:p>
        </w:tc>
        <w:tc>
          <w:tcPr>
            <w:tcW w:w="8860" w:type="dxa"/>
            <w:vAlign w:val="bottom"/>
            <w:gridSpan w:val="25"/>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920" w:type="dxa"/>
            <w:vAlign w:val="bottom"/>
          </w:tcPr>
          <w:p>
            <w:pPr>
              <w:jc w:val="right"/>
              <w:spacing w:after="0"/>
              <w:rPr>
                <w:sz w:val="20"/>
                <w:szCs w:val="20"/>
                <w:color w:val="auto"/>
              </w:rPr>
            </w:pPr>
            <w:r>
              <w:rPr>
                <w:rFonts w:ascii="Arial" w:cs="Arial" w:eastAsia="Arial" w:hAnsi="Arial"/>
                <w:sz w:val="18"/>
                <w:szCs w:val="18"/>
                <w:color w:val="0000FF"/>
              </w:rPr>
              <w:t>103</w:t>
            </w:r>
          </w:p>
        </w:tc>
        <w:tc>
          <w:tcPr>
            <w:tcW w:w="0" w:type="dxa"/>
            <w:vAlign w:val="bottom"/>
          </w:tcPr>
          <w:p>
            <w:pPr>
              <w:spacing w:after="0"/>
              <w:rPr>
                <w:sz w:val="1"/>
                <w:szCs w:val="1"/>
                <w:color w:val="auto"/>
              </w:rPr>
            </w:pPr>
          </w:p>
        </w:tc>
      </w:tr>
      <w:tr>
        <w:trPr>
          <w:trHeight w:val="206"/>
        </w:trPr>
        <w:tc>
          <w:tcPr>
            <w:tcW w:w="7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3"/>
              </w:rPr>
              <w:t>PART III.</w:t>
            </w:r>
          </w:p>
        </w:tc>
        <w:tc>
          <w:tcPr>
            <w:tcW w:w="720" w:type="dxa"/>
            <w:vAlign w:val="bottom"/>
            <w:gridSpan w:val="2"/>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10.</w:t>
            </w:r>
          </w:p>
        </w:tc>
        <w:tc>
          <w:tcPr>
            <w:tcW w:w="57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3"/>
              </w:rPr>
              <w:t>DIRECTORS, EXECUTIVE OFFICERS AND CORPORATE GOVERNANCE</w:t>
            </w:r>
          </w:p>
        </w:tc>
        <w:tc>
          <w:tcPr>
            <w:tcW w:w="3140" w:type="dxa"/>
            <w:vAlign w:val="bottom"/>
            <w:gridSpan w:val="8"/>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00FF"/>
              </w:rPr>
              <w:t>104</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11.</w:t>
            </w:r>
          </w:p>
        </w:tc>
        <w:tc>
          <w:tcPr>
            <w:tcW w:w="24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4"/>
              </w:rPr>
              <w:t>EXECUTIVE COMPENSATION</w:t>
            </w:r>
          </w:p>
        </w:tc>
        <w:tc>
          <w:tcPr>
            <w:tcW w:w="6440" w:type="dxa"/>
            <w:vAlign w:val="bottom"/>
            <w:gridSpan w:val="15"/>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00FF"/>
              </w:rPr>
              <w:t>104</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12.</w:t>
            </w:r>
          </w:p>
        </w:tc>
        <w:tc>
          <w:tcPr>
            <w:tcW w:w="8860" w:type="dxa"/>
            <w:vAlign w:val="bottom"/>
            <w:gridSpan w:val="25"/>
          </w:tcPr>
          <w:p>
            <w:pPr>
              <w:spacing w:after="0"/>
              <w:rPr>
                <w:sz w:val="20"/>
                <w:szCs w:val="20"/>
                <w:color w:val="auto"/>
              </w:rPr>
            </w:pPr>
            <w:r>
              <w:rPr>
                <w:rFonts w:ascii="Arial" w:cs="Arial" w:eastAsia="Arial" w:hAnsi="Arial"/>
                <w:sz w:val="18"/>
                <w:szCs w:val="18"/>
                <w:color w:val="0000FF"/>
              </w:rPr>
              <w:t>SECURITY OWNERSHIP OF CERTAIN BENEFICIAL OWNERS AND MANAGEMENT AND RELATED</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0000FF"/>
              </w:rPr>
              <w:t>104</w:t>
            </w: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8"/>
          </w:tcPr>
          <w:p>
            <w:pPr>
              <w:spacing w:after="0" w:line="166" w:lineRule="exact"/>
              <w:rPr>
                <w:sz w:val="20"/>
                <w:szCs w:val="20"/>
                <w:color w:val="auto"/>
              </w:rPr>
            </w:pPr>
            <w:r>
              <w:rPr>
                <w:rFonts w:ascii="Arial" w:cs="Arial" w:eastAsia="Arial" w:hAnsi="Arial"/>
                <w:sz w:val="18"/>
                <w:szCs w:val="18"/>
                <w:color w:val="0000FF"/>
                <w:w w:val="93"/>
              </w:rPr>
              <w:t>STOCKHOLDER MATTERS</w:t>
            </w:r>
          </w:p>
        </w:tc>
        <w:tc>
          <w:tcPr>
            <w:tcW w:w="5740" w:type="dxa"/>
            <w:vAlign w:val="bottom"/>
            <w:tcBorders>
              <w:top w:val="single" w:sz="8" w:color="0000FF"/>
            </w:tcBorders>
            <w:gridSpan w:val="15"/>
          </w:tcPr>
          <w:p>
            <w:pPr>
              <w:spacing w:after="0"/>
              <w:rPr>
                <w:sz w:val="14"/>
                <w:szCs w:val="14"/>
                <w:color w:val="auto"/>
              </w:rPr>
            </w:pPr>
          </w:p>
        </w:tc>
        <w:tc>
          <w:tcPr>
            <w:tcW w:w="960" w:type="dxa"/>
            <w:vAlign w:val="bottom"/>
            <w:gridSpan w:val="2"/>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13.</w:t>
            </w:r>
          </w:p>
        </w:tc>
        <w:tc>
          <w:tcPr>
            <w:tcW w:w="8860" w:type="dxa"/>
            <w:vAlign w:val="bottom"/>
            <w:gridSpan w:val="25"/>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920" w:type="dxa"/>
            <w:vAlign w:val="bottom"/>
          </w:tcPr>
          <w:p>
            <w:pPr>
              <w:jc w:val="right"/>
              <w:spacing w:after="0"/>
              <w:rPr>
                <w:sz w:val="20"/>
                <w:szCs w:val="20"/>
                <w:color w:val="auto"/>
              </w:rPr>
            </w:pPr>
            <w:r>
              <w:rPr>
                <w:rFonts w:ascii="Arial" w:cs="Arial" w:eastAsia="Arial" w:hAnsi="Arial"/>
                <w:sz w:val="18"/>
                <w:szCs w:val="18"/>
                <w:color w:val="0000FF"/>
              </w:rPr>
              <w:t>104</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14.</w:t>
            </w:r>
          </w:p>
        </w:tc>
        <w:tc>
          <w:tcPr>
            <w:tcW w:w="758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PRINCIPAL ACCOUNTING FEES AND SERVICES</w:t>
            </w:r>
          </w:p>
        </w:tc>
        <w:tc>
          <w:tcPr>
            <w:tcW w:w="1280" w:type="dxa"/>
            <w:vAlign w:val="bottom"/>
            <w:gridSpan w:val="5"/>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00FF"/>
              </w:rPr>
              <w:t>104</w:t>
            </w:r>
          </w:p>
        </w:tc>
        <w:tc>
          <w:tcPr>
            <w:tcW w:w="0" w:type="dxa"/>
            <w:vAlign w:val="bottom"/>
          </w:tcPr>
          <w:p>
            <w:pPr>
              <w:spacing w:after="0"/>
              <w:rPr>
                <w:sz w:val="1"/>
                <w:szCs w:val="1"/>
                <w:color w:val="auto"/>
              </w:rPr>
            </w:pPr>
          </w:p>
        </w:tc>
      </w:tr>
      <w:tr>
        <w:trPr>
          <w:trHeight w:val="206"/>
        </w:trPr>
        <w:tc>
          <w:tcPr>
            <w:tcW w:w="6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7"/>
              </w:rPr>
              <w:t>PART IV.</w:t>
            </w:r>
          </w:p>
        </w:tc>
        <w:tc>
          <w:tcPr>
            <w:tcW w:w="740" w:type="dxa"/>
            <w:vAlign w:val="bottom"/>
            <w:gridSpan w:val="3"/>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15.</w:t>
            </w:r>
          </w:p>
        </w:tc>
        <w:tc>
          <w:tcPr>
            <w:tcW w:w="42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6"/>
              </w:rPr>
              <w:t>EXHIBITS AND FINANCIAL STATEMENT SCHEDULE</w:t>
            </w:r>
          </w:p>
        </w:tc>
        <w:tc>
          <w:tcPr>
            <w:tcW w:w="4580" w:type="dxa"/>
            <w:vAlign w:val="bottom"/>
            <w:gridSpan w:val="10"/>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00FF"/>
              </w:rPr>
              <w:t>105</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16.</w:t>
            </w:r>
          </w:p>
        </w:tc>
        <w:tc>
          <w:tcPr>
            <w:tcW w:w="8860" w:type="dxa"/>
            <w:vAlign w:val="bottom"/>
            <w:gridSpan w:val="25"/>
          </w:tcPr>
          <w:p>
            <w:pPr>
              <w:spacing w:after="0"/>
              <w:rPr>
                <w:sz w:val="20"/>
                <w:szCs w:val="20"/>
                <w:color w:val="auto"/>
              </w:rPr>
            </w:pPr>
            <w:r>
              <w:rPr>
                <w:rFonts w:ascii="Arial" w:cs="Arial" w:eastAsia="Arial" w:hAnsi="Arial"/>
                <w:sz w:val="18"/>
                <w:szCs w:val="18"/>
                <w:color w:val="0000FF"/>
              </w:rPr>
              <w:t>FORM 10-K SUMMARY</w:t>
            </w:r>
          </w:p>
        </w:tc>
        <w:tc>
          <w:tcPr>
            <w:tcW w:w="920" w:type="dxa"/>
            <w:vAlign w:val="bottom"/>
          </w:tcPr>
          <w:p>
            <w:pPr>
              <w:jc w:val="right"/>
              <w:spacing w:after="0"/>
              <w:rPr>
                <w:sz w:val="20"/>
                <w:szCs w:val="20"/>
                <w:color w:val="auto"/>
              </w:rPr>
            </w:pPr>
            <w:r>
              <w:rPr>
                <w:rFonts w:ascii="Arial" w:cs="Arial" w:eastAsia="Arial" w:hAnsi="Arial"/>
                <w:sz w:val="18"/>
                <w:szCs w:val="18"/>
                <w:color w:val="0000FF"/>
              </w:rPr>
              <w:t>111</w:t>
            </w:r>
          </w:p>
        </w:tc>
        <w:tc>
          <w:tcPr>
            <w:tcW w:w="0" w:type="dxa"/>
            <w:vAlign w:val="bottom"/>
          </w:tcPr>
          <w:p>
            <w:pPr>
              <w:spacing w:after="0"/>
              <w:rPr>
                <w:sz w:val="1"/>
                <w:szCs w:val="1"/>
                <w:color w:val="auto"/>
              </w:rPr>
            </w:pPr>
          </w:p>
        </w:tc>
      </w:tr>
      <w:tr>
        <w:trPr>
          <w:trHeight w:val="206"/>
        </w:trPr>
        <w:tc>
          <w:tcPr>
            <w:tcW w:w="142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00FF"/>
              </w:rPr>
              <w:t>112</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8"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Unless the context requires otherwise, all references in this Annual Report on Form 10-K to “Casella Waste Systems, Inc.”, “Casella”, the “Company”, “we”, “us” or “our” refer to Casella Waste Systems, Inc. and its consolidated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Annual Report on Form 10-K contains or incorporates a number of forward-looking statements within the meaning of Section 27A of the Securities Act of 1933, as amended, and Section 21E of the Exchange Act of 1934, as amended.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We cannot guarantee that we actually will achieve the plans, intentions or expectations disclosed in the forward-looking statements made. The occurrence of the events described and the achievement of the expected results depends on many events, some or all of which are not predictable or within our control. Actual results may differ materially from those set forth in the forward-looking statements. Among the factors that could cause actual results to differ materially from the expectations expressed in the forward-looking statements are:</w:t>
      </w:r>
    </w:p>
    <w:p>
      <w:pPr>
        <w:spacing w:after="0" w:line="11" w:lineRule="exact"/>
        <w:rPr>
          <w:sz w:val="20"/>
          <w:szCs w:val="20"/>
          <w:color w:val="auto"/>
        </w:rPr>
      </w:pPr>
    </w:p>
    <w:p>
      <w:pPr>
        <w:ind w:left="480" w:right="180" w:hanging="314"/>
        <w:spacing w:after="0" w:line="300" w:lineRule="auto"/>
        <w:tabs>
          <w:tab w:leader="none" w:pos="475" w:val="left"/>
        </w:tabs>
        <w:numPr>
          <w:ilvl w:val="0"/>
          <w:numId w:val="2"/>
        </w:numPr>
        <w:rPr>
          <w:rFonts w:ascii="Arial" w:cs="Arial" w:eastAsia="Arial" w:hAnsi="Arial"/>
          <w:sz w:val="16"/>
          <w:szCs w:val="16"/>
          <w:color w:val="auto"/>
        </w:rPr>
      </w:pPr>
      <w:r>
        <w:rPr>
          <w:rFonts w:ascii="Arial" w:cs="Arial" w:eastAsia="Arial" w:hAnsi="Arial"/>
          <w:sz w:val="16"/>
          <w:szCs w:val="16"/>
          <w:color w:val="auto"/>
        </w:rPr>
        <w:t>general economic factors, such as ongoing or potential geopolitical conflict, pandemics, recessions, or similar national or global events, and general macroeconomic conditions, including, among other things, consumer confidence, global supply chain disruptions, inflation, labor supply, fuel prices, interest rates and access to capital markets that generally are not within our control, and our exposure to credit and counterparty risk;</w:t>
      </w:r>
    </w:p>
    <w:p>
      <w:pPr>
        <w:spacing w:after="0" w:line="1" w:lineRule="exact"/>
        <w:rPr>
          <w:rFonts w:ascii="Arial" w:cs="Arial" w:eastAsia="Arial" w:hAnsi="Arial"/>
          <w:sz w:val="16"/>
          <w:szCs w:val="16"/>
          <w:color w:val="auto"/>
        </w:rPr>
      </w:pPr>
    </w:p>
    <w:p>
      <w:pPr>
        <w:ind w:left="480" w:hanging="31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fluctuations in the commodity pricing of our recyclables, increases in landfill tipping fees and fuel costs and general economic and weather conditions;</w:t>
      </w:r>
    </w:p>
    <w:p>
      <w:pPr>
        <w:spacing w:after="0" w:line="81" w:lineRule="exact"/>
        <w:rPr>
          <w:rFonts w:ascii="Arial" w:cs="Arial" w:eastAsia="Arial" w:hAnsi="Arial"/>
          <w:sz w:val="16"/>
          <w:szCs w:val="16"/>
          <w:color w:val="auto"/>
        </w:rPr>
      </w:pPr>
    </w:p>
    <w:p>
      <w:pPr>
        <w:ind w:left="480" w:right="220" w:hanging="314"/>
        <w:spacing w:after="0" w:line="266" w:lineRule="auto"/>
        <w:tabs>
          <w:tab w:leader="none" w:pos="47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11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 We explicitly disclaim any obligation to update any forward-looking statements whether as a result of new information, future events or otherwise, except as otherwise required by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Casella Waste Systems, Inc.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We provide integrated solid waste services in seven states: Vermont, New Hampshire, New York, Massachusetts, Connecticut, Maine and Pennsylvania, with our headquarters located in Rutland, Vermont.</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w:t>
      </w:r>
    </w:p>
    <w:p>
      <w:pPr>
        <w:spacing w:after="0" w:line="56"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For more information about our reportable operating segments, please see "</w:t>
      </w:r>
      <w:r>
        <w:rPr>
          <w:rFonts w:ascii="Arial" w:cs="Arial" w:eastAsia="Arial" w:hAnsi="Arial"/>
          <w:sz w:val="18"/>
          <w:szCs w:val="18"/>
          <w:i w:val="1"/>
          <w:iCs w:val="1"/>
          <w:color w:val="auto"/>
        </w:rPr>
        <w:t>Operational Overview</w:t>
      </w:r>
      <w:r>
        <w:rPr>
          <w:rFonts w:ascii="Arial" w:cs="Arial" w:eastAsia="Arial" w:hAnsi="Arial"/>
          <w:sz w:val="18"/>
          <w:szCs w:val="18"/>
          <w:color w:val="auto"/>
        </w:rPr>
        <w:t xml:space="preserve">." For financial information concerning our reportable operating segments, refer to “Item 7. </w:t>
      </w:r>
      <w:r>
        <w:rPr>
          <w:rFonts w:ascii="Arial" w:cs="Arial" w:eastAsia="Arial" w:hAnsi="Arial"/>
          <w:sz w:val="18"/>
          <w:szCs w:val="18"/>
          <w:i w:val="1"/>
          <w:iCs w:val="1"/>
          <w:color w:val="auto"/>
        </w:rPr>
        <w:t>Management’s Discussion and Analysis of Results of Operations and Financial Condition</w:t>
      </w:r>
      <w:r>
        <w:rPr>
          <w:rFonts w:ascii="Arial" w:cs="Arial" w:eastAsia="Arial" w:hAnsi="Arial"/>
          <w:sz w:val="18"/>
          <w:szCs w:val="18"/>
          <w:color w:val="auto"/>
        </w:rPr>
        <w:t xml:space="preserve">” and “Item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 of this Annual Report on Form 10-K.</w:t>
      </w:r>
    </w:p>
    <w:p>
      <w:pPr>
        <w:spacing w:after="0" w:line="8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i w:val="1"/>
          <w:iCs w:val="1"/>
          <w:color w:val="auto"/>
        </w:rPr>
        <w:t>www.casella.com</w:t>
      </w:r>
      <w:r>
        <w:rPr>
          <w:rFonts w:ascii="Arial" w:cs="Arial" w:eastAsia="Arial" w:hAnsi="Arial"/>
          <w:sz w:val="18"/>
          <w:szCs w:val="18"/>
          <w:color w:val="auto"/>
        </w:rPr>
        <w:t>. We make available, free of charge through our website, our Annual Reports on Form 10-K, Quarterly Reports on Form 10-Q, Current Reports on Form 8-K, Proxy Statements on Schedule 14A, and any amendments to those materials filed pursuant to Sections 13(a) and 15(d) of the Securities Exchange Act of 1934, as amended. We make these reports available through our website as soon as reasonably practicable after we electronically file such materials with or furnish them to the Securities and Exchange Commission (“SEC”). The information found on our website is not part of this or any other report we file with or furnish to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1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goal is to maintain and build lasting shareholder value by providing exemplary service to our customers, while operating safe and environmentally sound facilities. Over the last decade, we have worked with many of our key customers to improve their environmental footprint and to meet sustainability goals by increasing their recycling rates, diverting organic materials out of the waste stream into beneficial use processes, and partnering to develop resource solutions within their organizations. Since we first began operating in Vermont in 1975, our business strategy has been firmly tied to creating a sustainable resource management model, and we continue to be rooted in these same tenets today.</w:t>
      </w:r>
    </w:p>
    <w:p>
      <w:pPr>
        <w:spacing w:after="0" w:line="75" w:lineRule="exact"/>
        <w:rPr>
          <w:sz w:val="20"/>
          <w:szCs w:val="20"/>
          <w:color w:val="auto"/>
        </w:rPr>
      </w:pPr>
    </w:p>
    <w:p>
      <w:pPr>
        <w:jc w:val="both"/>
        <w:ind w:right="60"/>
        <w:spacing w:after="0" w:line="278" w:lineRule="auto"/>
        <w:rPr>
          <w:sz w:val="20"/>
          <w:szCs w:val="20"/>
          <w:color w:val="auto"/>
        </w:rPr>
      </w:pPr>
      <w:r>
        <w:rPr>
          <w:rFonts w:ascii="Arial" w:cs="Arial" w:eastAsia="Arial" w:hAnsi="Arial"/>
          <w:sz w:val="17"/>
          <w:szCs w:val="17"/>
          <w:color w:val="auto"/>
        </w:rPr>
        <w:t>We continue to invest in resources (team, technology, facilities, and capital) to further develop this important long-term strategy that we believe will continue to differentiate our service offerings to our customers, make us an employer of choice for our people, and improve our economic returns. We strive to create long-term value for all of our stakeholders, including customers, employees, communities and shareholders.</w:t>
      </w:r>
    </w:p>
    <w:p>
      <w:pPr>
        <w:spacing w:after="0" w:line="6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primary objective is to maximize long-term shareholder value through a combination of financial performance and strategic asset positioning. Annually, we complete a comprehensive strategic planning process to assess and refine our strategic objectives in the context of our asset mix, the current market environment and opportunity set for growth. This process helps the management team allocate resources to a range of business opportunities with the goal to maximize long-term financial returns and competitive positioning.</w:t>
      </w:r>
    </w:p>
    <w:p>
      <w:pPr>
        <w:spacing w:after="0" w:line="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February 2022, we announced an updated long-term strategic plan through our fiscal year ending December 31, 2024 (the "2024 Plan"). The key strategies of the 2024 Plan, set forth below, reflect our continued focus on creating shareholder value through execution against our core competencies, disciplined growth strategy and strengthening foundational pillars.</w:t>
      </w:r>
    </w:p>
    <w:p>
      <w:pPr>
        <w:spacing w:after="0" w:line="29" w:lineRule="exact"/>
        <w:rPr>
          <w:sz w:val="20"/>
          <w:szCs w:val="20"/>
          <w:color w:val="auto"/>
        </w:rPr>
      </w:pPr>
    </w:p>
    <w:p>
      <w:pPr>
        <w:ind w:left="640" w:hanging="315"/>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8"/>
          <w:szCs w:val="18"/>
          <w:color w:val="auto"/>
        </w:rPr>
        <w:t>Increasing landfill returns;</w:t>
      </w:r>
    </w:p>
    <w:p>
      <w:pPr>
        <w:spacing w:after="0" w:line="58" w:lineRule="exact"/>
        <w:rPr>
          <w:rFonts w:ascii="Arial" w:cs="Arial" w:eastAsia="Arial" w:hAnsi="Arial"/>
          <w:sz w:val="16"/>
          <w:szCs w:val="16"/>
          <w:color w:val="auto"/>
        </w:rPr>
      </w:pPr>
    </w:p>
    <w:p>
      <w:pPr>
        <w:ind w:left="640" w:hanging="315"/>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8"/>
          <w:szCs w:val="18"/>
          <w:color w:val="auto"/>
        </w:rPr>
        <w:t>Driving additional profitability in collection operations;</w:t>
      </w:r>
    </w:p>
    <w:p>
      <w:pPr>
        <w:spacing w:after="0" w:line="58" w:lineRule="exact"/>
        <w:rPr>
          <w:rFonts w:ascii="Arial" w:cs="Arial" w:eastAsia="Arial" w:hAnsi="Arial"/>
          <w:sz w:val="16"/>
          <w:szCs w:val="16"/>
          <w:color w:val="auto"/>
        </w:rPr>
      </w:pPr>
    </w:p>
    <w:p>
      <w:pPr>
        <w:ind w:left="640" w:hanging="315"/>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8"/>
          <w:szCs w:val="18"/>
          <w:color w:val="auto"/>
        </w:rPr>
        <w:t>Creating incremental value through Resource Solutions;</w:t>
      </w:r>
    </w:p>
    <w:p>
      <w:pPr>
        <w:spacing w:after="0" w:line="58" w:lineRule="exact"/>
        <w:rPr>
          <w:rFonts w:ascii="Arial" w:cs="Arial" w:eastAsia="Arial" w:hAnsi="Arial"/>
          <w:sz w:val="16"/>
          <w:szCs w:val="16"/>
          <w:color w:val="auto"/>
        </w:rPr>
      </w:pPr>
    </w:p>
    <w:p>
      <w:pPr>
        <w:ind w:left="640" w:hanging="315"/>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8"/>
          <w:szCs w:val="18"/>
          <w:color w:val="auto"/>
        </w:rPr>
        <w:t>Allocating capital to return driven growth; and</w:t>
      </w:r>
    </w:p>
    <w:p>
      <w:pPr>
        <w:spacing w:after="0" w:line="58" w:lineRule="exact"/>
        <w:rPr>
          <w:rFonts w:ascii="Arial" w:cs="Arial" w:eastAsia="Arial" w:hAnsi="Arial"/>
          <w:sz w:val="16"/>
          <w:szCs w:val="16"/>
          <w:color w:val="auto"/>
        </w:rPr>
      </w:pPr>
    </w:p>
    <w:p>
      <w:pPr>
        <w:ind w:left="640" w:hanging="315"/>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8"/>
          <w:szCs w:val="18"/>
          <w:color w:val="auto"/>
        </w:rPr>
        <w:t>Strengthening four key foundational pillars:</w:t>
      </w:r>
    </w:p>
    <w:p>
      <w:pPr>
        <w:spacing w:after="0" w:line="58" w:lineRule="exact"/>
        <w:rPr>
          <w:rFonts w:ascii="Arial" w:cs="Arial" w:eastAsia="Arial" w:hAnsi="Arial"/>
          <w:sz w:val="16"/>
          <w:szCs w:val="16"/>
          <w:color w:val="auto"/>
        </w:rPr>
      </w:pPr>
    </w:p>
    <w:p>
      <w:pPr>
        <w:ind w:left="1120" w:hanging="316"/>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People: Developing a safe, engaged, ready workforce to support growth.</w:t>
      </w:r>
    </w:p>
    <w:p>
      <w:pPr>
        <w:spacing w:after="0" w:line="58" w:lineRule="exact"/>
        <w:rPr>
          <w:rFonts w:ascii="Arial" w:cs="Arial" w:eastAsia="Arial" w:hAnsi="Arial"/>
          <w:sz w:val="18"/>
          <w:szCs w:val="18"/>
          <w:color w:val="auto"/>
        </w:rPr>
      </w:pPr>
    </w:p>
    <w:p>
      <w:pPr>
        <w:ind w:left="1120" w:hanging="316"/>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Sustainable Growth: Driving profitable growth through an integrated resource solutions approach.</w:t>
      </w:r>
    </w:p>
    <w:p>
      <w:pPr>
        <w:spacing w:after="0" w:line="58" w:lineRule="exact"/>
        <w:rPr>
          <w:rFonts w:ascii="Arial" w:cs="Arial" w:eastAsia="Arial" w:hAnsi="Arial"/>
          <w:sz w:val="18"/>
          <w:szCs w:val="18"/>
          <w:color w:val="auto"/>
        </w:rPr>
      </w:pPr>
    </w:p>
    <w:p>
      <w:pPr>
        <w:ind w:left="1120" w:hanging="316"/>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Technology: Driving profitable growth and efficiencies through technology.</w:t>
      </w:r>
    </w:p>
    <w:p>
      <w:pPr>
        <w:spacing w:after="0" w:line="58" w:lineRule="exact"/>
        <w:rPr>
          <w:rFonts w:ascii="Arial" w:cs="Arial" w:eastAsia="Arial" w:hAnsi="Arial"/>
          <w:sz w:val="18"/>
          <w:szCs w:val="18"/>
          <w:color w:val="auto"/>
        </w:rPr>
      </w:pPr>
    </w:p>
    <w:p>
      <w:pPr>
        <w:ind w:left="1120" w:hanging="316"/>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Facilities: Developing necessary long-term infrastructure through facilities planning.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Landfill Returns</w:t>
      </w:r>
    </w:p>
    <w:p>
      <w:pPr>
        <w:spacing w:after="0" w:line="11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Disposal capacity continues to tighten in the Northeast market as permanent site closures are reducing capacity. Given this supply-demand imbalance and the positioning of our assets, we were able to advance landfill pricing by 5.0% for the fiscal year ended December 31, 2022 ("fiscal year 2022"), as compared to the fiscal year ended December 31, 2021 ("fiscal year 2021").</w:t>
      </w:r>
    </w:p>
    <w:p>
      <w:pPr>
        <w:spacing w:after="0" w:line="82" w:lineRule="exact"/>
        <w:rPr>
          <w:sz w:val="20"/>
          <w:szCs w:val="20"/>
          <w:color w:val="auto"/>
        </w:rPr>
      </w:pPr>
    </w:p>
    <w:p>
      <w:pPr>
        <w:ind w:right="420"/>
        <w:spacing w:after="0" w:line="303" w:lineRule="auto"/>
        <w:rPr>
          <w:sz w:val="20"/>
          <w:szCs w:val="20"/>
          <w:color w:val="auto"/>
        </w:rPr>
      </w:pPr>
      <w:r>
        <w:rPr>
          <w:rFonts w:ascii="Arial" w:cs="Arial" w:eastAsia="Arial" w:hAnsi="Arial"/>
          <w:sz w:val="16"/>
          <w:szCs w:val="16"/>
          <w:color w:val="auto"/>
        </w:rPr>
        <w:t>We believe that this positive pricing backdrop will continue as additional site closures are expected over the next several years, and we expect the combination of our pricing programs and operational initiatives to outpace our cost inflation. In addition, we continue to focus our acquisition efforts on businesses and markets that are expected to increase vertical integration to our landfills to help drive higher cash flows and to decrease market risk.</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On the landfill development side, we continue to advance key permitting activities across our landfills to increase annual capacity limits at select sites and expand total permitted capacity across our footprint. Since early 2016, we have been successful in advancing permit increases at our Subtitle D landfills located in Angelica, New York (“Hyland Landfill”), Seneca, New York (“Ontario County Landfill”), Chemung, New York ("Chemung County Landfill"), West Old Town, Maine ("Juniper Ridge Landfill"), Schuyler Falls, New York (“Clinton County Landfill”), Coventry, Vermont ("Waste USA Landfill"), Campbell, New York (“Hakes Landfill”) and Bethlehem, New Hampshire ("NCES Landfill"). Cumulatively, these efforts have added approximately 0.5 million tons per year of permitted capacity and approximately 50.9 million cubic yards of permitted airspace.</w:t>
      </w:r>
    </w:p>
    <w:p>
      <w:pPr>
        <w:spacing w:after="0" w:line="73"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color w:val="auto"/>
        </w:rPr>
        <w:t>We also continue to focus on improving our landfill operations through various initiatives related to safety, compliance, operating practices, and capital efficiency programs.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Driving Additional Profitability in Collection Operations</w:t>
      </w:r>
    </w:p>
    <w:p>
      <w:pPr>
        <w:spacing w:after="0" w:line="8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Collection pricing was up 7.0% for fiscal year 2022, as compared to fiscal year 2021, with sustained execution against our strategic pricing programs, which helped to offset inflationary pressures. On the operating side, we continue to advance several key areas, including route optimization, fleet standardization and automation, and maintenance programs to further reduce our operating costs and further improve safety in the collection line-of-business. Our comprehensive fleet plan is designed to optimize our fleet and target truck replacements to maximize returns, reduce our operating expenses through lower maintenance costs, improve our service levels through reduced down times, and increase automation and optimization of trucks and service types. From a technology perspective, we continue to advance business intelligence tools that provide our teams with actionable data as well as investment and deployment of on-board-computers and cameras designed to enhance safety and service and modernize our fleet. We also remain focused on acquisition integration as we work diligently to onboard new customers and employees, while enhancing service accuracy, increasing operating efficiencies, and optimizing the internalization of solid waste and recycling volumes into our facilities.</w:t>
      </w:r>
    </w:p>
    <w:p>
      <w:pPr>
        <w:spacing w:after="0" w:line="8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combination of these operating advancements and pricing programs are driving improved results in our collection line-of-business, with our cost of operations as a percentage of revenues down approximately 280 basis points in fiscal year 2022 as compared to the twelve months ended December 31, 2019 ("fiscal year 2019").</w:t>
      </w:r>
    </w:p>
    <w:p>
      <w:pPr>
        <w:spacing w:after="0" w:line="69" w:lineRule="exact"/>
        <w:rPr>
          <w:sz w:val="20"/>
          <w:szCs w:val="20"/>
          <w:color w:val="auto"/>
        </w:rPr>
      </w:pPr>
    </w:p>
    <w:p>
      <w:pPr>
        <w:jc w:val="both"/>
        <w:ind w:right="80"/>
        <w:spacing w:after="0" w:line="235" w:lineRule="auto"/>
        <w:rPr>
          <w:sz w:val="20"/>
          <w:szCs w:val="20"/>
          <w:color w:val="auto"/>
        </w:rPr>
      </w:pPr>
      <w:r>
        <w:rPr>
          <w:rFonts w:ascii="Arial" w:cs="Arial" w:eastAsia="Arial" w:hAnsi="Arial"/>
          <w:sz w:val="18"/>
          <w:szCs w:val="18"/>
          <w:color w:val="auto"/>
        </w:rPr>
        <w:t>We also remain focused on mitigating fuel cost exposure through our floating fuel cost recovery fee program. In fiscal year 2022, as fuel prices increased, we were able to fully offset higher fuel costs with revenues associated with this program, albeit we experienced margin compression as the program is designed to recover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Creating Incremental Value Through Resource Solutions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Resource Solutions operating segment's business strategy is focused on driving value-added resource management and sustainability-oriented solutions to our customers. These solutions range from professional services to large industrial, institutional or multi-site retail customers, our organics business, which is a leader in organics processing and disposal in the Northeast, and our large scale, technology-driven recycling business.</w:t>
      </w:r>
    </w:p>
    <w:p>
      <w:pPr>
        <w:spacing w:after="0" w:line="6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leverage our core competencies in materials processing, industrial recycling, organics and resource management service offerings to deliver a comprehensive solution for our larger commercial, municipal, institutional, and industrial customers with more diverse waste and recycling needs. Our processing operations consist of our recycling and biosolids facilities where we receive inbound materials, process the volume, and sell the resulting products into end markets.</w:t>
      </w:r>
    </w:p>
    <w:p>
      <w:pPr>
        <w:spacing w:after="0" w:line="8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 xml:space="preserve">We have worked to reshape our recycling business model to drive higher returns in all market cycles and reduce exposure to recycling commodity price volatility. We have accomplished this goal by: </w:t>
      </w:r>
      <w:r>
        <w:rPr>
          <w:rFonts w:ascii="Arial" w:cs="Arial" w:eastAsia="Arial" w:hAnsi="Arial"/>
          <w:sz w:val="14"/>
          <w:szCs w:val="14"/>
          <w:color w:val="auto"/>
        </w:rPr>
        <w:t>(1)</w:t>
      </w:r>
      <w:r>
        <w:rPr>
          <w:rFonts w:ascii="Arial" w:cs="Arial" w:eastAsia="Arial" w:hAnsi="Arial"/>
          <w:sz w:val="17"/>
          <w:szCs w:val="17"/>
          <w:color w:val="auto"/>
        </w:rPr>
        <w:t xml:space="preserve"> restructuring most third-party processing contracts to limit downside risk by charging processing fees; </w:t>
      </w:r>
      <w:r>
        <w:rPr>
          <w:rFonts w:ascii="Arial" w:cs="Arial" w:eastAsia="Arial" w:hAnsi="Arial"/>
          <w:sz w:val="14"/>
          <w:szCs w:val="14"/>
          <w:color w:val="auto"/>
        </w:rPr>
        <w:t>(2)</w:t>
      </w:r>
      <w:r>
        <w:rPr>
          <w:rFonts w:ascii="Arial" w:cs="Arial" w:eastAsia="Arial" w:hAnsi="Arial"/>
          <w:sz w:val="17"/>
          <w:szCs w:val="17"/>
          <w:color w:val="auto"/>
        </w:rPr>
        <w:t xml:space="preserve"> implementing our sustainability recycling adjustment fee (“SRA Fee(s)”) for our collection customers (the SRA Fee floats inversely to changes in recycling commodity prices); </w:t>
      </w:r>
      <w:r>
        <w:rPr>
          <w:rFonts w:ascii="Arial" w:cs="Arial" w:eastAsia="Arial" w:hAnsi="Arial"/>
          <w:sz w:val="14"/>
          <w:szCs w:val="14"/>
          <w:color w:val="auto"/>
        </w:rPr>
        <w:t>(3)</w:t>
      </w:r>
      <w:r>
        <w:rPr>
          <w:rFonts w:ascii="Arial" w:cs="Arial" w:eastAsia="Arial" w:hAnsi="Arial"/>
          <w:sz w:val="17"/>
          <w:szCs w:val="17"/>
          <w:color w:val="auto"/>
        </w:rPr>
        <w:t xml:space="preserve"> making key investments in recycling processing infrastructure to reduce operating costs and improve the quality of the end commodities; and </w:t>
      </w:r>
      <w:r>
        <w:rPr>
          <w:rFonts w:ascii="Arial" w:cs="Arial" w:eastAsia="Arial" w:hAnsi="Arial"/>
          <w:sz w:val="14"/>
          <w:szCs w:val="14"/>
          <w:color w:val="auto"/>
        </w:rPr>
        <w:t>(4)</w:t>
      </w:r>
      <w:r>
        <w:rPr>
          <w:rFonts w:ascii="Arial" w:cs="Arial" w:eastAsia="Arial" w:hAnsi="Arial"/>
          <w:sz w:val="17"/>
          <w:szCs w:val="17"/>
          <w:color w:val="auto"/>
        </w:rPr>
        <w:t xml:space="preserve"> developing strong partnerships with industrial consumers of recycled materials to ensure that the materials our customers recycle make their way into new products and beneficial uses. Where implemented, our risk mitigation programs offset most recycling commodity price decline and also allow us to return value to our customers with higher recycling commodity prices through lower tipping fees and a lower SRA fee. We expect these programs to continue to reduce our commodity risk exposure.</w:t>
      </w:r>
    </w:p>
    <w:p>
      <w:pPr>
        <w:spacing w:after="0" w:line="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non-processing operations, which we refer to as our Customer Solutions business, consist of brokerage and resource management services provided to large customers with broad sustainability needs. This professional services business continues to make progress pivoting from the legacy waste and recycling brokerage model to an advisory services organization focused on helping large industrial and institutional customers develop and achieve actionable resource management and sustainability goals.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Allocating Capital to Return-Driven Growth</w:t>
      </w:r>
    </w:p>
    <w:p>
      <w:pPr>
        <w:spacing w:after="0" w:line="11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Over the last decade, we have made significant progress in simplifying our business structure, improving cash flows and reducing risk exposure by: </w:t>
      </w:r>
      <w:r>
        <w:rPr>
          <w:rFonts w:ascii="Arial" w:cs="Arial" w:eastAsia="Arial" w:hAnsi="Arial"/>
          <w:sz w:val="13"/>
          <w:szCs w:val="13"/>
          <w:color w:val="auto"/>
        </w:rPr>
        <w:t>(1)</w:t>
      </w:r>
      <w:r>
        <w:rPr>
          <w:rFonts w:ascii="Arial" w:cs="Arial" w:eastAsia="Arial" w:hAnsi="Arial"/>
          <w:sz w:val="16"/>
          <w:szCs w:val="16"/>
          <w:color w:val="auto"/>
        </w:rPr>
        <w:t xml:space="preserve"> divesting, or in certain cases, closing underperforming operations that did not enhance or complement our core operations; </w:t>
      </w:r>
      <w:r>
        <w:rPr>
          <w:rFonts w:ascii="Arial" w:cs="Arial" w:eastAsia="Arial" w:hAnsi="Arial"/>
          <w:sz w:val="13"/>
          <w:szCs w:val="13"/>
          <w:color w:val="auto"/>
        </w:rPr>
        <w:t>(2)</w:t>
      </w:r>
      <w:r>
        <w:rPr>
          <w:rFonts w:ascii="Arial" w:cs="Arial" w:eastAsia="Arial" w:hAnsi="Arial"/>
          <w:sz w:val="16"/>
          <w:szCs w:val="16"/>
          <w:color w:val="auto"/>
        </w:rPr>
        <w:t xml:space="preserve"> refinancing debt to lower interest costs and improve financial flexibility; and </w:t>
      </w:r>
      <w:r>
        <w:rPr>
          <w:rFonts w:ascii="Arial" w:cs="Arial" w:eastAsia="Arial" w:hAnsi="Arial"/>
          <w:sz w:val="13"/>
          <w:szCs w:val="13"/>
          <w:color w:val="auto"/>
        </w:rPr>
        <w:t>(3)</w:t>
      </w:r>
      <w:r>
        <w:rPr>
          <w:rFonts w:ascii="Arial" w:cs="Arial" w:eastAsia="Arial" w:hAnsi="Arial"/>
          <w:sz w:val="16"/>
          <w:szCs w:val="16"/>
          <w:color w:val="auto"/>
        </w:rPr>
        <w:t xml:space="preserve"> adhering to strict capital discipline and debt repayment. As a result of these actions, we have significantly reduced our consolidated net leverage ratio to 2.08x as of December 31, 2022. See Item 7.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of this Annual Report on Form 10-K for more disclosure about our consolidated net leverage ratio.</w:t>
      </w:r>
    </w:p>
    <w:p>
      <w:pPr>
        <w:spacing w:after="0" w:line="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aim to deploy capital in a disciplined manner and continue to grow the business through opportunistic acquisition and development activity, while maintaining conservative debt leverage levels. As part of this strategy, we set a goal through the fiscal year ending December 31, 2024 of adding more than $30 million per year of annualized revenues through acquisition or development activity.</w:t>
      </w:r>
    </w:p>
    <w:p>
      <w:pPr>
        <w:spacing w:after="0" w:line="8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continue to make significant progress ramping up our strategic growth initiative as we have acquired 53 solid waste collection, transfer and recycling businesses since the beginning of the fiscal year ended December 31, 2018 ("fiscal year 2018") through fiscal year 2022 with approximately $291 million of total annualized revenues. This includes 14 solid waste, collection, transfer and recycling businesses acquired in fiscal year 2022 with approximately $51 million in total annualized revenues. We expect roll-over revenue growth of approximately $15.5 million in the fiscal year ending December 31, 2023 ("fiscal year 2023") from acquisitions completed in fiscal year 2022.</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strength of our balance sheet coupled with a robust acquisition pipeline positions us well for continued execution against our growth strategy.</w:t>
      </w:r>
    </w:p>
    <w:p>
      <w:pPr>
        <w:spacing w:after="0" w:line="13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It is our view that acquisition or development activity should be opportunistic, and we plan to adhere to our disciplined capital return hurdles and rigorous review and risk management process. We are focused on acquiring well-run businesses in strategic markets across our footprint and in adjacent markets that will drive additional internalization to our facilities, operating synergies, and opportunities to grow profitably into new market areas. We are also focused on more effectively optimizing waste placement around the Northeast as the ever-tightening disposal market is creating additional opportunities to source new volumes at higher prices.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Strengthening Foundational Pillars</w:t>
      </w:r>
    </w:p>
    <w:p>
      <w:pPr>
        <w:spacing w:after="0" w:line="112" w:lineRule="exact"/>
        <w:rPr>
          <w:sz w:val="20"/>
          <w:szCs w:val="20"/>
          <w:color w:val="auto"/>
        </w:rPr>
      </w:pPr>
    </w:p>
    <w:p>
      <w:pPr>
        <w:ind w:right="40"/>
        <w:spacing w:after="0" w:line="329" w:lineRule="auto"/>
        <w:rPr>
          <w:sz w:val="20"/>
          <w:szCs w:val="20"/>
          <w:color w:val="auto"/>
        </w:rPr>
      </w:pPr>
      <w:r>
        <w:rPr>
          <w:rFonts w:ascii="Arial" w:cs="Arial" w:eastAsia="Arial" w:hAnsi="Arial"/>
          <w:sz w:val="16"/>
          <w:szCs w:val="16"/>
          <w:color w:val="auto"/>
        </w:rPr>
        <w:t>Execution against the 2024 Plan is supported by strengthening our foundational pillars: people, sustainable growth, technology, and facilities. We believe that it is important to continue to invest in and strengthen our foundational pillars to support growth and further differentiate our business strategy.</w:t>
      </w:r>
    </w:p>
    <w:p>
      <w:pPr>
        <w:spacing w:after="0" w:line="13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 xml:space="preserve">People. </w:t>
      </w:r>
      <w:r>
        <w:rPr>
          <w:rFonts w:ascii="Arial" w:cs="Arial" w:eastAsia="Arial" w:hAnsi="Arial"/>
          <w:sz w:val="18"/>
          <w:szCs w:val="18"/>
          <w:color w:val="auto"/>
        </w:rPr>
        <w:t>We continue to invest in our people through leadership development, career paths program, technical training for key roles such as drivers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mechanics, and incentive compensation structures that seek to align our employees’ incentives with our long-term goal to improve cash flows and returns on invested capital. We have grown our workforce to approximately 3,200 employees and we believe that continuing to invest in our team and culture, and creating a safe, engaged, and ready workforce is key to our continued success.</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Sustainable Growth. </w:t>
      </w:r>
      <w:r>
        <w:rPr>
          <w:rFonts w:ascii="Arial" w:cs="Arial" w:eastAsia="Arial" w:hAnsi="Arial"/>
          <w:sz w:val="18"/>
          <w:szCs w:val="18"/>
          <w:color w:val="auto"/>
        </w:rPr>
        <w:t>Execution against the key strategies within the 2024 Plan will be supported by our sustainable growth initiatives. We are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driving further value through profitable new customer growth and the expansion of services with existing customers. We have integrated our sales, marketing, engagement, customer care, communications, and sustainability functions in an effort to improve customer profitability, key customer retention, and new market growth opportunities through a differentiated sustainable service platform.</w:t>
      </w:r>
    </w:p>
    <w:p>
      <w:pPr>
        <w:spacing w:after="0" w:line="85"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We have increased our sales training and developed centralized processes, consistent sales metrics, and compensation programs to position us to further improve accountability and alignment across our organization. Our sustainable growth initiatives shape how we interact with our customers and with the communities we serve.</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Technology. </w:t>
      </w:r>
      <w:r>
        <w:rPr>
          <w:rFonts w:ascii="Arial" w:cs="Arial" w:eastAsia="Arial" w:hAnsi="Arial"/>
          <w:sz w:val="17"/>
          <w:szCs w:val="17"/>
          <w:color w:val="auto"/>
        </w:rPr>
        <w:t>In the fiscal year ended December 31, 2017 ("fiscal year 2017"), we launched a multi-year plan focused on driving operating and back-office cost</w:t>
      </w:r>
      <w:r>
        <w:rPr>
          <w:rFonts w:ascii="Arial" w:cs="Arial" w:eastAsia="Arial" w:hAnsi="Arial"/>
          <w:sz w:val="17"/>
          <w:szCs w:val="17"/>
          <w:i w:val="1"/>
          <w:iCs w:val="1"/>
          <w:color w:val="auto"/>
        </w:rPr>
        <w:t xml:space="preserve"> </w:t>
      </w:r>
      <w:r>
        <w:rPr>
          <w:rFonts w:ascii="Arial" w:cs="Arial" w:eastAsia="Arial" w:hAnsi="Arial"/>
          <w:sz w:val="17"/>
          <w:szCs w:val="17"/>
          <w:color w:val="auto"/>
        </w:rPr>
        <w:t>efficiencies, customer value, and strategic growth. Through fiscal year 2022, we have successfully implemented: a new Customer Resource Management system to help manage and drive higher sales force effectiveness, a new Case Management system to ensure strong integration between our sales force, customer care group and operating teams, a cloud-based Enterprise Resource Planning system as the financial backbone to our business, and a new digital procurement system to enhance spend category management and drive efficiencies.</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plan to continue our measured approach to technology implementation, with capital investment in select technologies that have long-term strategic fit, including our service management initiative to improve customer facing technology, operational efficiencies, and various back-office functions. This initiative also includes the implementation of route optimization software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and a new on-board computing platform to drive efficiencies, safety, and improve billings. We have also increased our access to actionable real-time data through continued improvements to our business intelligence software.</w:t>
      </w:r>
    </w:p>
    <w:p>
      <w:pPr>
        <w:spacing w:after="0" w:line="73"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 xml:space="preserve">Facilities. </w:t>
      </w:r>
      <w:r>
        <w:rPr>
          <w:rFonts w:ascii="Arial" w:cs="Arial" w:eastAsia="Arial" w:hAnsi="Arial"/>
          <w:sz w:val="18"/>
          <w:szCs w:val="18"/>
          <w:color w:val="auto"/>
        </w:rPr>
        <w:t>We believe prioritizing and allocating capital to meet our long-term facility needs will help to improve employee safety, operating efficiencies,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integration, and employee engagement. Our multi-year facility strategy helps to guide decisions related to facility expansions, consolidations, and relocations as well as key property or facility acquisitions. We are also focused on developing facility standards that will create a more welcoming and accommodating experience for our employees, customers, vendors, and site visitors. These attributes coupled with improved functional design aim to increase the attraction and retention of key roles across our organization.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18"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We believe that one of the most important factors in achieving our long-term strategy is to hire, develop, and retain employees who will be able to make good decisions for our business, customers and communities by adhering to our c</w:t>
      </w:r>
      <w:r>
        <w:rPr>
          <w:rFonts w:ascii="Arial" w:cs="Arial" w:eastAsia="Arial" w:hAnsi="Arial"/>
          <w:sz w:val="18"/>
          <w:szCs w:val="18"/>
          <w:i w:val="1"/>
          <w:iCs w:val="1"/>
          <w:color w:val="auto"/>
        </w:rPr>
        <w:t>ore values</w:t>
      </w:r>
      <w:r>
        <w:rPr>
          <w:rFonts w:ascii="Arial" w:cs="Arial" w:eastAsia="Arial" w:hAnsi="Arial"/>
          <w:sz w:val="18"/>
          <w:szCs w:val="18"/>
          <w:color w:val="auto"/>
        </w:rPr>
        <w:t xml:space="preserve"> of service, trust, responsibility, integrity, continuous improvement and teamwork ("Core Values"). Our team consists of drivers, vehicle technicians, equipment operators, recycling facility sorters, engineers, accountants, customer care specialists, and many other key roles.</w:t>
      </w:r>
    </w:p>
    <w:p>
      <w:pPr>
        <w:spacing w:after="0" w:line="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January 31, 2023, we employed approximately 3,200 employees, including approximately 640 managerial, sales, clerical, information systems or other administrative employees and approximately 2,560 employees involved in collection, transfer, disposal, recycling, organics or other operations. Approximately 150 of our employees are covered by collective bargaining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11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top priority across all of our operations is to protect the health and safety of our team and the communities that we serve. At the heart of our safety program are our safety and operations teams, who are dedicated to ensuring that every employee has a safe operating environment and the necessary training and personal protective equipment to safely conduct their role. The success of our safety programs and the performance of our health and safety and operations teams is measured by our total recordable incident rate, a measure of accidents and injuries compared to hours worked. Our extensive focus on new hire and ongoing training programs also helps us to manage and reduce operational risks for our front-line employees.</w:t>
      </w:r>
    </w:p>
    <w:p>
      <w:pPr>
        <w:spacing w:after="0" w:line="58" w:lineRule="exact"/>
        <w:rPr>
          <w:sz w:val="20"/>
          <w:szCs w:val="20"/>
          <w:color w:val="auto"/>
        </w:rPr>
      </w:pPr>
    </w:p>
    <w:p>
      <w:pPr>
        <w:ind w:right="640"/>
        <w:spacing w:after="0" w:line="296" w:lineRule="auto"/>
        <w:rPr>
          <w:sz w:val="20"/>
          <w:szCs w:val="20"/>
          <w:color w:val="auto"/>
        </w:rPr>
      </w:pPr>
      <w:r>
        <w:rPr>
          <w:rFonts w:ascii="Arial" w:cs="Arial" w:eastAsia="Arial" w:hAnsi="Arial"/>
          <w:sz w:val="17"/>
          <w:szCs w:val="17"/>
          <w:color w:val="auto"/>
        </w:rPr>
        <w:t>We are also focused on facility upgrades, enhancements, and standards that result in safety and operational improvements, while furthering employee engagement. We understand the importance of providing a safe and attractive environment for our employees to work.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 Programs</w:t>
      </w:r>
    </w:p>
    <w:p>
      <w:pPr>
        <w:spacing w:after="0" w:line="11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strive to provide the necessary resources to support the physical and mental health of our employees and the overall well-being of their families and the communities that we serve. We achieve this through our benefit programs, caring attitude towards our employees, deep engagement in our communities, and adherence to our Core Values. We are committed to offering high quality benefits at affordable rates, competitive compensation based on role, experience and performance, and a career paths program to encourage our team to advance throughout their employment with us. We conduct market-based surveys to ensure that our employees continue to be paid competitively, and we perform annual reviews to provide feedback and support the growth and development of our team.</w:t>
      </w:r>
    </w:p>
    <w:p>
      <w:pPr>
        <w:spacing w:after="0" w:line="89"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We offer our employees access to enhanced benefits such as a concierge surgery service, telemedicine options, access to a certified clinical pharmacist to support employees in managing their medications and healthcare budget, and online psychology appointments. We understand the importance of work-life balance for our team and offer eight weeks maternity leave as well as maintain a robust employee assistance program designed to provide support and guidance related to personal life challenges and events. Further, our Employee Life Navigator program is focused on employee retention, career development, and financial stability for at risk employees. Through comprehensive compensation and benefits, ongoing employee development, tuition reimbursement and a focus on health, safety and employee well-being, we wish to help our employees in all aspects of their lives so they can realize their value and do their best work.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12"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Our commitment to workplace diversity and equity, and to fostering a culture of inclusion is rooted in our Core Values. Our vision is to draw on our Core Values to achieve diversity throughout our workforce, including our leadership, through the following initiatives:</w:t>
      </w:r>
    </w:p>
    <w:p>
      <w:pPr>
        <w:spacing w:after="0" w:line="20" w:lineRule="exact"/>
        <w:rPr>
          <w:sz w:val="20"/>
          <w:szCs w:val="20"/>
          <w:color w:val="auto"/>
        </w:rPr>
      </w:pPr>
    </w:p>
    <w:p>
      <w:pPr>
        <w:ind w:left="480" w:right="280" w:hanging="314"/>
        <w:spacing w:after="0" w:line="266" w:lineRule="auto"/>
        <w:tabs>
          <w:tab w:leader="none" w:pos="47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directing recruiting efforts to new talent pools, promoting diversity in our training and development programs, and encouraging diversity within our process for advancing our next cohort of leaders;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0" w:hanging="314"/>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launching a cultural awareness and competency training program for managers that emphasizes diversity, equity, and inclusion; and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incorporating diversity, equity, and inclusion practices as part of our ongoing efforts to upgrade our procurement system and practices.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Engagement, Training and Development</w:t>
      </w:r>
    </w:p>
    <w:p>
      <w:pPr>
        <w:spacing w:after="0" w:line="112" w:lineRule="exact"/>
        <w:rPr>
          <w:sz w:val="20"/>
          <w:szCs w:val="20"/>
          <w:color w:val="auto"/>
        </w:rPr>
      </w:pPr>
    </w:p>
    <w:p>
      <w:pPr>
        <w:ind w:right="720"/>
        <w:spacing w:after="0" w:line="266" w:lineRule="auto"/>
        <w:rPr>
          <w:sz w:val="20"/>
          <w:szCs w:val="20"/>
          <w:color w:val="auto"/>
        </w:rPr>
      </w:pPr>
      <w:r>
        <w:rPr>
          <w:rFonts w:ascii="Arial" w:cs="Arial" w:eastAsia="Arial" w:hAnsi="Arial"/>
          <w:sz w:val="18"/>
          <w:szCs w:val="18"/>
          <w:color w:val="auto"/>
        </w:rPr>
        <w:t>We are committed to building people and cultivating engagement by investing in our career path program in order to provide a clear and measurable development pathway for career growth.</w:t>
      </w:r>
    </w:p>
    <w:p>
      <w:pPr>
        <w:spacing w:after="0" w:line="20" w:lineRule="exact"/>
        <w:rPr>
          <w:sz w:val="20"/>
          <w:szCs w:val="20"/>
          <w:color w:val="auto"/>
        </w:rPr>
      </w:pPr>
    </w:p>
    <w:p>
      <w:pPr>
        <w:ind w:left="480" w:right="900" w:hanging="314"/>
        <w:spacing w:after="0" w:line="266" w:lineRule="auto"/>
        <w:tabs>
          <w:tab w:leader="none" w:pos="47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Apprenticeships: </w:t>
      </w:r>
      <w:r>
        <w:rPr>
          <w:rFonts w:ascii="Arial" w:cs="Arial" w:eastAsia="Arial" w:hAnsi="Arial"/>
          <w:sz w:val="18"/>
          <w:szCs w:val="18"/>
          <w:color w:val="auto"/>
        </w:rPr>
        <w:t>We have developed an apprenticeship program for drivers and technicians, where we recruit new employees from diverse</w:t>
      </w:r>
      <w:r>
        <w:rPr>
          <w:rFonts w:ascii="Arial" w:cs="Arial" w:eastAsia="Arial" w:hAnsi="Arial"/>
          <w:sz w:val="18"/>
          <w:szCs w:val="18"/>
          <w:i w:val="1"/>
          <w:iCs w:val="1"/>
          <w:color w:val="auto"/>
        </w:rPr>
        <w:t xml:space="preserve"> </w:t>
      </w:r>
      <w:r>
        <w:rPr>
          <w:rFonts w:ascii="Arial" w:cs="Arial" w:eastAsia="Arial" w:hAnsi="Arial"/>
          <w:sz w:val="18"/>
          <w:szCs w:val="18"/>
          <w:color w:val="auto"/>
        </w:rPr>
        <w:t>backgrounds and help them build the skills they need to thrive in our organization.</w:t>
      </w:r>
    </w:p>
    <w:p>
      <w:pPr>
        <w:spacing w:after="0" w:line="19" w:lineRule="exact"/>
        <w:rPr>
          <w:rFonts w:ascii="Arial" w:cs="Arial" w:eastAsia="Arial" w:hAnsi="Arial"/>
          <w:sz w:val="18"/>
          <w:szCs w:val="18"/>
          <w:color w:val="auto"/>
        </w:rPr>
      </w:pPr>
    </w:p>
    <w:p>
      <w:pPr>
        <w:ind w:left="480" w:right="220" w:hanging="314"/>
        <w:spacing w:after="0" w:line="256" w:lineRule="auto"/>
        <w:tabs>
          <w:tab w:leader="none" w:pos="47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Commercial Driver's License Training: </w:t>
      </w:r>
      <w:r>
        <w:rPr>
          <w:rFonts w:ascii="Arial" w:cs="Arial" w:eastAsia="Arial" w:hAnsi="Arial"/>
          <w:sz w:val="18"/>
          <w:szCs w:val="18"/>
          <w:color w:val="auto"/>
        </w:rPr>
        <w:t>We have developed a commercial driver's license ("CDL") training school and have partnered with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training schools across our operating footprint to help develop skilled drivers for our team. In fiscal year 2022, we supported 74 drivers in securing their CDL, which unlocked new opportunities for them within our company.</w:t>
      </w:r>
    </w:p>
    <w:p>
      <w:pPr>
        <w:spacing w:after="0" w:line="29" w:lineRule="exact"/>
        <w:rPr>
          <w:rFonts w:ascii="Arial" w:cs="Arial" w:eastAsia="Arial" w:hAnsi="Arial"/>
          <w:sz w:val="18"/>
          <w:szCs w:val="18"/>
          <w:color w:val="auto"/>
        </w:rPr>
      </w:pPr>
    </w:p>
    <w:p>
      <w:pPr>
        <w:jc w:val="both"/>
        <w:ind w:left="480" w:right="420" w:hanging="314"/>
        <w:spacing w:after="0" w:line="300" w:lineRule="auto"/>
        <w:tabs>
          <w:tab w:leader="none" w:pos="47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Operations Trainee Program: </w:t>
      </w:r>
      <w:r>
        <w:rPr>
          <w:rFonts w:ascii="Arial" w:cs="Arial" w:eastAsia="Arial" w:hAnsi="Arial"/>
          <w:sz w:val="16"/>
          <w:szCs w:val="16"/>
          <w:color w:val="auto"/>
        </w:rPr>
        <w:t>Our operations trainee program develops individuals into frontline management roles. Through on-the-job training,</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learn the technical and leadership skills required to lead our operations. This program has become a strong pipeline for our operating managers across our company. We continue to expand our management development programs across the organization.</w:t>
      </w:r>
    </w:p>
    <w:p>
      <w:pPr>
        <w:spacing w:after="0" w:line="1" w:lineRule="exact"/>
        <w:rPr>
          <w:rFonts w:ascii="Arial" w:cs="Arial" w:eastAsia="Arial" w:hAnsi="Arial"/>
          <w:sz w:val="16"/>
          <w:szCs w:val="16"/>
          <w:color w:val="auto"/>
        </w:rPr>
      </w:pPr>
    </w:p>
    <w:p>
      <w:pPr>
        <w:ind w:left="480" w:hanging="314"/>
        <w:spacing w:after="0" w:line="266" w:lineRule="auto"/>
        <w:tabs>
          <w:tab w:leader="none" w:pos="47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Diesel Mechanic Training: </w:t>
      </w:r>
      <w:r>
        <w:rPr>
          <w:rFonts w:ascii="Arial" w:cs="Arial" w:eastAsia="Arial" w:hAnsi="Arial"/>
          <w:sz w:val="18"/>
          <w:szCs w:val="18"/>
          <w:color w:val="auto"/>
        </w:rPr>
        <w:t>Our continued collaboration with technical schools has produced several diesel technicians throughout our organization. 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enhance our training infrastructure and resources to attract, develop, and retain skilled diesel mechanics.</w:t>
      </w:r>
    </w:p>
    <w:p>
      <w:pPr>
        <w:spacing w:after="0" w:line="73"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have also increased our focus on Core Values training to support the continued growth of our workforce and ensure that new employees understand our culture and values. This training highlights our commitment to integrating new employees and ensuring that there is continuity in our message about culture within our organization.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Overview</w:t>
      </w:r>
    </w:p>
    <w:p>
      <w:pPr>
        <w:spacing w:after="0" w:line="118"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We manage our solid waste operations, which are vertically integrated and include a full range of solid waste services, on a geographic basis through two regional operating segments, which we designate as the Eastern and Western regions. Within each geographic region, we organize our solid waste services around smaller areas that we refer to as “wastesheds.” A wasteshed is an area that comprises the complete cycle of activities in the solid waste services process, from collection to transfer operations and recycling to disposal in landfills, some of which may be owned and/or operated by third parties. We typically operate several divisions within each wasteshed, each of which provides a particular service, such as collection, recycling, disposal or transfer. Each division operates interdependently with the other divisions within the wasteshed. Each wasteshed generally operates autonomously from adjoining wastesheds.</w:t>
      </w:r>
    </w:p>
    <w:p>
      <w:pPr>
        <w:spacing w:after="0" w:line="9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Eastern region consists of wastesheds located in Maine, northern, central and southeastern New Hampshire, central and eastern Massachusetts, and eastern Connecticut. We began entering into these wastesheds beginning in 1996 and have expanded primarily through acquisitions and organic growth since. Our Western region includes wastesheds located in Vermont, southwestern New Hampshire, eastern, western and upstate New York, western Massachusetts, and in Pennsylvania around our Subtitle D landfill located in Mount Jewett, Pennsylvania ("McKean Landfill"). We began entering into these wastesheds in 1997 and have expanded primarily through tuck-in acquisitions and organic growth. We remain focused on increasing our vertical integration in our Western region through extension of our reach into new markets.</w:t>
      </w:r>
    </w:p>
    <w:p>
      <w:pPr>
        <w:spacing w:after="0" w:line="7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manage our resource-renewal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The Resource Solutions operating segment is not specific to a geography, and is organized to leverage our core competencies across our entire business footprint.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each reportable segment (as of January 31, 2023 except revenue information, which is for fiscal year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Eastern</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Western</w:t>
            </w: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Resource</w:t>
            </w:r>
          </w:p>
        </w:tc>
      </w:tr>
      <w:tr>
        <w:trPr>
          <w:trHeight w:val="235"/>
        </w:trPr>
        <w:tc>
          <w:tcPr>
            <w:tcW w:w="708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Region</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Region</w:t>
            </w: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Solutions</w:t>
            </w:r>
          </w:p>
        </w:tc>
      </w:tr>
      <w:tr>
        <w:trPr>
          <w:trHeight w:val="91"/>
        </w:trPr>
        <w:tc>
          <w:tcPr>
            <w:tcW w:w="708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r>
      <w:tr>
        <w:trPr>
          <w:trHeight w:val="226"/>
        </w:trPr>
        <w:tc>
          <w:tcPr>
            <w:tcW w:w="7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Revenues (in millions)</w:t>
            </w: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7"/>
              </w:rPr>
              <w:t>$340.0</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7"/>
              </w:rPr>
              <w:t>$445.2</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7"/>
              </w:rPr>
              <w:t>$299.9</w:t>
            </w:r>
          </w:p>
        </w:tc>
      </w:tr>
      <w:tr>
        <w:trPr>
          <w:trHeight w:val="225"/>
        </w:trPr>
        <w:tc>
          <w:tcPr>
            <w:tcW w:w="7080" w:type="dxa"/>
            <w:vAlign w:val="bottom"/>
          </w:tcPr>
          <w:p>
            <w:pPr>
              <w:ind w:left="20"/>
              <w:spacing w:after="0"/>
              <w:rPr>
                <w:sz w:val="20"/>
                <w:szCs w:val="20"/>
                <w:color w:val="auto"/>
              </w:rPr>
            </w:pPr>
            <w:r>
              <w:rPr>
                <w:rFonts w:ascii="Arial" w:cs="Arial" w:eastAsia="Arial" w:hAnsi="Arial"/>
                <w:sz w:val="18"/>
                <w:szCs w:val="18"/>
                <w:color w:val="auto"/>
              </w:rPr>
              <w:t>Number of Properties: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7"/>
        </w:trPr>
        <w:tc>
          <w:tcPr>
            <w:tcW w:w="7080" w:type="dxa"/>
            <w:vAlign w:val="bottom"/>
            <w:shd w:val="clear" w:color="auto" w:fill="BFE4FF"/>
          </w:tcPr>
          <w:p>
            <w:pPr>
              <w:ind w:left="140"/>
              <w:spacing w:after="0"/>
              <w:rPr>
                <w:sz w:val="20"/>
                <w:szCs w:val="20"/>
                <w:color w:val="auto"/>
              </w:rPr>
            </w:pPr>
            <w:r>
              <w:rPr>
                <w:rFonts w:ascii="Arial" w:cs="Arial" w:eastAsia="Arial" w:hAnsi="Arial"/>
                <w:sz w:val="18"/>
                <w:szCs w:val="18"/>
                <w:color w:val="auto"/>
              </w:rPr>
              <w:t>Solid waste collection facilities</w:t>
            </w: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79"/>
              </w:rPr>
              <w:t>29</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w:t>
            </w:r>
          </w:p>
        </w:tc>
      </w:tr>
      <w:tr>
        <w:trPr>
          <w:trHeight w:val="225"/>
        </w:trPr>
        <w:tc>
          <w:tcPr>
            <w:tcW w:w="7080" w:type="dxa"/>
            <w:vAlign w:val="bottom"/>
          </w:tcPr>
          <w:p>
            <w:pPr>
              <w:ind w:left="140"/>
              <w:spacing w:after="0"/>
              <w:rPr>
                <w:sz w:val="20"/>
                <w:szCs w:val="20"/>
                <w:color w:val="auto"/>
              </w:rPr>
            </w:pPr>
            <w:r>
              <w:rPr>
                <w:rFonts w:ascii="Arial" w:cs="Arial" w:eastAsia="Arial" w:hAnsi="Arial"/>
                <w:sz w:val="18"/>
                <w:szCs w:val="18"/>
                <w:color w:val="auto"/>
              </w:rPr>
              <w:t>Transfer stations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36</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7"/>
        </w:trPr>
        <w:tc>
          <w:tcPr>
            <w:tcW w:w="7080" w:type="dxa"/>
            <w:vAlign w:val="bottom"/>
            <w:shd w:val="clear" w:color="auto" w:fill="BFE4FF"/>
          </w:tcPr>
          <w:p>
            <w:pPr>
              <w:ind w:left="140"/>
              <w:spacing w:after="0"/>
              <w:rPr>
                <w:sz w:val="20"/>
                <w:szCs w:val="20"/>
                <w:color w:val="auto"/>
              </w:rPr>
            </w:pPr>
            <w:r>
              <w:rPr>
                <w:rFonts w:ascii="Arial" w:cs="Arial" w:eastAsia="Arial" w:hAnsi="Arial"/>
                <w:sz w:val="18"/>
                <w:szCs w:val="18"/>
                <w:color w:val="auto"/>
              </w:rPr>
              <w:t>Recycling and processing facilities</w:t>
            </w: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17</w:t>
            </w:r>
          </w:p>
        </w:tc>
      </w:tr>
      <w:tr>
        <w:trPr>
          <w:trHeight w:val="225"/>
        </w:trPr>
        <w:tc>
          <w:tcPr>
            <w:tcW w:w="7080" w:type="dxa"/>
            <w:vAlign w:val="bottom"/>
          </w:tcPr>
          <w:p>
            <w:pPr>
              <w:ind w:left="140"/>
              <w:spacing w:after="0"/>
              <w:rPr>
                <w:sz w:val="20"/>
                <w:szCs w:val="20"/>
                <w:color w:val="auto"/>
              </w:rPr>
            </w:pPr>
            <w:r>
              <w:rPr>
                <w:rFonts w:ascii="Arial" w:cs="Arial" w:eastAsia="Arial" w:hAnsi="Arial"/>
                <w:sz w:val="18"/>
                <w:szCs w:val="18"/>
                <w:color w:val="auto"/>
              </w:rPr>
              <w:t>Subtitle D landfills</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7"/>
        </w:trPr>
        <w:tc>
          <w:tcPr>
            <w:tcW w:w="7080" w:type="dxa"/>
            <w:vAlign w:val="bottom"/>
            <w:shd w:val="clear" w:color="auto" w:fill="BFE4FF"/>
          </w:tcPr>
          <w:p>
            <w:pPr>
              <w:ind w:left="140"/>
              <w:spacing w:after="0"/>
              <w:rPr>
                <w:sz w:val="20"/>
                <w:szCs w:val="20"/>
                <w:color w:val="auto"/>
              </w:rPr>
            </w:pPr>
            <w:r>
              <w:rPr>
                <w:rFonts w:ascii="Arial" w:cs="Arial" w:eastAsia="Arial" w:hAnsi="Arial"/>
                <w:sz w:val="18"/>
                <w:szCs w:val="18"/>
                <w:color w:val="auto"/>
              </w:rPr>
              <w:t>Construction and demolition ("C&amp;D") landfills</w:t>
            </w:r>
          </w:p>
        </w:tc>
        <w:tc>
          <w:tcPr>
            <w:tcW w:w="1420" w:type="dxa"/>
            <w:vAlign w:val="bottom"/>
            <w:gridSpan w:val="2"/>
            <w:shd w:val="clear" w:color="auto" w:fill="BFE4FF"/>
          </w:tcPr>
          <w:p>
            <w:pPr>
              <w:jc w:val="center"/>
              <w:ind w:right="1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ind w:right="700"/>
        <w:spacing w:after="0" w:line="296" w:lineRule="auto"/>
        <w:rPr>
          <w:sz w:val="20"/>
          <w:szCs w:val="20"/>
          <w:color w:val="auto"/>
        </w:rPr>
      </w:pPr>
      <w:r>
        <w:rPr>
          <w:rFonts w:ascii="Arial" w:cs="Arial" w:eastAsia="Arial" w:hAnsi="Arial"/>
          <w:sz w:val="17"/>
          <w:szCs w:val="17"/>
          <w:color w:val="auto"/>
        </w:rPr>
        <w:t xml:space="preserve">For financial information concerning our reportable segments, refer to “Item 7. </w:t>
      </w:r>
      <w:r>
        <w:rPr>
          <w:rFonts w:ascii="Arial" w:cs="Arial" w:eastAsia="Arial" w:hAnsi="Arial"/>
          <w:sz w:val="17"/>
          <w:szCs w:val="17"/>
          <w:i w:val="1"/>
          <w:iCs w:val="1"/>
          <w:color w:val="auto"/>
        </w:rPr>
        <w:t>Management’s Discussion and Analysis of Results of Operations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w:t>
      </w:r>
      <w:r>
        <w:rPr>
          <w:rFonts w:ascii="Arial" w:cs="Arial" w:eastAsia="Arial" w:hAnsi="Arial"/>
          <w:sz w:val="17"/>
          <w:szCs w:val="17"/>
          <w:color w:val="auto"/>
        </w:rPr>
        <w:t>” and “Item 8.</w:t>
      </w:r>
      <w:r>
        <w:rPr>
          <w:rFonts w:ascii="Arial" w:cs="Arial" w:eastAsia="Arial" w:hAnsi="Arial"/>
          <w:sz w:val="17"/>
          <w:szCs w:val="17"/>
          <w:i w:val="1"/>
          <w:iCs w:val="1"/>
          <w:color w:val="auto"/>
        </w:rPr>
        <w:t xml:space="preserve"> Financial Statements and Supplementary Data</w:t>
      </w:r>
      <w:r>
        <w:rPr>
          <w:rFonts w:ascii="Arial" w:cs="Arial" w:eastAsia="Arial" w:hAnsi="Arial"/>
          <w:sz w:val="17"/>
          <w:szCs w:val="17"/>
          <w:color w:val="auto"/>
        </w:rPr>
        <w:t>” of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 Operations</w:t>
      </w:r>
    </w:p>
    <w:p>
      <w:pPr>
        <w:spacing w:after="0" w:line="11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Solid waste operations within our Eastern and Western regions comprise a full range of non-hazardous solid waste services, including collection, transfer stations, and disposal facilities.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renewable energy credits, and energy capacity payments at certain of our landfill facilities.</w:t>
      </w:r>
    </w:p>
    <w:p>
      <w:pPr>
        <w:spacing w:after="0" w:line="73"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 xml:space="preserve">Collection. </w:t>
      </w:r>
      <w:r>
        <w:rPr>
          <w:rFonts w:ascii="Arial" w:cs="Arial" w:eastAsia="Arial" w:hAnsi="Arial"/>
          <w:sz w:val="18"/>
          <w:szCs w:val="18"/>
          <w:color w:val="auto"/>
        </w:rPr>
        <w:t>A majority of our commercial and industrial collection services are performed under one-to-five year service agreements, with prices and fees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such factors as: collection frequency; type of equipment and containers furnished; type, volume and weight of solid waste collected; distance to the disposal or processing facility; and cost of disposal or processing. Our residential collection and disposal services are performed either on a subscription basis (with no underlying contract) with individuals, or through contracts with municipalities, homeowner associations, apartment building owners or mobile home park operators.</w:t>
      </w:r>
    </w:p>
    <w:p>
      <w:pPr>
        <w:spacing w:after="0" w:line="8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Transfer Stations. </w:t>
      </w:r>
      <w:r>
        <w:rPr>
          <w:rFonts w:ascii="Arial" w:cs="Arial" w:eastAsia="Arial" w:hAnsi="Arial"/>
          <w:sz w:val="16"/>
          <w:szCs w:val="16"/>
          <w:color w:val="auto"/>
        </w:rPr>
        <w:t>Our transfer stations receive, process and transfer solid waste, collected primarily by our various residential and commercial collection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operations, for transport to disposal facilities by larger vehicles. We believe that transfer stations benefit us by: </w:t>
      </w:r>
      <w:r>
        <w:rPr>
          <w:rFonts w:ascii="Arial" w:cs="Arial" w:eastAsia="Arial" w:hAnsi="Arial"/>
          <w:sz w:val="13"/>
          <w:szCs w:val="13"/>
          <w:color w:val="auto"/>
        </w:rPr>
        <w:t>(1)</w:t>
      </w:r>
      <w:r>
        <w:rPr>
          <w:rFonts w:ascii="Arial" w:cs="Arial" w:eastAsia="Arial" w:hAnsi="Arial"/>
          <w:sz w:val="16"/>
          <w:szCs w:val="16"/>
          <w:color w:val="auto"/>
        </w:rPr>
        <w:t xml:space="preserve"> increasing the size of the wastesheds which have access to our landfills or third-party disposal facilities; </w:t>
      </w:r>
      <w:r>
        <w:rPr>
          <w:rFonts w:ascii="Arial" w:cs="Arial" w:eastAsia="Arial" w:hAnsi="Arial"/>
          <w:sz w:val="13"/>
          <w:szCs w:val="13"/>
          <w:color w:val="auto"/>
        </w:rPr>
        <w:t>(2)</w:t>
      </w:r>
      <w:r>
        <w:rPr>
          <w:rFonts w:ascii="Arial" w:cs="Arial" w:eastAsia="Arial" w:hAnsi="Arial"/>
          <w:sz w:val="16"/>
          <w:szCs w:val="16"/>
          <w:color w:val="auto"/>
        </w:rPr>
        <w:t xml:space="preserve"> reducing costs by improving utilization of collection personnel and equipment; and </w:t>
      </w:r>
      <w:r>
        <w:rPr>
          <w:rFonts w:ascii="Arial" w:cs="Arial" w:eastAsia="Arial" w:hAnsi="Arial"/>
          <w:sz w:val="13"/>
          <w:szCs w:val="13"/>
          <w:color w:val="auto"/>
        </w:rPr>
        <w:t>(3)</w:t>
      </w:r>
      <w:r>
        <w:rPr>
          <w:rFonts w:ascii="Arial" w:cs="Arial" w:eastAsia="Arial" w:hAnsi="Arial"/>
          <w:sz w:val="16"/>
          <w:szCs w:val="16"/>
          <w:color w:val="auto"/>
        </w:rPr>
        <w:t xml:space="preserve"> helping us build relationships with municipalities and other customers by providing a local physical presence and enhanced local service capabilities.</w:t>
      </w:r>
    </w:p>
    <w:p>
      <w:pPr>
        <w:spacing w:after="0" w:line="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Landfills. </w:t>
      </w:r>
      <w:r>
        <w:rPr>
          <w:rFonts w:ascii="Arial" w:cs="Arial" w:eastAsia="Arial" w:hAnsi="Arial"/>
          <w:sz w:val="18"/>
          <w:szCs w:val="18"/>
          <w:color w:val="auto"/>
        </w:rPr>
        <w:t>We operate eight solid waste Subtitle D landfills and one landfill permitted to accept C&amp;D materials. Revenues are received from municipalities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customers in the form of tipping fees. The estimated capacity at our landfills is subject to change based on engineering factors, requirements of regulatory authorities, our ability to continue to operate our landfills in compliance with applicable regulations and our ability to successfully renew operating permits and obtain expansion permits at our sites.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The following table (in thousands) reflects the aggregate landfill capacity and airspace changes, in tons, for landfills we operated during fiscal years 2022, 2021 and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Fiscal Year 2022</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2"/>
                <w:szCs w:val="12"/>
                <w:b w:val="1"/>
                <w:bCs w:val="1"/>
                <w:color w:val="auto"/>
                <w:w w:val="94"/>
              </w:rPr>
              <w:t>Fiscal Year 2021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92"/>
              </w:rPr>
              <w:t>Fiscal Year 2020</w:t>
            </w:r>
          </w:p>
        </w:tc>
        <w:tc>
          <w:tcPr>
            <w:tcW w:w="880" w:type="dxa"/>
            <w:vAlign w:val="bottom"/>
            <w:tcBorders>
              <w:bottom w:val="single" w:sz="8" w:color="auto"/>
            </w:tcBorders>
          </w:tcPr>
          <w:p>
            <w:pPr>
              <w:spacing w:after="0"/>
              <w:rPr>
                <w:sz w:val="14"/>
                <w:szCs w:val="14"/>
                <w:color w:val="auto"/>
              </w:rPr>
            </w:pPr>
          </w:p>
        </w:tc>
      </w:tr>
      <w:tr>
        <w:trPr>
          <w:trHeight w:val="120"/>
        </w:trPr>
        <w:tc>
          <w:tcPr>
            <w:tcW w:w="2400" w:type="dxa"/>
            <w:vAlign w:val="bottom"/>
          </w:tcPr>
          <w:p>
            <w:pPr>
              <w:spacing w:after="0"/>
              <w:rPr>
                <w:sz w:val="10"/>
                <w:szCs w:val="10"/>
                <w:color w:val="auto"/>
              </w:rPr>
            </w:pPr>
          </w:p>
        </w:tc>
        <w:tc>
          <w:tcPr>
            <w:tcW w:w="94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4"/>
              </w:rPr>
              <w:t>Estimated</w:t>
            </w:r>
          </w:p>
        </w:tc>
        <w:tc>
          <w:tcPr>
            <w:tcW w:w="102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4"/>
              </w:rPr>
              <w:t>Estimated</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4"/>
              </w:rPr>
              <w:t>Estimated</w:t>
            </w:r>
          </w:p>
        </w:tc>
        <w:tc>
          <w:tcPr>
            <w:tcW w:w="10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0"/>
              </w:rPr>
              <w:t>Estimated</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4"/>
              </w:rPr>
              <w:t>Estimated</w:t>
            </w:r>
          </w:p>
        </w:tc>
        <w:tc>
          <w:tcPr>
            <w:tcW w:w="102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4"/>
              </w:rPr>
              <w:t>Estimated</w:t>
            </w:r>
          </w:p>
        </w:tc>
        <w:tc>
          <w:tcPr>
            <w:tcW w:w="880" w:type="dxa"/>
            <w:vAlign w:val="bottom"/>
          </w:tcPr>
          <w:p>
            <w:pPr>
              <w:spacing w:after="0"/>
              <w:rPr>
                <w:sz w:val="10"/>
                <w:szCs w:val="10"/>
                <w:color w:val="auto"/>
              </w:rPr>
            </w:pPr>
          </w:p>
        </w:tc>
      </w:tr>
      <w:tr>
        <w:trPr>
          <w:trHeight w:val="128"/>
        </w:trPr>
        <w:tc>
          <w:tcPr>
            <w:tcW w:w="2400" w:type="dxa"/>
            <w:vAlign w:val="bottom"/>
          </w:tcPr>
          <w:p>
            <w:pPr>
              <w:spacing w:after="0"/>
              <w:rPr>
                <w:sz w:val="11"/>
                <w:szCs w:val="11"/>
                <w:color w:val="auto"/>
              </w:rPr>
            </w:pPr>
          </w:p>
        </w:tc>
        <w:tc>
          <w:tcPr>
            <w:tcW w:w="94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94"/>
              </w:rPr>
              <w:t>Remaining</w:t>
            </w:r>
          </w:p>
        </w:tc>
        <w:tc>
          <w:tcPr>
            <w:tcW w:w="102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5"/>
              </w:rPr>
              <w:t>Additional</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94"/>
              </w:rPr>
              <w:t>Remaining</w:t>
            </w:r>
          </w:p>
        </w:tc>
        <w:tc>
          <w:tcPr>
            <w:tcW w:w="102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5"/>
              </w:rPr>
              <w:t>Additional</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4"/>
              </w:rPr>
              <w:t>Remaining</w:t>
            </w:r>
          </w:p>
        </w:tc>
        <w:tc>
          <w:tcPr>
            <w:tcW w:w="102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5"/>
              </w:rPr>
              <w:t>Additional</w:t>
            </w:r>
          </w:p>
        </w:tc>
        <w:tc>
          <w:tcPr>
            <w:tcW w:w="880" w:type="dxa"/>
            <w:vAlign w:val="bottom"/>
          </w:tcPr>
          <w:p>
            <w:pPr>
              <w:spacing w:after="0"/>
              <w:rPr>
                <w:sz w:val="11"/>
                <w:szCs w:val="11"/>
                <w:color w:val="auto"/>
              </w:rPr>
            </w:pPr>
          </w:p>
        </w:tc>
      </w:tr>
      <w:tr>
        <w:trPr>
          <w:trHeight w:val="125"/>
        </w:trPr>
        <w:tc>
          <w:tcPr>
            <w:tcW w:w="2400" w:type="dxa"/>
            <w:vAlign w:val="bottom"/>
          </w:tcPr>
          <w:p>
            <w:pPr>
              <w:spacing w:after="0"/>
              <w:rPr>
                <w:sz w:val="10"/>
                <w:szCs w:val="10"/>
                <w:color w:val="auto"/>
              </w:rPr>
            </w:pPr>
          </w:p>
        </w:tc>
        <w:tc>
          <w:tcPr>
            <w:tcW w:w="94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93"/>
              </w:rPr>
              <w:t>Permitted</w:t>
            </w:r>
          </w:p>
        </w:tc>
        <w:tc>
          <w:tcPr>
            <w:tcW w:w="102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4"/>
              </w:rPr>
              <w:t>Permittable</w:t>
            </w:r>
          </w:p>
        </w:tc>
        <w:tc>
          <w:tcPr>
            <w:tcW w:w="100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0"/>
              </w:rPr>
              <w:t>Estimated</w:t>
            </w:r>
          </w:p>
        </w:tc>
        <w:tc>
          <w:tcPr>
            <w:tcW w:w="94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93"/>
              </w:rPr>
              <w:t>Permitted</w:t>
            </w:r>
          </w:p>
        </w:tc>
        <w:tc>
          <w:tcPr>
            <w:tcW w:w="102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97"/>
              </w:rPr>
              <w:t>Permittable</w:t>
            </w:r>
          </w:p>
        </w:tc>
        <w:tc>
          <w:tcPr>
            <w:tcW w:w="100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94"/>
              </w:rPr>
              <w:t>Estimated</w:t>
            </w:r>
          </w:p>
        </w:tc>
        <w:tc>
          <w:tcPr>
            <w:tcW w:w="96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3"/>
              </w:rPr>
              <w:t>Permitted</w:t>
            </w:r>
          </w:p>
        </w:tc>
        <w:tc>
          <w:tcPr>
            <w:tcW w:w="102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4"/>
              </w:rPr>
              <w:t>Permittable</w:t>
            </w:r>
          </w:p>
        </w:tc>
        <w:tc>
          <w:tcPr>
            <w:tcW w:w="8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4"/>
              </w:rPr>
              <w:t>Estimated</w:t>
            </w:r>
          </w:p>
        </w:tc>
      </w:tr>
      <w:tr>
        <w:trPr>
          <w:trHeight w:val="120"/>
        </w:trPr>
        <w:tc>
          <w:tcPr>
            <w:tcW w:w="2400" w:type="dxa"/>
            <w:vAlign w:val="bottom"/>
          </w:tcPr>
          <w:p>
            <w:pPr>
              <w:spacing w:after="0"/>
              <w:rPr>
                <w:sz w:val="10"/>
                <w:szCs w:val="10"/>
                <w:color w:val="auto"/>
              </w:rPr>
            </w:pPr>
          </w:p>
        </w:tc>
        <w:tc>
          <w:tcPr>
            <w:tcW w:w="94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5"/>
              </w:rPr>
              <w:t>Capacity</w:t>
            </w:r>
          </w:p>
        </w:tc>
        <w:tc>
          <w:tcPr>
            <w:tcW w:w="10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5"/>
              </w:rPr>
              <w:t>Capacity</w:t>
            </w:r>
          </w:p>
        </w:tc>
        <w:tc>
          <w:tcPr>
            <w:tcW w:w="100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7"/>
              </w:rPr>
              <w:t>Total</w:t>
            </w:r>
          </w:p>
        </w:tc>
        <w:tc>
          <w:tcPr>
            <w:tcW w:w="94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5"/>
              </w:rPr>
              <w:t>Capacity</w:t>
            </w:r>
          </w:p>
        </w:tc>
        <w:tc>
          <w:tcPr>
            <w:tcW w:w="10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5"/>
              </w:rPr>
              <w:t>Capacity</w:t>
            </w:r>
          </w:p>
        </w:tc>
        <w:tc>
          <w:tcPr>
            <w:tcW w:w="100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7"/>
              </w:rPr>
              <w:t>Total</w:t>
            </w:r>
          </w:p>
        </w:tc>
        <w:tc>
          <w:tcPr>
            <w:tcW w:w="96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5"/>
              </w:rPr>
              <w:t>Capacity</w:t>
            </w:r>
          </w:p>
        </w:tc>
        <w:tc>
          <w:tcPr>
            <w:tcW w:w="10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5"/>
              </w:rPr>
              <w:t>Capacity</w:t>
            </w:r>
          </w:p>
        </w:tc>
        <w:tc>
          <w:tcPr>
            <w:tcW w:w="8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7"/>
              </w:rPr>
              <w:t>Total</w:t>
            </w:r>
          </w:p>
        </w:tc>
      </w:tr>
      <w:tr>
        <w:trPr>
          <w:trHeight w:val="179"/>
        </w:trPr>
        <w:tc>
          <w:tcPr>
            <w:tcW w:w="24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(1)</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5"/>
              </w:rPr>
              <w:t>(1)(2)</w:t>
            </w:r>
          </w:p>
        </w:tc>
        <w:tc>
          <w:tcPr>
            <w:tcW w:w="12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Capacity</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5"/>
              </w:rPr>
              <w:t>(1)(2)</w:t>
            </w:r>
          </w:p>
        </w:tc>
        <w:tc>
          <w:tcPr>
            <w:tcW w:w="10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Capacity</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(1)</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(1)(2)</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5"/>
              </w:rPr>
              <w:t>Capacity</w:t>
            </w:r>
          </w:p>
        </w:tc>
      </w:tr>
      <w:tr>
        <w:trPr>
          <w:trHeight w:val="226"/>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58,705</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47,251</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105,956</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31,239</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73,920</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44,434</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34,139</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78,573</w:t>
            </w:r>
          </w:p>
        </w:tc>
      </w:tr>
      <w:tr>
        <w:trPr>
          <w:trHeight w:val="239"/>
        </w:trPr>
        <w:tc>
          <w:tcPr>
            <w:tcW w:w="2400" w:type="dxa"/>
            <w:vAlign w:val="bottom"/>
          </w:tcPr>
          <w:p>
            <w:pPr>
              <w:ind w:left="340"/>
              <w:spacing w:after="0"/>
              <w:rPr>
                <w:sz w:val="20"/>
                <w:szCs w:val="20"/>
                <w:color w:val="auto"/>
              </w:rPr>
            </w:pPr>
            <w:r>
              <w:rPr>
                <w:rFonts w:ascii="Arial" w:cs="Arial" w:eastAsia="Arial" w:hAnsi="Arial"/>
                <w:sz w:val="18"/>
                <w:szCs w:val="18"/>
                <w:color w:val="auto"/>
                <w:w w:val="90"/>
              </w:rPr>
              <w:t xml:space="preserve">New expansions pursued </w:t>
            </w:r>
            <w:r>
              <w:rPr>
                <w:rFonts w:ascii="Arial" w:cs="Arial" w:eastAsia="Arial" w:hAnsi="Arial"/>
                <w:sz w:val="14"/>
                <w:szCs w:val="14"/>
                <w:color w:val="auto"/>
                <w:w w:val="90"/>
              </w:rPr>
              <w:t>(3)</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4,494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4,494</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19,607</w:t>
            </w:r>
          </w:p>
        </w:tc>
        <w:tc>
          <w:tcPr>
            <w:tcW w:w="100" w:type="dxa"/>
            <w:vAlign w:val="bottom"/>
          </w:tcPr>
          <w:p>
            <w:pPr>
              <w:spacing w:after="0"/>
              <w:rPr>
                <w:sz w:val="20"/>
                <w:szCs w:val="20"/>
                <w:color w:val="auto"/>
              </w:rPr>
            </w:pPr>
          </w:p>
        </w:tc>
        <w:tc>
          <w:tcPr>
            <w:tcW w:w="920" w:type="dxa"/>
            <w:vAlign w:val="bottom"/>
          </w:tcPr>
          <w:p>
            <w:pPr>
              <w:jc w:val="right"/>
              <w:ind w:right="5"/>
              <w:spacing w:after="0"/>
              <w:rPr>
                <w:sz w:val="20"/>
                <w:szCs w:val="20"/>
                <w:color w:val="auto"/>
              </w:rPr>
            </w:pPr>
            <w:r>
              <w:rPr>
                <w:rFonts w:ascii="Arial" w:cs="Arial" w:eastAsia="Arial" w:hAnsi="Arial"/>
                <w:sz w:val="18"/>
                <w:szCs w:val="18"/>
                <w:color w:val="auto"/>
              </w:rPr>
              <w:t>16,200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35,807</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2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Permits granted </w:t>
            </w:r>
            <w:r>
              <w:rPr>
                <w:rFonts w:ascii="Arial" w:cs="Arial" w:eastAsia="Arial" w:hAnsi="Arial"/>
                <w:sz w:val="14"/>
                <w:szCs w:val="14"/>
                <w:color w:val="auto"/>
              </w:rPr>
              <w:t>(4)</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400" w:type="dxa"/>
            <w:vAlign w:val="bottom"/>
          </w:tcPr>
          <w:p>
            <w:pPr>
              <w:ind w:left="340"/>
              <w:spacing w:after="0"/>
              <w:rPr>
                <w:sz w:val="20"/>
                <w:szCs w:val="20"/>
                <w:color w:val="auto"/>
              </w:rPr>
            </w:pPr>
            <w:r>
              <w:rPr>
                <w:rFonts w:ascii="Arial" w:cs="Arial" w:eastAsia="Arial" w:hAnsi="Arial"/>
                <w:sz w:val="18"/>
                <w:szCs w:val="18"/>
                <w:color w:val="auto"/>
              </w:rPr>
              <w:t>Airspace consumed</w:t>
            </w:r>
          </w:p>
        </w:tc>
        <w:tc>
          <w:tcPr>
            <w:tcW w:w="840" w:type="dxa"/>
            <w:vAlign w:val="bottom"/>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(3,672)</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(3,594)</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(3,594)</w:t>
            </w:r>
          </w:p>
        </w:tc>
      </w:tr>
      <w:tr>
        <w:trPr>
          <w:trHeight w:val="174"/>
        </w:trPr>
        <w:tc>
          <w:tcPr>
            <w:tcW w:w="2400" w:type="dxa"/>
            <w:vAlign w:val="bottom"/>
            <w:shd w:val="clear" w:color="auto" w:fill="CCEEFF"/>
          </w:tcPr>
          <w:p>
            <w:pPr>
              <w:ind w:left="340"/>
              <w:spacing w:after="0" w:line="175" w:lineRule="exact"/>
              <w:rPr>
                <w:sz w:val="20"/>
                <w:szCs w:val="20"/>
                <w:color w:val="auto"/>
              </w:rPr>
            </w:pPr>
            <w:r>
              <w:rPr>
                <w:rFonts w:ascii="Arial" w:cs="Arial" w:eastAsia="Arial" w:hAnsi="Arial"/>
                <w:sz w:val="18"/>
                <w:szCs w:val="18"/>
                <w:color w:val="auto"/>
              </w:rPr>
              <w:t>Changes in engineering</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38"/>
        </w:trPr>
        <w:tc>
          <w:tcPr>
            <w:tcW w:w="2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estimates </w:t>
            </w:r>
            <w:r>
              <w:rPr>
                <w:rFonts w:ascii="Arial" w:cs="Arial" w:eastAsia="Arial" w:hAnsi="Arial"/>
                <w:sz w:val="14"/>
                <w:szCs w:val="14"/>
                <w:color w:val="auto"/>
              </w:rPr>
              <w:t>(5)</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2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19"/>
        </w:trPr>
        <w:tc>
          <w:tcPr>
            <w:tcW w:w="2400" w:type="dxa"/>
            <w:vAlign w:val="bottom"/>
          </w:tcPr>
          <w:p>
            <w:pPr>
              <w:ind w:left="20"/>
              <w:spacing w:after="0" w:line="205" w:lineRule="exact"/>
              <w:rPr>
                <w:sz w:val="20"/>
                <w:szCs w:val="20"/>
                <w:color w:val="auto"/>
              </w:rPr>
            </w:pPr>
            <w:r>
              <w:rPr>
                <w:rFonts w:ascii="Arial" w:cs="Arial" w:eastAsia="Arial" w:hAnsi="Arial"/>
                <w:sz w:val="18"/>
                <w:szCs w:val="18"/>
                <w:color w:val="auto"/>
              </w:rPr>
              <w:t>Balance, end of year</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57,547</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49,632</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107,179</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58,705</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47,251</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105,956</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42,681</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31,239</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73,920</w:t>
            </w:r>
          </w:p>
        </w:tc>
      </w:tr>
      <w:tr>
        <w:trPr>
          <w:trHeight w:val="20"/>
        </w:trPr>
        <w:tc>
          <w:tcPr>
            <w:tcW w:w="2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80" w:right="120" w:hanging="314"/>
        <w:spacing w:after="0" w:line="256" w:lineRule="auto"/>
        <w:tabs>
          <w:tab w:leader="none" w:pos="472" w:val="left"/>
        </w:tabs>
        <w:numPr>
          <w:ilvl w:val="0"/>
          <w:numId w:val="7"/>
        </w:numPr>
        <w:rPr>
          <w:rFonts w:ascii="Arial" w:cs="Arial" w:eastAsia="Arial" w:hAnsi="Arial"/>
          <w:sz w:val="14"/>
          <w:szCs w:val="14"/>
          <w:color w:val="auto"/>
        </w:rPr>
      </w:pPr>
      <w:r>
        <w:rPr>
          <w:rFonts w:ascii="Arial" w:cs="Arial" w:eastAsia="Arial" w:hAnsi="Arial"/>
          <w:sz w:val="18"/>
          <w:szCs w:val="18"/>
          <w:color w:val="auto"/>
        </w:rPr>
        <w:t>We convert estimated remaining permitted capacity and estimated additional permittable capacity from cubic yards to tons generally by assuming a compaction factor derived from historical average compaction factors, with modification for future anticipated changes. In addition to a total capacity limit, certain permits place a daily and/or annual limit on capacity.</w:t>
      </w:r>
    </w:p>
    <w:p>
      <w:pPr>
        <w:spacing w:after="0" w:line="29" w:lineRule="exact"/>
        <w:rPr>
          <w:rFonts w:ascii="Arial" w:cs="Arial" w:eastAsia="Arial" w:hAnsi="Arial"/>
          <w:sz w:val="14"/>
          <w:szCs w:val="14"/>
          <w:color w:val="auto"/>
        </w:rPr>
      </w:pPr>
    </w:p>
    <w:p>
      <w:pPr>
        <w:ind w:left="480" w:hanging="314"/>
        <w:spacing w:after="0" w:line="269" w:lineRule="auto"/>
        <w:tabs>
          <w:tab w:leader="none" w:pos="472" w:val="left"/>
        </w:tabs>
        <w:numPr>
          <w:ilvl w:val="0"/>
          <w:numId w:val="7"/>
        </w:numPr>
        <w:rPr>
          <w:rFonts w:ascii="Arial" w:cs="Arial" w:eastAsia="Arial" w:hAnsi="Arial"/>
          <w:sz w:val="13"/>
          <w:szCs w:val="13"/>
          <w:color w:val="auto"/>
        </w:rPr>
      </w:pPr>
      <w:r>
        <w:rPr>
          <w:rFonts w:ascii="Arial" w:cs="Arial" w:eastAsia="Arial" w:hAnsi="Arial"/>
          <w:sz w:val="17"/>
          <w:szCs w:val="17"/>
          <w:color w:val="auto"/>
        </w:rPr>
        <w:t>Represents capacity which we have determined to be “permittable” in accordance with the following criteria: (i) we control the land on which the expansion is sought; (ii) all technical siting criteria have been met or a variance has been obtained or is reasonably expected to be obtained; (iii) we have not identified any legal or political impediments which we believe will not be resolved in our favor; (iv) we are actively working on obtaining any necessary permits and we expect that all required permits will be received; and (v) senior management has approved the project based on a review of the engineering design and determination that the financial return profile meets our investment criteria.</w:t>
      </w:r>
    </w:p>
    <w:p>
      <w:pPr>
        <w:spacing w:after="0" w:line="21" w:lineRule="exact"/>
        <w:rPr>
          <w:rFonts w:ascii="Arial" w:cs="Arial" w:eastAsia="Arial" w:hAnsi="Arial"/>
          <w:sz w:val="13"/>
          <w:szCs w:val="13"/>
          <w:color w:val="auto"/>
        </w:rPr>
      </w:pPr>
    </w:p>
    <w:p>
      <w:pPr>
        <w:ind w:left="480" w:right="300" w:hanging="314"/>
        <w:spacing w:after="0" w:line="266" w:lineRule="auto"/>
        <w:tabs>
          <w:tab w:leader="none" w:pos="472" w:val="left"/>
        </w:tabs>
        <w:numPr>
          <w:ilvl w:val="0"/>
          <w:numId w:val="7"/>
        </w:numPr>
        <w:rPr>
          <w:rFonts w:ascii="Arial" w:cs="Arial" w:eastAsia="Arial" w:hAnsi="Arial"/>
          <w:sz w:val="14"/>
          <w:szCs w:val="14"/>
          <w:color w:val="auto"/>
        </w:rPr>
      </w:pPr>
      <w:r>
        <w:rPr>
          <w:rFonts w:ascii="Arial" w:cs="Arial" w:eastAsia="Arial" w:hAnsi="Arial"/>
          <w:sz w:val="18"/>
          <w:szCs w:val="18"/>
          <w:color w:val="auto"/>
        </w:rPr>
        <w:t>The increase in capacity associated with new expansions pursued at various landfills in our Western region (Hakes Landfill in fiscal year 2022; and McKean Landfill and Hyland Landfill in fiscal year 2021).</w:t>
      </w:r>
    </w:p>
    <w:p>
      <w:pPr>
        <w:spacing w:after="0" w:line="19" w:lineRule="exact"/>
        <w:rPr>
          <w:rFonts w:ascii="Arial" w:cs="Arial" w:eastAsia="Arial" w:hAnsi="Arial"/>
          <w:sz w:val="14"/>
          <w:szCs w:val="14"/>
          <w:color w:val="auto"/>
        </w:rPr>
      </w:pPr>
    </w:p>
    <w:p>
      <w:pPr>
        <w:ind w:left="480" w:right="480" w:hanging="314"/>
        <w:spacing w:after="0" w:line="266" w:lineRule="auto"/>
        <w:tabs>
          <w:tab w:leader="none" w:pos="472" w:val="left"/>
        </w:tabs>
        <w:numPr>
          <w:ilvl w:val="0"/>
          <w:numId w:val="7"/>
        </w:numPr>
        <w:rPr>
          <w:rFonts w:ascii="Arial" w:cs="Arial" w:eastAsia="Arial" w:hAnsi="Arial"/>
          <w:sz w:val="14"/>
          <w:szCs w:val="14"/>
          <w:color w:val="auto"/>
        </w:rPr>
      </w:pPr>
      <w:r>
        <w:rPr>
          <w:rFonts w:ascii="Arial" w:cs="Arial" w:eastAsia="Arial" w:hAnsi="Arial"/>
          <w:sz w:val="18"/>
          <w:szCs w:val="18"/>
          <w:color w:val="auto"/>
        </w:rPr>
        <w:t>The increase in remaining permitted airspace capacity in fiscal year 2020 was the result of a permit received at the NCES Landfill in our Eastern region.</w:t>
      </w:r>
    </w:p>
    <w:p>
      <w:pPr>
        <w:spacing w:after="0" w:line="19" w:lineRule="exact"/>
        <w:rPr>
          <w:rFonts w:ascii="Arial" w:cs="Arial" w:eastAsia="Arial" w:hAnsi="Arial"/>
          <w:sz w:val="14"/>
          <w:szCs w:val="14"/>
          <w:color w:val="auto"/>
        </w:rPr>
      </w:pPr>
    </w:p>
    <w:p>
      <w:pPr>
        <w:ind w:left="480" w:right="240" w:hanging="314"/>
        <w:spacing w:after="0" w:line="266" w:lineRule="auto"/>
        <w:tabs>
          <w:tab w:leader="none" w:pos="472" w:val="left"/>
        </w:tabs>
        <w:numPr>
          <w:ilvl w:val="0"/>
          <w:numId w:val="7"/>
        </w:numPr>
        <w:rPr>
          <w:rFonts w:ascii="Arial" w:cs="Arial" w:eastAsia="Arial" w:hAnsi="Arial"/>
          <w:sz w:val="14"/>
          <w:szCs w:val="14"/>
          <w:color w:val="auto"/>
        </w:rPr>
      </w:pPr>
      <w:r>
        <w:rPr>
          <w:rFonts w:ascii="Arial" w:cs="Arial" w:eastAsia="Arial" w:hAnsi="Arial"/>
          <w:sz w:val="18"/>
          <w:szCs w:val="18"/>
          <w:color w:val="auto"/>
        </w:rPr>
        <w:t>The variation in changes in airspace capacity associated with engineering estimates are primarily the result of changes in compaction at our landfills and estimated airspace changes associated with design changes at certain of our landfills.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Eastern region consists of the following landfills:</w:t>
      </w:r>
    </w:p>
    <w:p>
      <w:pPr>
        <w:spacing w:after="0" w:line="11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i w:val="1"/>
          <w:iCs w:val="1"/>
          <w:color w:val="auto"/>
        </w:rPr>
        <w:t xml:space="preserve">NCES Landfill. </w:t>
      </w:r>
      <w:r>
        <w:rPr>
          <w:rFonts w:ascii="Arial" w:cs="Arial" w:eastAsia="Arial" w:hAnsi="Arial"/>
          <w:sz w:val="18"/>
          <w:szCs w:val="18"/>
          <w:color w:val="auto"/>
        </w:rPr>
        <w:t>NCES Landfill is a Subtitle D landfill located in Bethlehem, New Hampshire that we purchased in 1994. NCES Landfill currently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52 acres of permitted or permittable landfill area, and is permitted to accept municipal solid waste, C&amp;D material and certain pre-approved special wastes. In October 2020, we received approval for a permit modification for an additional 1.24 million cubic yards of capacity at the NCES Landfill. The permit modification included an annual permit limit of 0.23 million cubic yards per year. We are party to an agreement for the construction of a landfill renewable natural gas ("RNG") facility, which will be constructed, owned and operated by a third-party. We expect this RNG facility to be operational at some point in fiscal year 2023.</w:t>
      </w:r>
    </w:p>
    <w:p>
      <w:pPr>
        <w:spacing w:after="0" w:line="8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i w:val="1"/>
          <w:iCs w:val="1"/>
          <w:color w:val="auto"/>
        </w:rPr>
        <w:t xml:space="preserve">Juniper Ridge Landfill. </w:t>
      </w:r>
      <w:r>
        <w:rPr>
          <w:rFonts w:ascii="Arial" w:cs="Arial" w:eastAsia="Arial" w:hAnsi="Arial"/>
          <w:sz w:val="16"/>
          <w:szCs w:val="16"/>
          <w:color w:val="auto"/>
        </w:rPr>
        <w:t>Juniper Ridge Landfill is a Subtitle D landfill located in West Old Town, Maine. In 2004, we completed transactions with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Maine and Georgia-Pacific Corporation (“Georgia Pacific”), pursuant to which the State of Maine took ownership of Juniper Ridge Landfill, formerly owned by Georgia Pacific, and we became the operator under a 30-year operating and services agreement between us and the State of Maine. Juniper Ridge Landfill currently consists of approximately 179 acres of permitted or permittable landfill area, which is sufficient to permit the additional airspace required for the term of the 30-year operating and services agreement, and is permitted to accept the following waste originating from the State of Maine: C&amp;D material, ash from municipal solid waste incinerators and fossil fuel boilers, front end processed residuals and bypass municipal solid waste from waste-to-energy facilities and certain pre-approved special waste. Outside of the limitations on municipal solid waste, there are no annual tonnage limitations at Juniper Ridge Landfill. We are party to an agreement for the construction of a landfill RNG facility plant at the Juniper Ridge Landfill, which will be constructed, owned and operated by a third-party. We expect this RNG facility to be operational at some point in fiscal year 2023.</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Our Western region consists of the following landfills:</w:t>
      </w:r>
    </w:p>
    <w:p>
      <w:pPr>
        <w:spacing w:after="0" w:line="112"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i w:val="1"/>
          <w:iCs w:val="1"/>
          <w:color w:val="auto"/>
        </w:rPr>
        <w:t xml:space="preserve">Waste USA Landfill. </w:t>
      </w:r>
      <w:r>
        <w:rPr>
          <w:rFonts w:ascii="Arial" w:cs="Arial" w:eastAsia="Arial" w:hAnsi="Arial"/>
          <w:sz w:val="16"/>
          <w:szCs w:val="16"/>
          <w:color w:val="auto"/>
        </w:rPr>
        <w:t>Waste USA Landfill is a Subtitle D landfill located in Coventry, Vermont that we purchased in 1995, and is the only operating permitted</w:t>
      </w:r>
      <w:r>
        <w:rPr>
          <w:rFonts w:ascii="Arial" w:cs="Arial" w:eastAsia="Arial" w:hAnsi="Arial"/>
          <w:sz w:val="16"/>
          <w:szCs w:val="16"/>
          <w:i w:val="1"/>
          <w:iCs w:val="1"/>
          <w:color w:val="auto"/>
        </w:rPr>
        <w:t xml:space="preserve"> </w:t>
      </w:r>
      <w:r>
        <w:rPr>
          <w:rFonts w:ascii="Arial" w:cs="Arial" w:eastAsia="Arial" w:hAnsi="Arial"/>
          <w:sz w:val="16"/>
          <w:szCs w:val="16"/>
          <w:color w:val="auto"/>
        </w:rPr>
        <w:t>Subtitle D landfill in the State of Vermont. Waste USA Landfill consists of approximately 144 acres of permitted or permittable landfill area and is permitted to accept up to 0.6 million tons of municipal solid waste, C&amp;D material and certain pre-approved special waste annually. The Waste USA Landfill site houses a landfill gas-to-energy plant, which is owned and operated by a third-party, that has the capacity to generate 8.0 MW of energy.</w:t>
      </w:r>
    </w:p>
    <w:p>
      <w:pPr>
        <w:spacing w:after="0" w:line="56"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i w:val="1"/>
          <w:iCs w:val="1"/>
          <w:color w:val="auto"/>
        </w:rPr>
        <w:t xml:space="preserve">Clinton County Landfill. </w:t>
      </w:r>
      <w:r>
        <w:rPr>
          <w:rFonts w:ascii="Arial" w:cs="Arial" w:eastAsia="Arial" w:hAnsi="Arial"/>
          <w:sz w:val="18"/>
          <w:szCs w:val="18"/>
          <w:color w:val="auto"/>
        </w:rPr>
        <w:t>Clinton County Landfill, which currently consists of approximately 197 acres of permitted or permittable landfill area, portions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leased from Clinton County, and other portions owned by us, is permitted to accept up to approximately 0.3 million tons of municipal solid waste, C&amp;D material and certain pre-approved special waste annually. The Clinton County Landfill site houses a landfill gas-to-energy facility, which is owned by us and operated by a third party, that has the capacity to generate 6.4 MW of energy.</w:t>
      </w:r>
    </w:p>
    <w:p>
      <w:pPr>
        <w:spacing w:after="0" w:line="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Hyland Landfill. </w:t>
      </w:r>
      <w:r>
        <w:rPr>
          <w:rFonts w:ascii="Arial" w:cs="Arial" w:eastAsia="Arial" w:hAnsi="Arial"/>
          <w:sz w:val="18"/>
          <w:szCs w:val="18"/>
          <w:color w:val="auto"/>
        </w:rPr>
        <w:t>Hyland Landfill is a Subtitle D landfill located in Angelica, New York that we own, and that began accepting waste in 1998. Hyland Landfill</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consists of approximately 180 acres of permitted or permittable landfill area and is permitted to accept up to 0.5 million tons of municipal solid waste, C&amp;D material and certain pre-approved special waste annually. The Hyland Landfill site houses a landfill gas-to-energy facility, which is owned by us and operated by a third-party, that has the capacity to generate 4.8 MW of energy.</w:t>
      </w:r>
    </w:p>
    <w:p>
      <w:pPr>
        <w:spacing w:after="0" w:line="85"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i w:val="1"/>
          <w:iCs w:val="1"/>
          <w:color w:val="auto"/>
        </w:rPr>
        <w:t xml:space="preserve">Ontario County Landfill. </w:t>
      </w:r>
      <w:r>
        <w:rPr>
          <w:rFonts w:ascii="Arial" w:cs="Arial" w:eastAsia="Arial" w:hAnsi="Arial"/>
          <w:sz w:val="18"/>
          <w:szCs w:val="18"/>
          <w:color w:val="auto"/>
        </w:rPr>
        <w:t>Ontario County Landfill is a Subtitle D landfill located in Seneca, New York. In 2003, we entered into a 25-year operation,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lease agreement for the Ontario County Landfill with the Ontario County Board of Supervisors. Ontario County Landfill currently consists of approximately 171 acres of permitted or permittable landfill area and is permitted to accept up to 0.9 million tons of municipal solid waste, C&amp;D material and certain pre-approved special waste annually and is strategically situated to accept long haul volume from both the eastern and downstate New York markets. In January 2016, we received an expansion permit at the Ontario County Landfill, which is sufficient to permit the additional airspace required for the remaining term of the 25-year operation, management and lease agreement. The Ontario County Landfill site houses a Zero-Sort materials recovery facility ("MRF"), which is operated by us, and a landfill gas-to-energy facility, which is owned and operated by a third-party, that has the capacity to generate 11.2 MW of energy.</w:t>
      </w:r>
    </w:p>
    <w:p>
      <w:pPr>
        <w:spacing w:after="0" w:line="90" w:lineRule="exact"/>
        <w:rPr>
          <w:sz w:val="20"/>
          <w:szCs w:val="20"/>
          <w:color w:val="auto"/>
        </w:rPr>
      </w:pPr>
    </w:p>
    <w:p>
      <w:pPr>
        <w:ind w:right="960"/>
        <w:spacing w:after="0" w:line="329" w:lineRule="auto"/>
        <w:rPr>
          <w:sz w:val="20"/>
          <w:szCs w:val="20"/>
          <w:color w:val="auto"/>
        </w:rPr>
      </w:pPr>
      <w:r>
        <w:rPr>
          <w:rFonts w:ascii="Arial" w:cs="Arial" w:eastAsia="Arial" w:hAnsi="Arial"/>
          <w:sz w:val="16"/>
          <w:szCs w:val="16"/>
          <w:i w:val="1"/>
          <w:iCs w:val="1"/>
          <w:color w:val="auto"/>
        </w:rPr>
        <w:t xml:space="preserve">Hakes Landfill. </w:t>
      </w:r>
      <w:r>
        <w:rPr>
          <w:rFonts w:ascii="Arial" w:cs="Arial" w:eastAsia="Arial" w:hAnsi="Arial"/>
          <w:sz w:val="16"/>
          <w:szCs w:val="16"/>
          <w:color w:val="auto"/>
        </w:rPr>
        <w:t>Hakes Landfill is a C&amp;D landfill located in Campbell, New York that we purchased in 1998. Hakes Landfill currently consists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122 acres of permitted and permittable landfill area and is permitted to accept up to 0.5 million tons of C&amp;D material annually.</w:t>
      </w:r>
    </w:p>
    <w:p>
      <w:pPr>
        <w:spacing w:after="0" w:line="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Chemung County Landfill. </w:t>
      </w:r>
      <w:r>
        <w:rPr>
          <w:rFonts w:ascii="Arial" w:cs="Arial" w:eastAsia="Arial" w:hAnsi="Arial"/>
          <w:sz w:val="16"/>
          <w:szCs w:val="16"/>
          <w:color w:val="auto"/>
        </w:rPr>
        <w:t>Chemung County Landfill is a Subtitle D landfill located in Chemung, New York. In 2005, we entered into a 25-year operation,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lease agreement for Chemung County Landfill and certain other facilities with Chemung County. Chemung County Landfill currently consists of approximately 113 acres of permitted or permittable landfill area strategically situated to accept long haul volume from both eastern and downstate New York markets and is permitted to accept up to 0.4 million tons of municipal solid waste and certain pre-approved special waste annually and 20.5 thousand tons of C&amp;D material annually. In the fiscal year ended December 31, 2016, we received an expansion permit at Chemung County Landfill, which is sufficient to permit the additional airspace required for the remaining term of the 25-year operation, management and lease agreement. In fiscal year 2019, we exercised an option to extend the remaining term of the operation, management and lease agreement for up to five years through 2035.</w:t>
      </w:r>
    </w:p>
    <w:p>
      <w:pPr>
        <w:spacing w:after="0" w:line="61"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McKean Landfill. </w:t>
      </w:r>
      <w:r>
        <w:rPr>
          <w:rFonts w:ascii="Arial" w:cs="Arial" w:eastAsia="Arial" w:hAnsi="Arial"/>
          <w:sz w:val="18"/>
          <w:szCs w:val="18"/>
          <w:color w:val="auto"/>
        </w:rPr>
        <w:t>McKean Landfill is a Subtitle D landfill located in Mount Jewett, Pennsylvania that we purchased in 2011. McKean Landfill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approximately 256 acres of permitted or permittable landfill area and is permitted to accept up to approximately 1.6 million tons of municipal solid waste, C&amp;D material and certain pre-approved special waste annually. We are in the process of pursuing the development of rail infrastructure to expand the market reach for the landfill to rail capable transfer facilities.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closed landfills consist of the following landfills:</w:t>
      </w:r>
    </w:p>
    <w:p>
      <w:pPr>
        <w:spacing w:after="0" w:line="99"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In fiscal year 2017, we initiated a plan to cease operations of the Town of Southbridge, Massachusetts landfill (“Southbridge Landfill”) and decided to not proceed with expansion efforts and to close Southbridge Landfill once the remaining capacity had been exhausted, which occurred in fiscal year 2018. Closure operations, which began in November 2018 when Southbridge Landfill reached its final capacity, are ongoing. The site houses a landfill gas-to-energy facility, which is owned by us and operated by a third-party, that has the capacity to generate 1.6 MW of energy.</w:t>
      </w:r>
    </w:p>
    <w:p>
      <w:pPr>
        <w:spacing w:after="0" w:line="56"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color w:val="auto"/>
        </w:rPr>
        <w:t>In addition to Southbridge Landfill, we own and/or manage five unlined landfills and three lined landfills that are not currently in operation. We are closing, in the case of Southbridge Landfill, or have closed and capped all of these landfills according to applicable environmental regulatory standards.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Solutions</w:t>
      </w:r>
    </w:p>
    <w:p>
      <w:pPr>
        <w:spacing w:after="0" w:line="112" w:lineRule="exact"/>
        <w:rPr>
          <w:sz w:val="20"/>
          <w:szCs w:val="20"/>
          <w:color w:val="auto"/>
        </w:rPr>
      </w:pPr>
    </w:p>
    <w:p>
      <w:pPr>
        <w:ind w:right="40"/>
        <w:spacing w:after="0" w:line="348" w:lineRule="auto"/>
        <w:rPr>
          <w:sz w:val="20"/>
          <w:szCs w:val="20"/>
          <w:color w:val="auto"/>
        </w:rPr>
      </w:pPr>
      <w:r>
        <w:rPr>
          <w:rFonts w:ascii="Arial" w:cs="Arial" w:eastAsia="Arial" w:hAnsi="Arial"/>
          <w:sz w:val="14"/>
          <w:szCs w:val="14"/>
          <w:color w:val="auto"/>
        </w:rPr>
        <w:t>Our Resource Solutions operating segment was formed to leverage our core competencies in materials processing, industrial recycling, organics and resource management service offerings in order to generate additional value from the waste stream for larger commercial, municipal, institutional and industrial customers with more diverse needs. Resource solutions services are comprised of processing services and our Customer Solutions business. We also work to develop and/or partner with firms that have developed innovative approaches to deriving incremental value from the organic portion of the waste stream.</w:t>
      </w:r>
    </w:p>
    <w:p>
      <w:pPr>
        <w:spacing w:after="0" w:line="24" w:lineRule="exact"/>
        <w:rPr>
          <w:sz w:val="20"/>
          <w:szCs w:val="20"/>
          <w:color w:val="auto"/>
        </w:rPr>
      </w:pPr>
    </w:p>
    <w:p>
      <w:pPr>
        <w:jc w:val="both"/>
        <w:ind w:right="160"/>
        <w:spacing w:after="0" w:line="319" w:lineRule="auto"/>
        <w:rPr>
          <w:sz w:val="20"/>
          <w:szCs w:val="20"/>
          <w:color w:val="auto"/>
        </w:rPr>
      </w:pPr>
      <w:r>
        <w:rPr>
          <w:rFonts w:ascii="Arial" w:cs="Arial" w:eastAsia="Arial" w:hAnsi="Arial"/>
          <w:sz w:val="15"/>
          <w:szCs w:val="15"/>
          <w:i w:val="1"/>
          <w:iCs w:val="1"/>
          <w:color w:val="auto"/>
        </w:rPr>
        <w:t xml:space="preserve">Processing. </w:t>
      </w:r>
      <w:r>
        <w:rPr>
          <w:rFonts w:ascii="Arial" w:cs="Arial" w:eastAsia="Arial" w:hAnsi="Arial"/>
          <w:sz w:val="15"/>
          <w:szCs w:val="15"/>
          <w:color w:val="auto"/>
        </w:rPr>
        <w:t>Processing services consist of the receipt of recycled, sludge or other organic materials at one of our materials recovery, processing or disposal</w:t>
      </w:r>
      <w:r>
        <w:rPr>
          <w:rFonts w:ascii="Arial" w:cs="Arial" w:eastAsia="Arial" w:hAnsi="Arial"/>
          <w:sz w:val="15"/>
          <w:szCs w:val="15"/>
          <w:i w:val="1"/>
          <w:iCs w:val="1"/>
          <w:color w:val="auto"/>
        </w:rPr>
        <w:t xml:space="preserve"> </w:t>
      </w:r>
      <w:r>
        <w:rPr>
          <w:rFonts w:ascii="Arial" w:cs="Arial" w:eastAsia="Arial" w:hAnsi="Arial"/>
          <w:sz w:val="15"/>
          <w:szCs w:val="15"/>
          <w:color w:val="auto"/>
        </w:rPr>
        <w:t>facilities, where it is then sorted, mixed and/or processed, and then disposed of or sold. Revenues from processing services are derived from municipalities and customers in the form of processing fees, tipping fees, and commodity sales, primarily comprised of newspaper, corrugated containers, plastics, ferrous and aluminum, and organic materials such as our earthlife</w:t>
      </w:r>
      <w:r>
        <w:rPr>
          <w:rFonts w:ascii="Arial" w:cs="Arial" w:eastAsia="Arial" w:hAnsi="Arial"/>
          <w:sz w:val="8"/>
          <w:szCs w:val="8"/>
          <w:color w:val="auto"/>
        </w:rPr>
        <w:t>®</w:t>
      </w:r>
      <w:r>
        <w:rPr>
          <w:rFonts w:ascii="Arial" w:cs="Arial" w:eastAsia="Arial" w:hAnsi="Arial"/>
          <w:sz w:val="15"/>
          <w:szCs w:val="15"/>
          <w:color w:val="auto"/>
        </w:rPr>
        <w:t xml:space="preserve"> soils products including fertilizers, composts and mulches.</w:t>
      </w:r>
    </w:p>
    <w:p>
      <w:pPr>
        <w:spacing w:after="0" w:line="4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are one of the largest processors and marketers of recycled materials in the northeastern United States with facilities located in Vermont, New York, Maine, Connecticut, and Massachusetts, including our seven large-scale, high volume MRFs, one of which is located in New York, two of which are located in Vermont, two of which are located in Massachusetts, one of which is located in Connecticut, and one of which is located in Maine. Three of the seven MRFs are leased, three are owned, and one is operated by us under a contract with a municipal third-party. Our MRFs receive, sort, bale and sell recyclable materials originating from the municipal solid waste stream, including newsprint, cardboard, office paper, glass, plastic, steel or aluminum containers and bottles. We also operate smaller MRFs, which generally process recyclables collected from our various residential and commercial collection operations.</w:t>
      </w:r>
    </w:p>
    <w:p>
      <w:pPr>
        <w:spacing w:after="0" w:line="63"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A substantial portion of the recyclable materials provided is delivered pursuant to multiple long-term anchor contracts. The terms of the recycling contracts vary, but all of the contracts provide that the municipality or a third-party delivers the recycled materials to our facility. These contracts may include a minimum volume guarantee by the municipality. We also have service agreements with individual towns and cities and commercial customers, including small solid waste companies and major competitors, which do not have processing capacity within a specific geographic region. Under the recycling contracts, we charge the municipality a fee for each ton of material delivered to us. Some contracts contain revenue sharing arrangements under which the municipality receives a specified percentage of our revenues from the sale of the recovered materials if certain economic thresholds are met. In fiscal year 2022, we processed and/or marketed over 0.8 million tons of recyclable materials, including tons marketed through our Customer Solutions business commodity brokerage division and our baling facilities located throughout our footprint, including just over 0.7 million tons per year of recycled materials delivered by municipalities and commercial customers under long-term anchor contracts.</w:t>
      </w:r>
    </w:p>
    <w:p>
      <w:pPr>
        <w:spacing w:after="0" w:line="6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pricing for recyclable materials can fluctuate based upon market conditions. We have actively worked to reduce our risk exposure to commodity pricing volatility through our efforts to shift customers to a processing fee model and other risk management programs. We effectively manage commodity pricing volatility through our long-term revenue sharing (or processing fee) contracts with customers. Under such contracts, we obtain a guaranteed minimum price for recyclable materials through the receipt of a tipping or processing fee when commodity prices fall below agreed upon thresholds. Conversely, when prices for recyclable materials rise above agreed upon thresholds, we provide the counterparty with a portion of the related revenues above such threshold. Also, we mitigate the impact from commodity price fluctuations through the use of a floating SRA Fee charged to collection customers to reduce recycling commodity risk. Further, we work to manage commodity pricing risk through commodity sales contracts with large domestic companies that use the recyclable materials in their manufacturing process, such as paper, packaging and consumer goods companies.</w:t>
      </w:r>
    </w:p>
    <w:p>
      <w:pPr>
        <w:spacing w:after="0" w:line="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global recycling market has experienced volatility due to changes in economic conditions and numerous other factors beyond our control, from negative commodity pricing pressure resulting from China's National Sword program in fiscal year 2017, to near record highs followed by near record lows in fiscal year 2022.</w:t>
      </w:r>
    </w:p>
    <w:p>
      <w:pPr>
        <w:spacing w:after="0" w:line="82"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See also Item 7A. “</w:t>
      </w:r>
      <w:r>
        <w:rPr>
          <w:rFonts w:ascii="Arial" w:cs="Arial" w:eastAsia="Arial" w:hAnsi="Arial"/>
          <w:sz w:val="18"/>
          <w:szCs w:val="18"/>
          <w:i w:val="1"/>
          <w:iCs w:val="1"/>
          <w:color w:val="auto"/>
        </w:rPr>
        <w:t>Quantitative and Qualitative Disclosure About Market Risk</w:t>
      </w:r>
      <w:r>
        <w:rPr>
          <w:rFonts w:ascii="Arial" w:cs="Arial" w:eastAsia="Arial" w:hAnsi="Arial"/>
          <w:sz w:val="18"/>
          <w:szCs w:val="18"/>
          <w:color w:val="auto"/>
        </w:rPr>
        <w:t>” of this Annual Report on Form 10-K for further discussion over commodity price volatility.</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i w:val="1"/>
          <w:iCs w:val="1"/>
          <w:color w:val="auto"/>
        </w:rPr>
        <w:t xml:space="preserve">Customer Solutions. </w:t>
      </w:r>
      <w:r>
        <w:rPr>
          <w:rFonts w:ascii="Arial" w:cs="Arial" w:eastAsia="Arial" w:hAnsi="Arial"/>
          <w:sz w:val="16"/>
          <w:szCs w:val="16"/>
          <w:color w:val="auto"/>
        </w:rPr>
        <w:t>Our Customer Solutions business consists of brokerage services and overall resource management services, which provide a wide range</w:t>
      </w:r>
      <w:r>
        <w:rPr>
          <w:rFonts w:ascii="Arial" w:cs="Arial" w:eastAsia="Arial" w:hAnsi="Arial"/>
          <w:sz w:val="16"/>
          <w:szCs w:val="16"/>
          <w:i w:val="1"/>
          <w:iCs w:val="1"/>
          <w:color w:val="auto"/>
        </w:rPr>
        <w:t xml:space="preserve"> </w:t>
      </w:r>
      <w:r>
        <w:rPr>
          <w:rFonts w:ascii="Arial" w:cs="Arial" w:eastAsia="Arial" w:hAnsi="Arial"/>
          <w:sz w:val="16"/>
          <w:szCs w:val="16"/>
          <w:color w:val="auto"/>
        </w:rPr>
        <w:t>of environmental services and resource management solutions to large and complex organizations, as well as traditional collection, disposal and recycling services provided to large account multi-site customers. In brokerage arrangements, we act as an agent that facilitates the sale of recyclable and organic materials between an inbound customer and an outbound customer. Revenues from the brokerage of recycled materials are recognized on a net basis at the time of shipment. In general, these fees are variable in nature. In overall resource management services, we work with larger scale commercial or industrial organizations (including multi-location customers, colleges and universities, municipalities, and industrial customers) to develop customized solid waste and recycling solutions. The focus of this business is to help these large-scale organizations achieve their economic and environmental objectives related to waste and residual management. We strive to differentiate our services from our competitors by providing customized and comprehensive resource solutions, which enables us to win new business, including traditional solid waste collection and disposal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solid waste services industry is competitive and requires substantial labor and capital resources. Our business strategy generally focuses on operating in secondary or tertiary markets where we have a leading market presence. However, in the larger urban markets where we operate, we typically compete against one or more of the large national solid waste companies, including Waste Management, Inc., Republic Services, Inc. and Waste Connections, Inc., any of which may be able to achieve greater economies of scale than we can. We also compete with a number of regional and local companies that offer competitive prices and quality service. We compete primarily on the basis of the quality, breadth and price of our services. This includes our Resource Solutions operating segment, from which we strive to leverage our core competencies in materials processing, industrial recycling, organics, and resource management service offerings to deliver a comprehensive solution for our larger commercial, municipal, institutional and industrial customers that have more diverse solid waste and recycling needs. In addition, we compete with operators of alternative disposal facilities, including incinerators; with certain municipalities, counties and districts that operate their own solid waste collection and disposal facilities; and with rail-serviced transfer stations that use rail to transport waste to disposal sites outside of northeastern markets. Public sector facilities may have certain advantages over us due to the availability of user fees, charges or tax revenues.</w:t>
      </w:r>
    </w:p>
    <w:p>
      <w:pPr>
        <w:spacing w:after="0" w:line="8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From time to time, competitors may reduce the price of their services in an effort to expand market share or to win a competitively bid municipal contract. These practices may also lead to reduced pricing for our services or the loss of business. In addition, competition exists within the industry for potential acquisition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18" w:lineRule="exact"/>
        <w:rPr>
          <w:sz w:val="20"/>
          <w:szCs w:val="20"/>
          <w:color w:val="auto"/>
        </w:rPr>
      </w:pPr>
    </w:p>
    <w:p>
      <w:pPr>
        <w:ind w:right="80"/>
        <w:spacing w:after="0" w:line="396" w:lineRule="auto"/>
        <w:rPr>
          <w:sz w:val="20"/>
          <w:szCs w:val="20"/>
          <w:color w:val="auto"/>
        </w:rPr>
      </w:pPr>
      <w:r>
        <w:rPr>
          <w:rFonts w:ascii="Arial" w:cs="Arial" w:eastAsia="Arial" w:hAnsi="Arial"/>
          <w:sz w:val="14"/>
          <w:szCs w:val="14"/>
          <w:color w:val="auto"/>
        </w:rPr>
        <w:t>We have aligned our sales and marketing strategies with other customer-facing teams - Customer Care, Business Development, Sales Operations, Marketing, Community Engagement, and Sustainability - to better serve our customers while delivering on several key strategic initiatives for sustainable growth.</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a part of our resource management offering, we serve customers with multiple locations and are focused on growing our number of municipal, institutional, commercial and industrial customers. We leverage broader service offerings of the Resource Solutions operating segment to provide customers with a full set of solutions to augment our regional and divisional service capabilities.</w:t>
      </w:r>
    </w:p>
    <w:p>
      <w:pPr>
        <w:spacing w:after="0" w:line="8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While we continue to provide traditional waste and recycling services locally, our differentiated sustainable resource management approach aims to meet our customers’ unique needs and strives to deliver value beyond competitors in local markets. We value and embrace the uniqueness of our local communities above the homogeneity of corporate process, while encouraging and supporting our local managers to engage with local government, non-profits, and business organizations.</w:t>
      </w:r>
    </w:p>
    <w:p>
      <w:pPr>
        <w:spacing w:after="0" w:line="8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Deep community engagement, supported by modern corporate brand governance and strategy gives us the flexibility needed to serve today’s customers and support communities. A combination of enterprise sustainability goals and efforts, strong brand placements, and marketing tactics are designed to unify and humanize our company while retaining existing customers and attracting new ones.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Insurance and Performance or Surety Bonds</w:t>
      </w:r>
    </w:p>
    <w:p>
      <w:pPr>
        <w:spacing w:after="0" w:line="11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actively maintain environmental and other risk management programs that we believe are appropriate for our business. Our environmental risk management program includes evaluating existing facilities, as well as potential acquisitions, for compliance with environmental law requirements. Operating practices at all of our operations are intended to reduce the possibility of environmental contamination, enforcement actions and litigation. We also maintain a worker safety program, which focuses on safe practices in the workplace.</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carry a range of insurance intended to protect our assets and operations, including a commercial general liability policy and a property damage policy. A partially or completely uninsured claim against us (including liabilities associated with cleanup or remediation at our facilities), if successful and of sufficient magnitude, could have a material adverse effect on our business, financial condition and results of operations. Due primarily to market factors beyond our control, the insurance market is increasingly restrictive, potentially limiting our ability to obtain adequate coverage at reasonable prices, if at all. Any future difficulty in obtaining insurance could also impair our ability to secure future contracts, which may be conditioned upon the availability of adequate insurance coverage. See Item 1A. “</w:t>
      </w:r>
      <w:r>
        <w:rPr>
          <w:rFonts w:ascii="Arial" w:cs="Arial" w:eastAsia="Arial" w:hAnsi="Arial"/>
          <w:sz w:val="16"/>
          <w:szCs w:val="16"/>
          <w:i w:val="1"/>
          <w:iCs w:val="1"/>
          <w:color w:val="auto"/>
        </w:rPr>
        <w:t>Risk Factors</w:t>
      </w:r>
      <w:r>
        <w:rPr>
          <w:rFonts w:ascii="Arial" w:cs="Arial" w:eastAsia="Arial" w:hAnsi="Arial"/>
          <w:sz w:val="16"/>
          <w:szCs w:val="16"/>
          <w:color w:val="auto"/>
        </w:rPr>
        <w:t>” of this Annual Report on Form 10-K for further disclosure.</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self-insure for automobile and workers’ compensation coverage with reinsurance coverage limiting our maximum exposure. In fiscal year 2022, our maximum exposure per individual event under the workers’ compensation plan was $1.25 million. In fiscal year 2022, our minimum and maximum exposure per individual event under the automobile plan were up to $1.50 million and $3.65 million, respectively.</w:t>
      </w:r>
    </w:p>
    <w:p>
      <w:pPr>
        <w:spacing w:after="0" w:line="8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Municipal solid waste collection contracts and landfill closure and post-closure obligations may require performance or surety bonds, letters of credit or other means of financial assurance to secure contractual performance. While we have not experienced difficulty in obtaining these financial instruments, if we are unable to obtain these financial instruments in sufficient amounts or at acceptable rates, we could be precluded from entering into additional municipal contracts or obtaining or retaining landfill operating permits.</w:t>
      </w:r>
    </w:p>
    <w:p>
      <w:pPr>
        <w:spacing w:after="0" w:line="85"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We hold a 19.9% ownership interest in Evergreen National Indemnity Company (“Evergreen”), a surety company which provides surety bonds to secure our contractual obligations for certain municipal solid waste collection contracts and landfill closure and post-closure obligations. Our ownership interest in Evergreen is pledged to Evergreen as security for our obligations under the bonds they provide on our behalf.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1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provide our collection services to commercial, municipal, institutional, industrial and residential customers. A majority of our commercial and industrial collection services are performed under one-to-five year service agreements, and fees are determined by such factors as: professional or management services required; collection frequency and the related operational costs; type of equipment and containers furnished; the type, volume and weight of the solid waste, recyclables or organics collected; the distance to the disposal or processing facility; and the cost of disposal or processing. Our residential collection and disposal services are performed either on a subscription basis (with no underlying contract) with individuals, or through contracts with municipalities, homeowners' associations, apartment owners or mobile home park operators. We provide recycling processing services to municipalities, commercial haulers and commercial waste generators within the geographic proximity of the processing facilities.</w:t>
      </w:r>
    </w:p>
    <w:p>
      <w:pPr>
        <w:spacing w:after="0" w:line="61" w:lineRule="exact"/>
        <w:rPr>
          <w:sz w:val="20"/>
          <w:szCs w:val="20"/>
          <w:color w:val="auto"/>
        </w:rPr>
      </w:pPr>
    </w:p>
    <w:p>
      <w:pPr>
        <w:ind w:right="560"/>
        <w:spacing w:after="0" w:line="296" w:lineRule="auto"/>
        <w:rPr>
          <w:sz w:val="20"/>
          <w:szCs w:val="20"/>
          <w:color w:val="auto"/>
        </w:rPr>
      </w:pPr>
      <w:r>
        <w:rPr>
          <w:rFonts w:ascii="Arial" w:cs="Arial" w:eastAsia="Arial" w:hAnsi="Arial"/>
          <w:sz w:val="17"/>
          <w:szCs w:val="17"/>
          <w:color w:val="auto"/>
        </w:rPr>
        <w:t>We also provide brokerage services and overall resource management services providing a wide range of environmental services to large and complex organizations, as well as traditional collection, disposal and recycling services provided to large account multi-site customers.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northeastern United States.</w:t>
      </w:r>
    </w:p>
    <w:p>
      <w:pPr>
        <w:spacing w:after="0" w:line="82"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Because certain of our operating and fixed costs remain constant throughout the fiscal year, operating income is therefore impacted by a similar seasonality. Our operations can be adversely affected by periods of inclement or severe weather, which and may increase with the physical impacts of climate change and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9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Our processing line-of-business in our Resource Solutions operating segment experiences increased volumes of recycled fibers from November through mid-January due to increased retail activity during the holiday season.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2" w:lineRule="exact"/>
        <w:rPr>
          <w:sz w:val="20"/>
          <w:szCs w:val="20"/>
          <w:color w:val="auto"/>
        </w:rPr>
      </w:pPr>
    </w:p>
    <w:p>
      <w:pPr>
        <w:ind w:right="100"/>
        <w:spacing w:after="0" w:line="340" w:lineRule="auto"/>
        <w:rPr>
          <w:sz w:val="20"/>
          <w:szCs w:val="20"/>
          <w:color w:val="auto"/>
        </w:rPr>
      </w:pPr>
      <w:r>
        <w:rPr>
          <w:rFonts w:ascii="Arial" w:cs="Arial" w:eastAsia="Arial" w:hAnsi="Arial"/>
          <w:sz w:val="14"/>
          <w:szCs w:val="14"/>
          <w:color w:val="auto"/>
        </w:rPr>
        <w:t>Our facilities and operations are subject to a variety of federal, state and local requirements that regulate, among other things, the environment, public health, safety, zoning and land use. In order to transport, process, or dispose of solid waste, it is necessary for us to possess and comply with one or more permits from federal, state and/or local agencies. We must renew these permits periodically, and the permits may be modified or revoked by the issuing agency under certain circumstances. We are subject to extensive federal, state and local laws and regulations. The laws and regulations affecting us are administered by the United States Environmental Protection Agency (“EPA”) and other federal, state and local environmental, zoning, financial, health and safety agencies.</w:t>
      </w:r>
    </w:p>
    <w:p>
      <w:pPr>
        <w:spacing w:after="0" w:line="30"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In order to comply with these regulations, we must incur substantial capital expenditures relating to our vehicles, landfills, transfer stations, and recycling processing centers, and in connection with our capping, closure, post-closure and environmental remediation activities. Compliance with existing and future legal and regulatory requirements, including changes relating to per- and polyfluoroalkyl substances (commonly referred to as "PFAS") and other chemicals of emerging concern, and limitations or bans on disposal of certain types of wastes or on the transportation of waste, could increase our costs to operate or require additional capital expenditures. Failure to comply with such requirements could result in substantial costs or penalties, including civil and criminal fines and penalties.</w:t>
      </w:r>
    </w:p>
    <w:p>
      <w:pPr>
        <w:spacing w:after="0" w:line="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strive to conduct our operations in compliance with applicable laws, regulations and permits. However, from time to time we have been issued citations or notices from governmental authorities that have resulted in the need to expend funds for remedial work and related activities at various landfills and other facilities or in the need to expend funds for fines, penalties or settlements. Citations and notices may be issued in the future, notwithstanding our strong regulatory compliance efforts.</w:t>
      </w:r>
    </w:p>
    <w:p>
      <w:pPr>
        <w:spacing w:after="0" w:line="85"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Except as described in this Annual Report on Form 10-K, we believe that we are currently in substantial compliance with applicable federal, state and local environmental laws, permits, orders and regulations. Other than as disclosed herein, we do not currently anticipate any material costs to bring our existing operations into environmental compliance, although there can be no assurance in this regard for the future. We expect that our operations in the solid waste services industry will be subject to continued and increased regulation, legislation and enforcement oversight. We attempt to anticipate future legal and regulatory requirements and to keep our operations in compliance with those requirements.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federal statutes and regulations applicable to our operations are as follows: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Resource Conservation and Recovery Act of 1976, as amended (“RCRA”)</w:t>
      </w:r>
    </w:p>
    <w:p>
      <w:pPr>
        <w:spacing w:after="0" w:line="112" w:lineRule="exact"/>
        <w:rPr>
          <w:sz w:val="20"/>
          <w:szCs w:val="20"/>
          <w:color w:val="auto"/>
        </w:rPr>
      </w:pPr>
    </w:p>
    <w:p>
      <w:pPr>
        <w:ind w:right="20"/>
        <w:spacing w:after="0" w:line="340" w:lineRule="auto"/>
        <w:rPr>
          <w:sz w:val="20"/>
          <w:szCs w:val="20"/>
          <w:color w:val="auto"/>
        </w:rPr>
      </w:pPr>
      <w:r>
        <w:rPr>
          <w:rFonts w:ascii="Arial" w:cs="Arial" w:eastAsia="Arial" w:hAnsi="Arial"/>
          <w:sz w:val="14"/>
          <w:szCs w:val="14"/>
          <w:color w:val="auto"/>
        </w:rPr>
        <w:t>The RCRA regulates the generation, treatment, storage, handling, transportation and disposal of solid waste and requires states to develop programs to ensure the safe disposal of solid waste. The RCRA divides waste into two categories, hazardous and non-hazardous. Wastes are generally classified as hazardous if they either (a) are specifically included on a list of hazardous wastes, or (b) exhibit certain characteristics defined as hazardous and are not specifically designated as non-hazardous. Wastes classified as hazardous waste are subject to more extensive regulation than wastes classified as non-hazardous, and businesses that deal with hazardous waste are subject to regulatory obligations in addition to those imposed on businesses that deal with non-hazardous waste.</w:t>
      </w:r>
    </w:p>
    <w:p>
      <w:pPr>
        <w:spacing w:after="0" w:line="30" w:lineRule="exact"/>
        <w:rPr>
          <w:sz w:val="20"/>
          <w:szCs w:val="20"/>
          <w:color w:val="auto"/>
        </w:rPr>
      </w:pPr>
    </w:p>
    <w:p>
      <w:pPr>
        <w:ind w:right="980"/>
        <w:spacing w:after="0" w:line="266" w:lineRule="auto"/>
        <w:rPr>
          <w:sz w:val="20"/>
          <w:szCs w:val="20"/>
          <w:color w:val="auto"/>
        </w:rPr>
      </w:pPr>
      <w:r>
        <w:rPr>
          <w:rFonts w:ascii="Arial" w:cs="Arial" w:eastAsia="Arial" w:hAnsi="Arial"/>
          <w:sz w:val="18"/>
          <w:szCs w:val="18"/>
          <w:color w:val="auto"/>
        </w:rPr>
        <w:t>Among the wastes that are specifically designated as non-hazardous are household waste and “special” waste, including items such as petroleum contaminated soils, asbestos, foundry sand, shredder fluff and most non-hazardous industrial waste products.</w:t>
      </w:r>
    </w:p>
    <w:p>
      <w:pPr>
        <w:spacing w:after="0" w:line="73" w:lineRule="exact"/>
        <w:rPr>
          <w:sz w:val="20"/>
          <w:szCs w:val="20"/>
          <w:color w:val="auto"/>
        </w:rPr>
      </w:pPr>
    </w:p>
    <w:p>
      <w:pPr>
        <w:spacing w:after="0" w:line="332" w:lineRule="auto"/>
        <w:rPr>
          <w:sz w:val="20"/>
          <w:szCs w:val="20"/>
          <w:color w:val="auto"/>
        </w:rPr>
      </w:pPr>
      <w:r>
        <w:rPr>
          <w:rFonts w:ascii="Arial" w:cs="Arial" w:eastAsia="Arial" w:hAnsi="Arial"/>
          <w:sz w:val="14"/>
          <w:szCs w:val="14"/>
          <w:color w:val="auto"/>
        </w:rPr>
        <w:t>The EPA regulations issued under Subtitle C of the RCRA impose a comprehensive “cradle to grave” system for tracking the generation, transportation, treatment, storage and disposal of hazardous wastes. Subtitle C regulations impose obligations on generators, transporters and disposers of hazardous wastes, and require permits that are costly to obtain and maintain for sites where those businesses treat, store or dispose of such material. Subtitle C requirements include detailed operating, inspection, training and emergency preparedness and response standards, as well as requirements for manifesting, record keeping and reporting, corrective action, facility closure, post-closure and financial responsibility. Most states have promulgated regulations modeled on some or all of the Subtitle C provisions issued by the EPA, and in many instances the EPA has delegated to those states the principal role in regulating businesses which are subject to those requirements. Some state regulations impose obligations different from and in addition to those the EPA imposes under Subtitle C.</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Leachate generated at our landfills and transfer stations is tested on a regular basis, and generally is not regulated as a hazardous waste under federal law.</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However, there is no guarantee that leachate generated from our facilities in the future will not be classified as hazardous waste.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In October 1991, the EPA adopted the Subtitle D regulations under RCRA governing solid waste landfills. The Subtitle D regulations, which generally became effective in October 1993, include siting restrictions, facility design standards, operating criteria, closure and post-closure requirements, financial assurance requirements, groundwater monitoring requirements, groundwater remediation standards and corrective action requirements. In addition, the Subtitle D regulations require that new landfill sites meet more stringent liner design criteria (typically, composite soil and synthetic liners or two or more synthetic liners) intended to keep leachate out of groundwater and have extensive collection systems to carry away leachate for treatment prior to disposal. Regulations generally require us to install groundwater monitoring wells at virtually all landfills we operate, to monitor groundwater quality and, indirectly, the effectiveness of the leachate collection systems. The Subtitle D regulations also require facility owners or operators to control emissions of landfill gas (including methane) generated at landfills exceeding certain regulatory thresholds. State landfill regulations must meet those requirements or the EPA will impose such requirements upon landfill owners and operators in that state.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Federal Water Pollution Control Act of 1972, as amended (“Clean Water Act”)</w:t>
      </w:r>
    </w:p>
    <w:p>
      <w:pPr>
        <w:spacing w:after="0" w:line="112"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The Clean Water Act regulates the discharge of pollutants into “navigable waters” or “waters of the United States” from a variety of sources, including solid waste disposal sites and transfer stations, processing facilities and waste-to-energy facilities (collectively, “solid waste management facilities”). If pollutants from our solid waste management facilities are discharged into streams, rivers or other surface waters, or if there is a functional equivalent of a direct discharge into navigable waters, the Clean Water Act would require us to apply for and obtain a discharge permit, conduct sampling and monitoring and, under certain circumstances, reduce the quantity of pollutants in such discharge. A permit also may be required if run-off or leachate from our solid waste management facilities is discharged to an offsite treatment facility. Almost all solid waste management facilities must comply with the EPA’s storm water regulations, which govern the discharge of regulated storm water to surface waters.</w:t>
      </w:r>
    </w:p>
    <w:p>
      <w:pPr>
        <w:spacing w:after="0" w:line="73"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Under federal regulation, facilities that have above ground and/or below ground petroleum storage capacities over certain thresholds may be subject to regulations and/or permitting under the Clean Water Act. Many of our facilities have petroleum storage and are required to have a spill, prevention, control and countermeasures plan to prevent petroleum release to waters of the United States due to a spill, rupture or leak.</w:t>
      </w:r>
    </w:p>
    <w:p>
      <w:pPr>
        <w:spacing w:after="0" w:line="6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Several states in which we operate have been delegated the authority to implement the Clean Water Act requirements and in some cases the regulations are more stringent than the federal regulations. We believe we are in compliance with the Clean Water Act regulations; however future changes to the law or regulations could have a material impact on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Comprehensive Environmental Response, Compensation, and Liability Act of 1980, as amended (“CERCLA”)</w:t>
      </w:r>
    </w:p>
    <w:p>
      <w:pPr>
        <w:spacing w:after="0" w:line="11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CERCLA established a regulatory and remedial program intended to provide for the investigation and remediation of facilities where, or from which, a release of any hazardous substance into the environment has occurred or is threatened. CERCLA has been interpreted to impose retroactive, strict, and under certain circumstances, joint and severable, liability for the costs to investigate and clean up facilities on current owners and operators of the site, former owners and operators of the site at the time of the disposal of the hazardous substances, as well as the generators and certain transporters of the hazardous substances. CERCLA imposes liability for the costs of evaluating and addressing damage to natural resources. The costs of CERCLA investigation and cleanup can be substantial. Liability under CERCLA does not depend upon the existence or disposal of “hazardous waste” as defined by RCRA, but can be based on the presence of any of approximately 800 “hazardous substances” listed by the EPA, many of which can be found in household waste. The definition of “hazardous substances” in CERCLA incorporates substances designated as hazardous or toxic under the Federal Clean Water Act, Clean Air Act and Toxic Substances Control Act ("TSCA"). If we were found to be a responsible party for a CERCLA cleanup, under certain circumstances, the enforcing agency could pursue us or any other responsible party, for all investigative and remedial costs, even if others also were liable. CERCLA also authorizes the EPA to impose a lien in favor of the United States upon all real property subject to, or affected by, a remedial action for all costs for which the property owner is liable. CERCLA provides a responsible party with the right to bring a contribution action against other responsible parties for their allocable share of investigative and remedial costs. Our ability to obtain reimbursement for amounts we pay in excess of our allocable share of such costs would be limited by our ability to identify and locate other responsible parties and to prove the extent of their responsibility and by the financial resources of such other parties.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Clean Air Act of 1970, as amended (“Clean Air Act”)</w:t>
      </w:r>
    </w:p>
    <w:p>
      <w:pPr>
        <w:spacing w:after="0" w:line="11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Clean Air Act, generally through state implementation of federal requirements, regulates emissions of air pollutants from certain landfills based upon the date the landfill was constructed, the total capacity of the landfill and the annual volume of emissions. The EPA has promulgated new source performance standards regulating air emissions of certain regulated pollutants (non-methane organic compounds) from municipal solid waste landfills. Landfills located in areas where ambient levels of regulated pollutants exceed certain thresholds may be subject to more extensive air pollution controls and emission limitations. In addition, the EPA has issued standards regulating the disposal of asbestos-containing materials under the Clean Air Act.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EPA is also focusing on the emissions of greenhouse gases ("GHG"), including carbon dioxide and methane. In December 2009, the EPA issued its “endangerment finding” that carbon dioxide poses a threat to human health and welfare, providing the basis for the EPA to regulate GHG emissions. In December 2009 the EPA’s “Mandatory Reporting of Greenhouse Gases” rule went into effect, requiring facilities that emit twenty-five thousand metric tons or more per year of GHG emissions to submit annual reports to the EPA.</w:t>
      </w:r>
    </w:p>
    <w:p>
      <w:pPr>
        <w:spacing w:after="0" w:line="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May 2010, the EPA issued the so-called “GHG Tailoring Rule”, which described how certain sources that emit GHG would be subject to heightened Clean Air Act Prevention of Significant Deterioration ("PSD") / Title V regulation. In June 2014, the U.S. Supreme Court issued a decision partially invalidating the GHG Tailoring Rule and in 2015, the D.C. Circuit directed the EPA to consider further revisions to its regulations. In August 2016, the EPA proposed revisions to PSD and Title V regulations to clarify when sources would require permits based on GHG thresholds. We do not know whether or when the EPA will finalize regulations, or what obligations such regulations will impose on our operations.</w:t>
      </w:r>
    </w:p>
    <w:p>
      <w:pPr>
        <w:spacing w:after="0" w:line="7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adoption of other laws and regulations, which may include the imposition of fees or taxes, could adversely affect our collection and disposal operations. Additionally, certain of the states in which we operate are implementing air pollution control regulations, including regional cap and trade systems, relating to GHG that may be more stringent than regulations the EPA may promulgate. Several states have passed Climate Protection or Global Warming Acts intended to achieve statewide goals in reduction of GHG emissions. Changing environmental regulations could require us to take any number of actions, including purchasing emission allowances, developing mitigation strategies, or installing additional pollution control technology, and could make some operations less profitable, which could adversely affect our results of operations.</w:t>
      </w:r>
    </w:p>
    <w:p>
      <w:pPr>
        <w:spacing w:after="0" w:line="73" w:lineRule="exact"/>
        <w:rPr>
          <w:sz w:val="20"/>
          <w:szCs w:val="20"/>
          <w:color w:val="auto"/>
        </w:rPr>
      </w:pPr>
    </w:p>
    <w:p>
      <w:pPr>
        <w:ind w:right="540"/>
        <w:spacing w:after="0" w:line="329" w:lineRule="auto"/>
        <w:rPr>
          <w:sz w:val="20"/>
          <w:szCs w:val="20"/>
          <w:color w:val="auto"/>
        </w:rPr>
      </w:pPr>
      <w:r>
        <w:rPr>
          <w:rFonts w:ascii="Arial" w:cs="Arial" w:eastAsia="Arial" w:hAnsi="Arial"/>
          <w:sz w:val="16"/>
          <w:szCs w:val="16"/>
          <w:color w:val="auto"/>
        </w:rPr>
        <w:t>Congress has considered various options, including a cap and trade system, which could impose a limit on and establish a pricing mechanism for GHG emissions and emission allowances. There also is pressure for the United States to join international efforts to control GHG emissions.</w:t>
      </w:r>
    </w:p>
    <w:p>
      <w:pPr>
        <w:spacing w:after="0" w:line="27" w:lineRule="exact"/>
        <w:rPr>
          <w:sz w:val="20"/>
          <w:szCs w:val="20"/>
          <w:color w:val="auto"/>
        </w:rPr>
      </w:pPr>
    </w:p>
    <w:p>
      <w:pPr>
        <w:ind w:right="440"/>
        <w:spacing w:after="0" w:line="296" w:lineRule="auto"/>
        <w:rPr>
          <w:sz w:val="20"/>
          <w:szCs w:val="20"/>
          <w:color w:val="auto"/>
        </w:rPr>
      </w:pPr>
      <w:r>
        <w:rPr>
          <w:rFonts w:ascii="Arial" w:cs="Arial" w:eastAsia="Arial" w:hAnsi="Arial"/>
          <w:sz w:val="17"/>
          <w:szCs w:val="17"/>
          <w:color w:val="auto"/>
        </w:rPr>
        <w:t>The Clean Air Act regulates emissions of air pollutants from our processing facilities. The EPA has enacted standards that apply to those emissions. It is possible that the EPA, or a state where we operate, will enact additional or different emission standards in the future.</w:t>
      </w:r>
    </w:p>
    <w:p>
      <w:pPr>
        <w:spacing w:after="0" w:line="50"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All of the federal statutes described above authorize lawsuits by private citizens to enforce certain provisions of the statutes. In addition to a penalty award to the United States, some of those statutes authorize an award of attorney’s fees to private parties successfully advancing such an action.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Occupational Safety and Health Act of 1970, as amended (“OSHA”)</w:t>
      </w:r>
    </w:p>
    <w:p>
      <w:pPr>
        <w:spacing w:after="0" w:line="11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OSHA establishes employer responsibilities and authorizes the Occupational Safety and Health Administration to promulgate and enforce occupational health and safety standards, including the obligation to maintain a workplace free of recognized hazards likely to cause death or serious injury, to comply with adopted worker protection standards, to maintain certain records, to provide workers with required disclosures and to implement certain health and safety training programs. A variety of those promulgated standards may apply to our operations, including those standards concerning notices of hazards, safety in excavation and demolition work, the handling of asbestos and asbestos-containing materials, and worker training and emergency response programs.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Public Utility Regulatory Policies Act of 1978, As Amended (“PURPA”)</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PURPA exempts qualifying facilities from most federal and state laws governing the financial organization and rate regulation of electric utilities, and generally requires electric utilities to purchase electricity generated by qualifying facilities at a price equal to the utility’s full “avoided cost”. Our landfill gas-to-energy facilities are self-certified as “qualifying facilities”.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and Local Regulations</w:t>
      </w:r>
    </w:p>
    <w:p>
      <w:pPr>
        <w:spacing w:after="0" w:line="11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Each state in which we now operate or may operate in the future has laws and regulations governing (1) water and air pollution, and the generation, storage, treatment, handling, processing, transportation, incineration and disposal of solid waste and hazardous waste; (2) in most cases, the siting, design, operation, maintenance, closure and post-closure maintenance of solid waste management facilities; and (3) in some cases, vehicle emissions limits or fuel types, which impact our collection operations. Such standards typically are as stringent as, and may be more stringent and broader in scope than, federal regulations. Most of the federal statutes noted above authorize states to enact and enforce laws with standards that are more protective of the environment than the federal analog. In addition, many states have adopted statutes comparable to, and in some cases more stringent than, CERCLA. Those statutes impose requirements for investigation and remediation of contaminated sites and liability for costs and damages associated with such sites, and some authorize the state to impose liens to secure costs expended addressing contamination on property owned by responsible parties. Some of those liens may take priority over previously filed instruments. Some states have enacted statutes that impose liability for substances in addition to the “hazardous substances” listed by EPA under CERCLA.</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Many municipalities in which we currently operate or may operate in the future also have ordinances, laws and regulations affecting our operations. These include zoning and health measures that limit solid waste management activities to specified sites or conduct, flow control provisions that direct the delivery of solid wastes to specific facilities or to facilities in specific areas, laws that grant the right to establish franchises for collection services and then put out for bid the right to provide collection services, and bans or other restrictions on the movement of solid wastes into a municipality.</w:t>
      </w:r>
    </w:p>
    <w:p>
      <w:pPr>
        <w:spacing w:after="0" w:line="5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Some states have enacted laws that allow agencies with jurisdiction over waste management facilities to deny or revoke permits based on the applicant’s or permit holder’s compliance status. Some states also consider the compliance history of the corporate parent, subsidiaries and affiliates of the applicant or permit holder.</w:t>
      </w:r>
    </w:p>
    <w:p>
      <w:pPr>
        <w:spacing w:after="0" w:line="8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Certain permits and approvals issued under state or local law may limit the types of waste that may be accepted at a solid waste management facility or the quantity of waste that may be accepted at a solid waste management facility during a specific time period. In addition, certain permits and approvals, as well as certain state and local regulations, may limit a solid waste management facility to accepting waste that originates from specified geographic areas or seek to restrict the importation of out-of-state waste or otherwise discriminate against out-of-state waste. Generally, restrictions on importing out-of-state waste have not withstood judicial challenge. However, from time to time federal legislation is proposed which would allow individual states to prohibit the disposal of out-of-state waste or to limit the amount of out-of-state waste that could be imported for disposal and would require states, under certain circumstances, to reduce the amounts of waste exported to other states. Although such legislation has not been passed by Congress, if similar legislation is enacted, states in which we operate solid waste management facilities could limit or prohibit the importation of out-of-state waste. Such actions could materially and adversely affect the business, financial condition and results of operations of any of our solid waste management facilities within those states that receive a significant portion of waste originating from out-of-state.</w:t>
      </w:r>
    </w:p>
    <w:p>
      <w:pPr>
        <w:spacing w:after="0" w:line="7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Certain states and localities may restrict the export of waste from their jurisdiction, or require that a specified amount of waste be disposed of at facilities within their jurisdiction. In 1994, the U.S. Supreme Court rejected as unconstitutional and therefore invalid, a local ordinance that sought to limit waste going out of the locality by imposing a requirement that the waste be delivered to a particular privately-owned facility. However, in 2007, the U.S. Supreme Court upheld a U.S. District Court ruling that the flow control regulations in Oneida and Herkimer counties in New York requiring trash haulers to use publicly-owned transfer stations are constitutional, and therefore valid. Additionally, certain state and local jurisdictions continue to seek to enforce such restrictions. Some proposed federal legislation would allow states and localities to impose flow restrictions. Those restrictions could reduce the volume of waste going to solid waste management facilities in certain areas, which may materially adversely affect our ability to operate our facilities and/or affect the prices we can charge for certain services. Those restrictions also may result in higher disposal costs for our collection operations. Flow control restrictions could have a material adverse effect on our business, financial condition and results of operations.</w:t>
      </w:r>
    </w:p>
    <w:p>
      <w:pPr>
        <w:spacing w:after="0" w:line="6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There has been an increasing trend at the state and local levels to mandate or encourage both waste reduction at the source and waste recycling, and to prohibit or restrict the disposal in landfills of certain types of solid wastes, including yard wastes and leaves, certain construction or architectural wastes, food wastes, beverage containers, newspapers, household appliances and electronics such as computers, and batteries. Regulations reducing the volume and types of wastes available for transport to and disposal in landfills could affect our ability to operate our landfill facilities. Vermont, for example, enacted Act 148, containing among other things, a phased waste ban for recyclables, organics and leaf/yard waste. The law became effective July 1, 2012, with phased deadlines for compliance beginning 2014 through 2020. Vermont also passed a law requiring recycling of architectural waste from construction or demolition of a commercial project. The law became effective in January 2015.</w:t>
      </w:r>
    </w:p>
    <w:p>
      <w:pPr>
        <w:spacing w:after="0" w:line="7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On November 1, 2022, new waste ban regulations took effect in Massachusetts, adding mattresses and textiles as materials banned from disposal or transport for disposal in Massachusetts, and lowering the threshold on commercial organic/food waste to facilities generating more than one-half ton of these materials per week.</w:t>
      </w:r>
    </w:p>
    <w:p>
      <w:pPr>
        <w:spacing w:after="0" w:line="82" w:lineRule="exact"/>
        <w:rPr>
          <w:sz w:val="20"/>
          <w:szCs w:val="20"/>
          <w:color w:val="auto"/>
        </w:rPr>
      </w:pPr>
    </w:p>
    <w:p>
      <w:pPr>
        <w:jc w:val="both"/>
        <w:ind w:right="60"/>
        <w:spacing w:after="0" w:line="303" w:lineRule="auto"/>
        <w:rPr>
          <w:sz w:val="20"/>
          <w:szCs w:val="20"/>
          <w:color w:val="auto"/>
        </w:rPr>
      </w:pPr>
      <w:r>
        <w:rPr>
          <w:rFonts w:ascii="Arial" w:cs="Arial" w:eastAsia="Arial" w:hAnsi="Arial"/>
          <w:sz w:val="16"/>
          <w:szCs w:val="16"/>
          <w:color w:val="auto"/>
        </w:rPr>
        <w:t>New York State revised its regulations governing solid waste management, 6 NYCRR Part 360, effective in November 2017. The revised regulations, among other things, include requirements to conduct landfill liner integrity testing and install radiation detectors at certain facilities. New York has also enacted the Food Donation and Food Scraps Recycling Law, requiring certain generators to separate and donate or recycle food scraps as of January 2022.</w:t>
      </w:r>
    </w:p>
    <w:p>
      <w:pPr>
        <w:spacing w:after="0" w:line="4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Although there is no federal law governing extended producer responsibility (“EPR”) regulations; many states have implemented or are contemplating EPR regulations for certain products. EPR regulations are intended to place responsibility for ultimate management or end-of-useful-life handling of the products they create. In addition to financial responsibility, an EPR program may include responsibility for local take-back or recycling programs. For example, several states in which we operate have EPR regulations for electronic waste. In 2021, the Maine Legislature passed EPR legislation for packaging, and rulemaking commenced in 2022. If broad EPR laws or regulations continue to be adopted, and are managed under a manufacturer implemented program, it could have an impact on our business.</w:t>
      </w:r>
    </w:p>
    <w:p>
      <w:pPr>
        <w:spacing w:after="0" w:line="8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The EPA and environmental agencies within individual states in which we operate continue to consider and promulgate changes to water quality standards, action levels, remediation goals, and other federal or state regulatory standards for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individual compounds or classes of compounds. These changes include the development of new or more stringent standards for “Emerging Contaminants”, including PFAS, pharmaceutical compounds, and a variety of synthetic chemical compounds used in manufacturing and industrial processes. In December 2016, EPA designated ten chemical substances for risk evaluations under TSCA, and in December 2019, EPA designated an additional 20 chemical substances for risk evaluation, based on the requirements of the June 2016 Frank R. Lautenberg Chemical Safety for the 21st Century Act. In August 2022, EPA proposed a rule to designate two PFAS -- perfluorooctanoic acid ("PFOA") and perfluorooctanesulfonic acid ("PFOS") -- as hazardous substances under CERCLA. Changes in regulatory standards for existing or emerging contaminants can result in higher levels of cost and effort associated with the performance of environmental investigations and ongoing compliance at our facilities.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and their respective ages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gridSpan w:val="2"/>
          </w:tcPr>
          <w:p>
            <w:pPr>
              <w:ind w:left="1160"/>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920" w:type="dxa"/>
            <w:vAlign w:val="bottom"/>
          </w:tcPr>
          <w:p>
            <w:pPr>
              <w:ind w:left="3220"/>
              <w:spacing w:after="0"/>
              <w:rPr>
                <w:sz w:val="20"/>
                <w:szCs w:val="20"/>
                <w:color w:val="auto"/>
              </w:rPr>
            </w:pPr>
            <w:r>
              <w:rPr>
                <w:rFonts w:ascii="Arial" w:cs="Arial" w:eastAsia="Arial" w:hAnsi="Arial"/>
                <w:sz w:val="14"/>
                <w:szCs w:val="14"/>
                <w:b w:val="1"/>
                <w:bCs w:val="1"/>
                <w:color w:val="auto"/>
              </w:rPr>
              <w:t>Position</w:t>
            </w:r>
          </w:p>
        </w:tc>
      </w:tr>
      <w:tr>
        <w:trPr>
          <w:trHeight w:val="24"/>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920" w:type="dxa"/>
            <w:vAlign w:val="bottom"/>
            <w:tcBorders>
              <w:bottom w:val="single" w:sz="8" w:color="auto"/>
            </w:tcBorders>
          </w:tcPr>
          <w:p>
            <w:pPr>
              <w:spacing w:after="0"/>
              <w:rPr>
                <w:sz w:val="2"/>
                <w:szCs w:val="2"/>
                <w:color w:val="auto"/>
              </w:rPr>
            </w:pPr>
          </w:p>
        </w:tc>
      </w:tr>
      <w:tr>
        <w:trPr>
          <w:trHeight w:val="21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W. Casella</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shd w:val="clear" w:color="auto" w:fill="CCEEFF"/>
          </w:tcPr>
          <w:p>
            <w:pPr>
              <w:spacing w:after="0"/>
              <w:rPr>
                <w:sz w:val="19"/>
                <w:szCs w:val="19"/>
                <w:color w:val="auto"/>
              </w:rPr>
            </w:pPr>
          </w:p>
        </w:tc>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of Directors, Chief Executive Officer and Secretary</w:t>
            </w:r>
          </w:p>
        </w:tc>
      </w:tr>
      <w:tr>
        <w:trPr>
          <w:trHeight w:val="225"/>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Edmond “Ned” R. Coletta</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President and Chief Financial Officer</w:t>
            </w:r>
          </w:p>
        </w:tc>
      </w:tr>
      <w:tr>
        <w:trPr>
          <w:trHeight w:val="227"/>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Shelley E. Sayward</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9"/>
                <w:szCs w:val="19"/>
                <w:color w:val="auto"/>
              </w:rPr>
            </w:pPr>
          </w:p>
        </w:tc>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and General Counsel</w:t>
            </w:r>
          </w:p>
        </w:tc>
      </w:tr>
      <w:tr>
        <w:trPr>
          <w:trHeight w:val="225"/>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Sean M. Steves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Senior Vice President and Chief Operating Officer of Solid Waste Operations</w:t>
            </w:r>
          </w:p>
        </w:tc>
      </w:tr>
      <w:tr>
        <w:trPr>
          <w:trHeight w:val="227"/>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Kevin J. Drohan</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shd w:val="clear" w:color="auto" w:fill="CCEEFF"/>
          </w:tcPr>
          <w:p>
            <w:pPr>
              <w:spacing w:after="0"/>
              <w:rPr>
                <w:sz w:val="19"/>
                <w:szCs w:val="19"/>
                <w:color w:val="auto"/>
              </w:rPr>
            </w:pPr>
          </w:p>
        </w:tc>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25"/>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Paul J. Ligon</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Senior Vice President Sustainable Growth</w:t>
            </w:r>
          </w:p>
        </w:tc>
      </w:tr>
    </w:tbl>
    <w:p>
      <w:pPr>
        <w:spacing w:after="0" w:line="188"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i w:val="1"/>
          <w:iCs w:val="1"/>
          <w:color w:val="auto"/>
        </w:rPr>
        <w:t xml:space="preserve">John W. Casella </w:t>
      </w:r>
      <w:r>
        <w:rPr>
          <w:rFonts w:ascii="Arial" w:cs="Arial" w:eastAsia="Arial" w:hAnsi="Arial"/>
          <w:sz w:val="16"/>
          <w:szCs w:val="16"/>
          <w:color w:val="auto"/>
        </w:rPr>
        <w:t>has served as Chairman of our Board of Directors since July 2001 and as our Chief Executive Officer since 1993. Mr. Casella also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our President from 1993 to July 2001 and as Chairman of our Board of Directors from 1993 to December 1999. In addition, Mr. Casella has served as Chairman of the Board of Directors of Casella Waste Management, Inc., a wholly owned subsidiary of ours, since 1977. Mr. Casella is also an executive officer and director of Casella Construction, Inc., a company owned by Mr. Casella and his brother Douglas R. Casella, also a member of our Board of Directors, which specializes in general contracting, soil excavation and heavy equipment work, and which performs landfill-construction and related services for us. Mr. Casella has been a member of numerous industry-related and community service-related state, local, and national boards and commissions, including the Board of Directors of the Associated Industries of Vermont, the Association of Vermont Recyclers, the Vermont State Chamber of Commerce, the Rutland Industrial Development Corporation, the Rutland Regional Medical Center, the National Recycling Coalition, the Detachable Container Association and the Environmental Research &amp; Education Foundation. Mr. Casella has also served on various state task forces, serving in an advisory capacity to the Governors of Vermont, New York, and New Hampshire on solid waste issues. Mr. Casella holds an Associate of Science degree in Business Management from Bryant &amp; Stratton College and a Bachelor of Science degree in Business Education from Castleton University.</w:t>
      </w:r>
    </w:p>
    <w:p>
      <w:pPr>
        <w:spacing w:after="0" w:line="68"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i w:val="1"/>
          <w:iCs w:val="1"/>
          <w:color w:val="auto"/>
        </w:rPr>
        <w:t xml:space="preserve">Edmond “Ned” R. Coletta </w:t>
      </w:r>
      <w:r>
        <w:rPr>
          <w:rFonts w:ascii="Arial" w:cs="Arial" w:eastAsia="Arial" w:hAnsi="Arial"/>
          <w:sz w:val="18"/>
          <w:szCs w:val="18"/>
          <w:color w:val="auto"/>
        </w:rPr>
        <w:t>has served as our President and Chief Financial Officer since July 2022. Prior to this role, he served as our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and Treasurer from December 2012 to July 2022. Mr. Coletta joined us in December 2004, and served as our Vice President of Finance and Investor Relations from January 2011 to December 2012 and as our Director of Finance and Investor Relations from August 2005 to January 2011. From 2002 until he joined us, Mr. Coletta served as the Chief Financial Officer and was a member of the Board of Directors of Avedro, Inc. (FKA ThermalVision, Inc.), an early-stage medical device company that he co-founded. From 1997 to 2001, he served as a research and development engineer for Lockheed Martin Michoud Space Systems. Mr. Coletta has served on the Board of Trustees for Killington Mountain School since May 2020. Mr. Coletta holds an MBA from the Tuck School of Business at Dartmouth College and a Bachelor of Science degree from Brown University in Materials Science Engineering.</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Shelley E. Sayward </w:t>
      </w:r>
      <w:r>
        <w:rPr>
          <w:rFonts w:ascii="Arial" w:cs="Arial" w:eastAsia="Arial" w:hAnsi="Arial"/>
          <w:sz w:val="16"/>
          <w:szCs w:val="16"/>
          <w:color w:val="auto"/>
        </w:rPr>
        <w:t>has served as our Senior Vice President and General Counsel since January 2021, and prior to that in various roles in our legal department</w:t>
      </w:r>
      <w:r>
        <w:rPr>
          <w:rFonts w:ascii="Arial" w:cs="Arial" w:eastAsia="Arial" w:hAnsi="Arial"/>
          <w:sz w:val="16"/>
          <w:szCs w:val="16"/>
          <w:i w:val="1"/>
          <w:iCs w:val="1"/>
          <w:color w:val="auto"/>
        </w:rPr>
        <w:t xml:space="preserve"> </w:t>
      </w:r>
      <w:r>
        <w:rPr>
          <w:rFonts w:ascii="Arial" w:cs="Arial" w:eastAsia="Arial" w:hAnsi="Arial"/>
          <w:sz w:val="16"/>
          <w:szCs w:val="16"/>
          <w:color w:val="auto"/>
        </w:rPr>
        <w:t>since November 2006. She was previously our Vice President and Assistant General Counsel from September 2014 until January 2021 and was our Associate General Counsel from September 2008 to September 2014. Prior to joining us, Ms. Sayward held sales and marketing roles with GlaxoSmithKline and Abbott Laboratories, as well as a sales and managerial position with First American Financial Corporation. Ms. Sayward holds a Bachelor of Arts degree from Middlebury College, completed a four-year law clerkship program, and is licensed to practice law in the State of Vermont.</w:t>
      </w:r>
    </w:p>
    <w:p>
      <w:pPr>
        <w:spacing w:after="0" w:line="5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 xml:space="preserve">Sean M. Steves </w:t>
      </w:r>
      <w:r>
        <w:rPr>
          <w:rFonts w:ascii="Arial" w:cs="Arial" w:eastAsia="Arial" w:hAnsi="Arial"/>
          <w:sz w:val="16"/>
          <w:szCs w:val="16"/>
          <w:color w:val="auto"/>
        </w:rPr>
        <w:t>has served as our Senior Vice President and Chief Operating Officer of Solid Waste Operations since July 2022. He is responsible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Support, Fleet Management, Landfill Operations and Service Excellence functions. Mr. Steves most recently served as our Senior Vice President of Operations from April 2019 to July 2022. Mr. Steves joined us in April 2018 as our Vice President of Operational Initiatives. From 2016 until he joined us in April 2018, he was the Director of Operations Support for Republic Services, Inc. a provider of U.S. environmental services. Mr. Steves has extensive operations experience in the waste industry starting as a transfer station scale operator and has held roles of increasing responsibility,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including Operations Supervisor, Operations Manager, and General Manager. Mr. Steves holds a Bachelor of Arts degree from DePaul University with a concentration in Sustainable Management.</w:t>
      </w:r>
    </w:p>
    <w:p>
      <w:pPr>
        <w:spacing w:after="0" w:line="73"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i w:val="1"/>
          <w:iCs w:val="1"/>
          <w:color w:val="auto"/>
        </w:rPr>
        <w:t xml:space="preserve">Kevin J. Drohan </w:t>
      </w:r>
      <w:r>
        <w:rPr>
          <w:rFonts w:ascii="Arial" w:cs="Arial" w:eastAsia="Arial" w:hAnsi="Arial"/>
          <w:sz w:val="18"/>
          <w:szCs w:val="18"/>
          <w:color w:val="auto"/>
        </w:rPr>
        <w:t>has served as our Vice President and Chief Accounting Officer since April 2022. Mr. Drohan joined us in August 2021 as our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Prior to that, from 2015 until he joined Casella, Mr. Drohan served as the Corporate Controller for Sprague Resources, LP (“Sprague”), then a publicly-traded regional provider of industrial, commercial, and residual energy products. From 2007 through 2015, Mr. Drohan held various finance and accounting roles of increasing responsibility at Sprague. Prior to Sprague, Mr. Drohan held accounting and audit roles at Stanley Black &amp; Decker, EY, and BerryDunn. Mr. Drohan is a Certified Public Accountant and holds an MBA and a Bachelor of Science degree in Business Administration from the University of New Hampshire.</w:t>
      </w:r>
    </w:p>
    <w:p>
      <w:pPr>
        <w:spacing w:after="0" w:line="8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 xml:space="preserve">Paul J. Ligon </w:t>
      </w:r>
      <w:r>
        <w:rPr>
          <w:rFonts w:ascii="Arial" w:cs="Arial" w:eastAsia="Arial" w:hAnsi="Arial"/>
          <w:sz w:val="17"/>
          <w:szCs w:val="17"/>
          <w:color w:val="auto"/>
        </w:rPr>
        <w:t>has served as our Senior Vice President of Sustainable Growth since December 2019 and oversees our Sustainable Growth teams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sales, marketing, customer care, sustainability, and community engagement teams. From 2012 to December 2019, Mr. Ligon led the development of our Solutions business focused on delivering sustainable services to commercial, industrial, and municipal customers. Prior to joining us, Mr. Ligon was a managing director for Waste Management’s Organic Growth Unit in Houston from 2003 through 2011 and a Senior Scientist with the Tellus Institute for Resource and Environmental Strategies from 1990 to 2001. Mr. Ligon holds a MBA from the Tuck School of Business at Dartmouth College and a Bachelor of Science degree in Environmental Science from the University of Vermont.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8" w:lineRule="exact"/>
        <w:rPr>
          <w:sz w:val="20"/>
          <w:szCs w:val="20"/>
          <w:color w:val="auto"/>
        </w:rPr>
      </w:pPr>
    </w:p>
    <w:p>
      <w:pPr>
        <w:ind w:right="40"/>
        <w:spacing w:after="0" w:line="335" w:lineRule="auto"/>
        <w:rPr>
          <w:sz w:val="20"/>
          <w:szCs w:val="20"/>
          <w:color w:val="auto"/>
        </w:rPr>
      </w:pPr>
      <w:r>
        <w:rPr>
          <w:rFonts w:ascii="Arial" w:cs="Arial" w:eastAsia="Arial" w:hAnsi="Arial"/>
          <w:sz w:val="14"/>
          <w:szCs w:val="14"/>
          <w:i w:val="1"/>
          <w:iCs w:val="1"/>
          <w:color w:val="auto"/>
        </w:rPr>
        <w:t>The following material factors, among others, could cause actual results to differ materially from those indicated by forward-looking statements made in this Annual Report on Form 10-K and presented elsewhere by management from time to time. The risks and uncertainties described below are those that we have identified as material, but are not the only risks and uncertainties facing us. Our business is also subject to general risks and uncertainties that affect many other companies, including overall economic and industry conditions, especially in the northeastern United States, where our operations and customers are principally located, changes in laws or accounting rules or other disruptions of expected economic or business conditions. Additional risks and uncertainties not currently known to us or that we currently believe are not material also may impair our business’s results of operations and financial condition.</w:t>
      </w:r>
    </w:p>
    <w:p>
      <w:pPr>
        <w:spacing w:after="0" w:line="34"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We have in place an Enterprise Risk Management process that involves systematic risk identification and mitigation covering the categories of strategic, financial, operational, and compliance risk. The goal of enterprise risk management is not to eliminate all risk, but rather to identify and assess risks; assign, mitigate and monitor risks; and report the status of our risks to the Board of Directors and its committees.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1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i w:val="1"/>
          <w:iCs w:val="1"/>
          <w:color w:val="auto"/>
        </w:rPr>
        <w:t>We are subject to general macroeconomic risks in the waste industry that are impacted by economic factors outside of our control, which, if realized, may adversely affect our business, operating results and financial performance.</w:t>
      </w:r>
    </w:p>
    <w:p>
      <w:pPr>
        <w:spacing w:after="0" w:line="73"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To varying degrees, our business is directly affected by general macroeconomic risks in the waste industry that are impacted by economic factors outside of our control, which if realized may negatively impact our business, results of operations, and financial performance. These risks related to general macroeconomic conditions include those with respect to consumer confidence, global supply chain disruptions, inflation, labor supply, fuel prices, interest rates and access to capital markets. Economic factors, such as ongoing or potential geopolitical conflict, pandemics, recessions, or similar national or global events, adversely impact macroeconomic risks that have caused and may continue to cause, economic disruption across our geographic footprint resulting in reductions in business, consumer and construction activity. Negative economic conditions can result in decreased consumer spending and decreases in solid waste volumes generated in the collection and disposal businesses, which negatively impacts our ability to grow through new business or service upgrades and the sales price of commodities in our recycling business, and may result in customer turnover and reduction in customers’ waste service needs. For example, in fiscal year 2020 revenues declined as we experienced decreased demand for our services as a result of the novel coronavirus ("COVID-19") pandemic as some of our commercial collection customers requested service level decreases, construction activity decreased and volumes into our landfills declined due to lower economic activity. Demand for services has since improved as local economies have reopened and the economic effects of the COVID-19 pandemic have diminished. Furthermore, residual macroeconomic effects associated with these economic factors that have negatively impacted the global supply chain, labor markets and distribution networks leading to heightened inflation across labor, select services and goods, and capital investments may also materially adversely affect our operating and financial results in a manner that is not currently known to us or that we do not currently consider to present significant risks to our operations. To the extent these economic factors increase macroeconomic risks and adversely affect our business and financial results, it may also have the effect of heightening many other risks described in this section, any of which could materially and adversely affect our business, results of operations and financial condition. See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of this Annual Report on Form 10-K for further discussion.</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If we are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8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operations require us to attract, hire, develop and retain a high-quality workforce to provide a superior customer experience. This includes key individuals in leadership and specialty roles, as well as a very large number of drivers, technicians and other front-line and back-office team members necessary to provide our environmental services.</w:t>
      </w:r>
    </w:p>
    <w:p>
      <w:pPr>
        <w:spacing w:after="0" w:line="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experience significant competition to hire and retain individuals for certain front-line positions, such as commercial truck drivers, from within and outside our industry. This competition may come from other waste management companies, but it also comes from other employers who hire drivers and maintain fleets, such as companies that provide courier delivery services, including United Parcel Service, Inc. and FedEx Corporation, as well as from a tightening labor market. As a result, certain positions currently experience, have historically experienced, and may experience in the future, high turnover rates or labor shortages, which can lead to increased recruiting, training and retention costs. If we are unable to hire and retain sufficient numbers of drivers to service our collection and disposal routes and mechanics to maintain our trucks, our financial condition and operating results could be materially impacted. Additionally, the market for employees that serve on our digital team is highly competitive. As we have accelerated our investments in our digital platform, it is increasingly important that we are able to attract and retain employees with the skills and expertise necessary to implement and manage our technology-led strategy. We also compete to attract skilled business leaders, and our own key team members are sought after by our competitors and other companies. We make significant investments, and engage in extensive internal succession planning, to provide us with a robust pipeline of future leaders. If we are not able to attract, hire, develop and retain a high-quality workforce with the necessary skills and expertise, as well as key leaders, or if we experience significant employee turnover, it can result in business and strategic disruption, increased costs, and loss of institutional knowledge, which could negatively impact our results of operations. Also see Item 1A. "</w:t>
      </w:r>
      <w:r>
        <w:rPr>
          <w:rFonts w:ascii="Arial" w:cs="Arial" w:eastAsia="Arial" w:hAnsi="Arial"/>
          <w:sz w:val="17"/>
          <w:szCs w:val="17"/>
          <w:i w:val="1"/>
          <w:iCs w:val="1"/>
          <w:color w:val="auto"/>
        </w:rPr>
        <w:t>Risk Factors — We are subject to general macroeconomic risks in the waste industry that are impacted by economic</w:t>
      </w:r>
      <w:r>
        <w:rPr>
          <w:rFonts w:ascii="Arial" w:cs="Arial" w:eastAsia="Arial" w:hAnsi="Arial"/>
          <w:sz w:val="17"/>
          <w:szCs w:val="17"/>
          <w:color w:val="auto"/>
        </w:rPr>
        <w:t xml:space="preserve"> </w:t>
      </w:r>
      <w:r>
        <w:rPr>
          <w:rFonts w:ascii="Arial" w:cs="Arial" w:eastAsia="Arial" w:hAnsi="Arial"/>
          <w:sz w:val="17"/>
          <w:szCs w:val="17"/>
          <w:i w:val="1"/>
          <w:iCs w:val="1"/>
          <w:color w:val="auto"/>
        </w:rPr>
        <w:t>factors outside of our control, which, if realized, may adversely affect our business, operating results and financial performance</w:t>
      </w:r>
      <w:r>
        <w:rPr>
          <w:rFonts w:ascii="Arial" w:cs="Arial" w:eastAsia="Arial" w:hAnsi="Arial"/>
          <w:sz w:val="17"/>
          <w:szCs w:val="17"/>
          <w:color w:val="auto"/>
        </w:rPr>
        <w:t>" of this Annual Report on</w:t>
      </w:r>
      <w:r>
        <w:rPr>
          <w:rFonts w:ascii="Arial" w:cs="Arial" w:eastAsia="Arial" w:hAnsi="Arial"/>
          <w:sz w:val="17"/>
          <w:szCs w:val="17"/>
          <w:i w:val="1"/>
          <w:iCs w:val="1"/>
          <w:color w:val="auto"/>
        </w:rPr>
        <w:t xml:space="preserve"> </w:t>
      </w:r>
      <w:r>
        <w:rPr>
          <w:rFonts w:ascii="Arial" w:cs="Arial" w:eastAsia="Arial" w:hAnsi="Arial"/>
          <w:sz w:val="17"/>
          <w:szCs w:val="17"/>
          <w:color w:val="auto"/>
        </w:rPr>
        <w:t>Form 10-K.</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shortages in diesel fuel supply or increases in diesel fuel prices could affect our operating expenses and results.</w:t>
      </w:r>
    </w:p>
    <w:p>
      <w:pPr>
        <w:spacing w:after="0" w:line="11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price and supply of fuel is unpredictable and fluctuates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and price escalations for fuel increase our operating expenses. In fiscal year 2022, we consumed approximately 9.5 million gallons of diesel fuel in our solid waste operations. Although we have a fuel cost recovery program, which is the energy component of our energy and environmental fee program that floats monthly based on reported diesel fuel prices, contractual restrictions and competitive conditions may impact our opportunity to pass this fee on to our customers in all circumstances. See Item 7A. "</w:t>
      </w:r>
      <w:r>
        <w:rPr>
          <w:rFonts w:ascii="Arial" w:cs="Arial" w:eastAsia="Arial" w:hAnsi="Arial"/>
          <w:sz w:val="17"/>
          <w:szCs w:val="17"/>
          <w:i w:val="1"/>
          <w:iCs w:val="1"/>
          <w:color w:val="auto"/>
        </w:rPr>
        <w:t>Quantitative and Qualitative Disclosure About Market Risk</w:t>
      </w:r>
      <w:r>
        <w:rPr>
          <w:rFonts w:ascii="Arial" w:cs="Arial" w:eastAsia="Arial" w:hAnsi="Arial"/>
          <w:sz w:val="17"/>
          <w:szCs w:val="17"/>
          <w:color w:val="auto"/>
        </w:rPr>
        <w:t>" of this Annual Report on Form 10-K for further discussion over the impacts of fuel prices on our operations. Also see Item 1A. "</w:t>
      </w:r>
      <w:r>
        <w:rPr>
          <w:rFonts w:ascii="Arial" w:cs="Arial" w:eastAsia="Arial" w:hAnsi="Arial"/>
          <w:sz w:val="17"/>
          <w:szCs w:val="17"/>
          <w:i w:val="1"/>
          <w:iCs w:val="1"/>
          <w:color w:val="auto"/>
        </w:rPr>
        <w:t>Risk Factors — We are subject to general macroeconomic risks in the waste industry that are</w:t>
      </w:r>
      <w:r>
        <w:rPr>
          <w:rFonts w:ascii="Arial" w:cs="Arial" w:eastAsia="Arial" w:hAnsi="Arial"/>
          <w:sz w:val="17"/>
          <w:szCs w:val="17"/>
          <w:color w:val="auto"/>
        </w:rPr>
        <w:t xml:space="preserve"> </w:t>
      </w:r>
      <w:r>
        <w:rPr>
          <w:rFonts w:ascii="Arial" w:cs="Arial" w:eastAsia="Arial" w:hAnsi="Arial"/>
          <w:sz w:val="17"/>
          <w:szCs w:val="17"/>
          <w:i w:val="1"/>
          <w:iCs w:val="1"/>
          <w:color w:val="auto"/>
        </w:rPr>
        <w:t>impacted by economic factors outside of our control, which, if realized, may adversely affect our business, operating results and financial performance</w:t>
      </w:r>
      <w:r>
        <w:rPr>
          <w:rFonts w:ascii="Arial" w:cs="Arial" w:eastAsia="Arial" w:hAnsi="Arial"/>
          <w:sz w:val="17"/>
          <w:szCs w:val="17"/>
          <w:color w:val="auto"/>
        </w:rPr>
        <w:t>"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Annual Report on Form 10-K.</w:t>
      </w:r>
    </w:p>
    <w:p>
      <w:pPr>
        <w:spacing w:after="0" w:line="75"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i w:val="1"/>
          <w:iCs w:val="1"/>
          <w:color w:val="auto"/>
        </w:rPr>
        <w:t>We face substantial competition in the solid waste services industry, and if we cannot successfully compete in the marketplace, our business, financial condition and results of operations may be materially adversely affected.</w:t>
      </w:r>
    </w:p>
    <w:p>
      <w:pPr>
        <w:spacing w:after="0" w:line="7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solid waste services industry is highly competitive, has undergone a period of consolidation and requires substantial labor and capital resources. The markets in which we compete are served by, or are adjacent to markets served by, one or more of the large national or super regional solid waste companies, as well as numerous regional and local solid waste companies. Intense competition exists not only to provide services to customers, but also to acquire other businesses within each market. Some of our competitors have significantly greater financial and other resources than we do. From time to time, competitors may reduce the price of their services in an effort to expand market share or to win a competitively bid contract. These practices may require us to reduce the pricing of our services and may result in a loss of business or revenues.</w:t>
      </w:r>
    </w:p>
    <w:p>
      <w:pPr>
        <w:spacing w:after="0" w:line="73"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As is generally the case in our industry, municipal contracts are typically subject to periodic competitive bidding. We may not be the successful bidder to obtain or retain these contracts. If we are unable to compete with larger and better capitalized companies or replace municipal contracts lost through the competitive bidding process with comparable contracts or other revenue sources within a reasonable time period, our revenues would decrease and our operating results could be materially adversely affected.</w:t>
      </w:r>
    </w:p>
    <w:p>
      <w:pPr>
        <w:spacing w:after="0" w:line="8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our solid waste disposal markets, we also compete with operators of alternative disposal and recycling facilities and with counties, municipalities and solid waste districts that maintain their own solid waste collection, recycling and disposal operations. We are also facing increased competition from companies which seek to use parts of the waste stream as feedstock for renewable energy supplies. Public entities may have financial advantages because of their ability to charge user fees or similar charges, impose taxes and apply resulting revenues, access tax-exempt financing, transport waste to disposal sites outside of the northeastern markets, and, in some cases, utilize government subsidies.</w:t>
      </w:r>
    </w:p>
    <w:p>
      <w:pPr>
        <w:spacing w:after="0" w:line="75"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color w:val="auto"/>
        </w:rPr>
        <w:t>In addition, we may be impacted by the development and commercialization of disruptive technologies that may materially change how waste management services are provided. If we are unable to gain access to these technologies or to compete effectively against them, our financial results may suffer.</w:t>
      </w:r>
    </w:p>
    <w:p>
      <w:pPr>
        <w:spacing w:after="0" w:line="27"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b w:val="1"/>
          <w:bCs w:val="1"/>
          <w:i w:val="1"/>
          <w:iCs w:val="1"/>
          <w:color w:val="auto"/>
        </w:rPr>
        <w:t>Our growth strategy focuses on complementing or expanding our business through the acquisition of companies or assets, or the development of new operations. However, we may be unable to complete these transactions and, if executed, these transactions may not improve our business or may pose significant risks and could have a negative effect on our operations.</w:t>
      </w:r>
    </w:p>
    <w:p>
      <w:pPr>
        <w:spacing w:after="0" w:line="82"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Our growth strategy includes engaging in acquisitions or developing operations or assets with the goal of complementing or expanding our business. We have made, and we may make in the future, acquisitions to densify existing operations, expand service areas and grow services for our customers. These acquisitions may include “tuck-in” acquisitions within our existing markets, acquisitions of assets that are adjacent to or outside of our existing markets, or larger, more strategic acquisitions. In addition, from time to time we may acquire businesses that are complementary to our core business strategy. We may not be able to identify suitable acquisition candidates, and if we identify suitable acquisition candidates, we may be unable to successfully negotiate the acquisition at a price or on terms and conditions acceptable to us. Furthermore, we may be unable to obtain the necessary regulatory approvals to complete potential acquisitions.</w:t>
      </w:r>
    </w:p>
    <w:p>
      <w:pPr>
        <w:spacing w:after="0" w:line="9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ability to achieve the benefits from acquired businesses, including cost savings and operating efficiencies, depends in part on our ability to successfully integrate the operations of such acquired businesses with our operations. The integration of acquired businesses and other assets may require significant management time and resources that would otherwise be available for the ongoing management of our existing operations. Any operations, properties or facilities that we acquire may be subject to unknown liabilities, such as undisclosed environmental contamination, or other environmental liabilities, including off-site disposal liability for which we would have no recourse, or only limited recourse, to the former owners of such operations or properties. As a result, if claims for liabilities were asserted against us based upon ownership of an acquired property, we might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be required to pay significant sums to settle it, which could adversely affect our financial results and cash flows. For information regarding our business acquisitions, see Note 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 our consolidated financial statements included under Item 8. "</w:t>
      </w:r>
      <w:r>
        <w:rPr>
          <w:rFonts w:ascii="Arial" w:cs="Arial" w:eastAsia="Arial" w:hAnsi="Arial"/>
          <w:sz w:val="18"/>
          <w:szCs w:val="18"/>
          <w:i w:val="1"/>
          <w:iCs w:val="1"/>
          <w:color w:val="auto"/>
        </w:rPr>
        <w:t>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Data</w:t>
      </w:r>
      <w:r>
        <w:rPr>
          <w:rFonts w:ascii="Arial" w:cs="Arial" w:eastAsia="Arial" w:hAnsi="Arial"/>
          <w:sz w:val="18"/>
          <w:szCs w:val="18"/>
          <w:color w:val="auto"/>
        </w:rPr>
        <w:t>" of this Annual Report on Form 10-K.</w:t>
      </w:r>
    </w:p>
    <w:p>
      <w:pPr>
        <w:spacing w:after="0" w:line="8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The waste industry is subject to extensive government regulations, including environmental laws and regulations, and we incur substantial costs to comply with such laws and regulations. Failure to comply with environmental or other laws and regulations, as well as enforcement actions and litigation arising from an actual or perceived breach of such laws and regulations, could subject us to fines, penalties, and judgments, and impose limits on our ability to operate and expand.</w:t>
      </w:r>
    </w:p>
    <w:p>
      <w:pPr>
        <w:spacing w:after="0" w:line="85"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We are subject to potential liability and restrictions under environmental laws and regulations, including potential liability and restrictions arising from or relating to the transportation, handling, recycling, generation, treatment, storage and disposal of wastes, the presence, release, discharge or emission of pollutants, and the investigation, remediation and monitoring of impacts to soil, surface water, groundwater and other environmental media including natural resources, as a result of the actual or alleged presence, release, discharge or emission of hazardous substances, pollutants or contaminants on, at, under or migrating from our properties, or in connection with our operations. The waste management industry has been and will continue to be subject to regulation, including permitting and related financial assurance requirements, as well as attempts to further regulate the industry, including efforts to regulate and limit the emission of greenhouse gases to ameliorate the effect of climate change. Our solid waste operations are subject to a wide range of federal, state and, in some cases, local environmental, odor and noise and land use restrictions. If we are not able to comply with the requirements that apply to a particular facility or if we operate in violation of the terms and conditions of, or without the necessary approvals or permits, we could be subject to administrative or civil, and possibly criminal, fines and penalties, and we may be required to spend substantial capital to bring an operation into compliance, to temporarily or permanently discontinue activities, and/or take corrective actions, possibly including removal of landfilled materials. Those costs or actions could be significant to us and affect our results of operations, cash flows, and available capital. Environmental and land use laws and regulations also affect our ability to expand and, in the case of our solid waste operations, may dictate those geographic areas from which we must, or, from which we may not, accept solid waste. Those laws and regulations may limit the overall size and daily solid waste volume that may be accepted by a solid waste operation. If we are not able to expand or otherwise operate one or more of our facilities because of limits imposed under such laws, we may be required to increase our utilization of disposal facilities owned by third-parties, which could reduce our revenues and/or operating margins. The foregoing includes recent changes in solid waste laws of the State of Maine, which we do not anticipate will have a material effect on our business, results of operations, financial condition and/or liquidity, but which may negatively impact our operating results in the form of lower revenues or increased costs and/or liabilities.</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historically grown through acquisitions and expect to make additional acquisitions in the future. We have tried and will continue to try to evaluate and limit environmental risks and liabilities presented by businesses to be acquired prior to the acquisition. It is possible that some liabilities may prove to be more difficult or costly to identify or address than we anticipate. It is also possible that government officials responsible for enforcing environmental laws and regulations may believe an issue is more serious than we expect, or that we will fail to identify or fully appreciate an existing liability before we become responsible for addressing it. Some of the legal sanctions to which we could become subject could cause the suspension or revocation of a permit, prevent us from, or delay us in, obtaining or renewing permits to operate or expand our facilities, or harm our reputation.</w:t>
      </w:r>
    </w:p>
    <w:p>
      <w:pPr>
        <w:spacing w:after="0" w:line="73"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In addition to the costs of complying with environmental laws and regulations, we incur costs in connection with environmental proceedings and litigation brought against us by government agencies and private parties. We are, and may be in the future, a defendant in lawsuits brought by parties alleging environmental damage, including natural resource damage, personal injury, and/or property damage or impairment, or seeking to impose civil penalties, injunctive relief or overturn or prevent the issuance of an operating permit or authorization, all of which may result in us incurring significant liabilities.</w:t>
      </w:r>
    </w:p>
    <w:p>
      <w:pPr>
        <w:spacing w:after="0" w:line="5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The conduct of our businesses is also subject to various other laws and regulations administered by federal, state and local governmental agencies, including tax laws, employment laws, privacy laws and competition laws, among others. New laws, regulations or governmental policy and their related interpretations, or changes in any of the foregoing, including taxes or other limitations on our services, may alter the environment in which we do business.</w:t>
      </w:r>
    </w:p>
    <w:p>
      <w:pPr>
        <w:spacing w:after="0" w:line="4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certain jurisdictions, we are subject to compliance with specific obligations under competition laws due to our competitive position in those jurisdictions. Failure to comply with these requirements or other laws or regulations could subject us to enforcement actions or financial penalties which could have a material adverse effect on our business.</w:t>
      </w:r>
    </w:p>
    <w:p>
      <w:pPr>
        <w:spacing w:after="0" w:line="8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required to obtain government permits to operate our facilities, including all of our landfills. There is no guarantee that we will be able to obtain the requisite permits and, even if we could, that any permit (and any existing permits we currently hold) will be renewed or modified as needed to fit our business needs. Localities where we operate generally seek to regulate some or all landfill and transfer station operations, including siting and expansion of operations. The laws and regulations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 xml:space="preserve">adopted by municipalities in which our landfills and transfer stations are located may limit or prohibit the expansion of a landfill or transfer station, as well as the amount of solid waste that we can accept at the landfill or transfer station on a daily, quarterly or annual basis, and any effort to acquire or expand landfills and transfer stations, which typically involves a significant amount of time and expense. In addition, state laws applicable to certain of our landfills require that the state determine whether acceptance of waste at the landfill not generated within the state provides a substantial public benefit. Despite our best efforts, we may not be successful in obtaining new landfill or transfer station sites, including a landfill under development by us in Dalton, New Hampshire ("Granite State Landfill"), or expanding the permitted capacity of any of our current landfills and transfer stations. Based on currently available information, we believe that it may not be likely that the Granite State Landfill will be fully permitted, constructed and operational by the end of the fiscal year ending December 31, 2027 ("fiscal year 2027"). Given our current expected run rate and remaining available capacity at our NCES Landfill in Bethlehem, New Hampshire, we may consume all remaining permitted capacity at our NCES Landfill during fiscal year 2027. If we are unable to develop additional disposal and transfer station capacity, our ability to achieve economies of scale from the internalization of our waste stream will be limited. If we fail to receive new landfill permits or renew existing permits, we may incur landfill asset impairment and other charges associated with accelerated closure. See Note 13, </w:t>
      </w:r>
      <w:r>
        <w:rPr>
          <w:rFonts w:ascii="Arial" w:cs="Arial" w:eastAsia="Arial" w:hAnsi="Arial"/>
          <w:sz w:val="16"/>
          <w:szCs w:val="16"/>
          <w:i w:val="1"/>
          <w:iCs w:val="1"/>
          <w:color w:val="auto"/>
        </w:rPr>
        <w:t xml:space="preserve">Commitments and Contingencies </w:t>
      </w:r>
      <w:r>
        <w:rPr>
          <w:rFonts w:ascii="Arial" w:cs="Arial" w:eastAsia="Arial" w:hAnsi="Arial"/>
          <w:sz w:val="16"/>
          <w:szCs w:val="16"/>
          <w:color w:val="auto"/>
        </w:rPr>
        <w:t>to our consolidated financial statements included under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 on Form 10-K for disclosure about legal matters impacting our permitting efforts.</w:t>
      </w:r>
    </w:p>
    <w:p>
      <w:pPr>
        <w:spacing w:after="0" w:line="7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Fluctuations in commodity prices and diminished markets for recyclable materials that we sell to customers may adversely affect our results of operations and cash flows.</w:t>
      </w:r>
    </w:p>
    <w:p>
      <w:pPr>
        <w:spacing w:after="0" w:line="73"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Our processing business involves the purchase and sale of recyclable materials, some of which are priced on a commodity basis. Our results of operations and cash flows may be adversely affected by falling purchase or resale prices or market requirements for recyclable materials. The resale and purchase prices of, and market demand for, recyclable materials are subject to changes in economic conditions and numerous other factors beyond our control, which may result in decreased demand of recyclable materials and lower commodity prices. The commodity markets continue to see ongoing variable pricing, with significant price declines associated with excess inventory, inflation and tepid consumer spending due to deteriorating global economic activity and concerns about a recession. Significant price fluctuations may adversely affect our results of operations and cash flows in the form of higher operating costs or lower revenues. Although we have restructured many of our recycling contracts to require the respective municipalities to absorb some of the impact of declining commodity prices, these restructured contracts have had the impact of significantly increasing the costs to municipalities for continuing to offer recycling services to their customers. In the event that the costs of such services become excessive, such municipalities could discontinue their recycling programs altogether, which could materially affect our financial results. See Item 7A. "</w:t>
      </w:r>
      <w:r>
        <w:rPr>
          <w:rFonts w:ascii="Arial" w:cs="Arial" w:eastAsia="Arial" w:hAnsi="Arial"/>
          <w:sz w:val="16"/>
          <w:szCs w:val="16"/>
          <w:i w:val="1"/>
          <w:iCs w:val="1"/>
          <w:color w:val="auto"/>
        </w:rPr>
        <w:t>Quantitative and Qualitative Disclosure About Market Risk</w:t>
      </w:r>
      <w:r>
        <w:rPr>
          <w:rFonts w:ascii="Arial" w:cs="Arial" w:eastAsia="Arial" w:hAnsi="Arial"/>
          <w:sz w:val="16"/>
          <w:szCs w:val="16"/>
          <w:color w:val="auto"/>
        </w:rPr>
        <w:t>" of this Annual Report on Form 10-K for further discussion over the impacts of commodity prices on our operations.</w:t>
      </w:r>
    </w:p>
    <w:p>
      <w:pPr>
        <w:spacing w:after="0" w:line="68"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i w:val="1"/>
          <w:iCs w:val="1"/>
          <w:color w:val="auto"/>
        </w:rPr>
        <w:t>We are upgrading our technology infrastructure and there can be no assurance that our efforts will be completed on the projected timetable or that our investment will result in the expected gains.</w:t>
      </w:r>
    </w:p>
    <w:p>
      <w:pPr>
        <w:spacing w:after="0" w:line="7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Upgrades to our technology infrastructure are ongoing and include a limited pilot of a new service management system, on-board computers, dynamic route optimization, procurement optimization, cybersecurity initiatives, and other systems that we believe will improve our internal processes and the productivity of our employees. These upgrades are complex and there can be no assurance that they will result in expected productivity gains and operating cost reductions on our anticipated timeline, if at all. In addition, if we are not able to maintain the security of our data, confidential information about us or our customers or suppliers could be inadvertently disclosed, subjecting us to possible expenses and other liabilities as well as adversely impacting customer and other third-party relationships. If we are unable to benefit from new technologies, we may be at a competitive disadvantage to other companies in the waste management industry, in which case our operating results could suffer.</w:t>
      </w:r>
    </w:p>
    <w:p>
      <w:pPr>
        <w:spacing w:after="0" w:line="7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i w:val="1"/>
          <w:iCs w:val="1"/>
          <w:color w:val="auto"/>
        </w:rPr>
        <w:t>Significant disruptions in our information technology systems or cybersecurity incidents could negatively impact our business and our relationships with customers, adversely affecting our financial results and exposing us to litigation risk.</w:t>
      </w:r>
    </w:p>
    <w:p>
      <w:pPr>
        <w:spacing w:after="0" w:line="73"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We use computer technology, including computer and information networks, in substantially all aspects of our business operations. We also use mobile devices, social networking and other online activities to connect with our customers and for our employees to be able to process transactions and provide information that we feel is necessary to manage our business. Our information technology systems may be susceptible to damage, disruptions or shutdowns due to power outages, hardware failures, telecommunication failures, employee malfeasance, user errors, catastrophes or other unforeseen events. If we were to experience a prolonged disruption in the information technology systems that involve our internal communications or our interactions with our customers, it could result in the loss of sales and customers and significant incremental costs, which could adversely affect our business. In addition, the use of our information technology systems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us and our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business partners. We also rely on a Payment Card Industry compliant third party to protect our customers’ credit card information. Further, as we pursue our strategy to grow through acquisitions and to pursue new initiatives that improve our operations and cost structure, we are also expanding and improving our information technologies, resulting in a larger technological presence and corresponding exposure to cybersecurity risk. If we fail to assess and identify cybersecurity risks associated with acquisitions and new initiatives, we may become increasingly vulnerable to such risks. Additionally, while we have implemented and continue to implement measures to prevent security breaches and cyber incidents, our preventive or detection measures and incident response efforts may not be entirely effective, especially as cybersecurity attacks continue to evolve and become more sophisticated, often are not recognized until launched against a target and may be difficult to detect for a long time. We are also exposed to cybersecurity risk with respect to data and other information that may be shared with third parties in connection with our business operations, if such third parties become subject to security breaches or other releases of information.</w:t>
      </w:r>
    </w:p>
    <w:p>
      <w:pPr>
        <w:spacing w:after="0" w:line="78"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If company, personal or otherwise protected information is improperly accessed, tampered with or distributed, we may face significant financial exposure, including incurring significant costs to remediate possible injury to the affected parties. We may also be subject to sanctions and civil or criminal penalties if we are found to be in violation of the privacy or security rules under laws protecting confidential information. If our established network of security controls, policy enforcement mechanisms, educational awareness programs and monitoring systems that we use to address these threats to technology fail,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litigation and liability and competitive disadvantage. While we have purchased insurance coverage for cybersecurity risks, there can be no assurance that any such coverage would be adequate to cover potential liability.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geographically concentrated and is therefore subject to regional economic downturns.</w:t>
      </w:r>
    </w:p>
    <w:p>
      <w:pPr>
        <w:spacing w:after="0" w:line="11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operations and customers are concentrated principally in New England, New York, and Pennsylvania. Therefore, our business, financial condition and results of operations are susceptible to regional economic downturns and other regional factors, including state regulations and budget constraints and severe weather conditions. In addition, as we seek to expand in our existing markets, opportunities for growth within this region will become more limited and the geographic concentration of our business will increase.</w:t>
      </w:r>
    </w:p>
    <w:p>
      <w:pPr>
        <w:spacing w:after="0" w:line="8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i w:val="1"/>
          <w:iCs w:val="1"/>
          <w:color w:val="auto"/>
        </w:rPr>
        <w:t>Our results of operations and financial condition may be negatively affected if we inadequately accrue for final capping, closure and post-closure costs or by the timing of these costs for our waste disposal facilities.</w:t>
      </w:r>
    </w:p>
    <w:p>
      <w:pPr>
        <w:spacing w:after="0" w:line="7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have material financial obligations relating to final capping, closure and post-closure costs of our existing owned or operated landfills and will have material financial obligations with respect to any disposal facilities that we may own or operate in the future. Once the permitted capacity of a particular landfill is reached and additional capacity is not authorized, or a determination is made to cease operations at a landfill due to other considerations, the landfill must be closed and capped, and we must begin post-closure maintenance. We establish accruals for the estimated costs associated with such final capping, closure and post-closure obligations over the anticipated useful life of each landfill on a per ton basis. We have provided and expect that we will in the future provide accruals for financial obligations relating to final capping, closure and post-closure costs of our owned or operated landfills, generally for a term of 30 years after closure of a landfill. Our financial obligations for final capping, closure or post-closure costs could exceed the amounts accrued or amounts otherwise receivable pursuant to trust funds established for this purpose. Such a circumstance could result in significant unanticipated charges that would have an adverse effect on our business.</w:t>
      </w:r>
    </w:p>
    <w:p>
      <w:pPr>
        <w:spacing w:after="0" w:line="7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the timing of any such final capping, closure or post-closure costs, which exceed established accruals, may further negatively affect our business. Since we will be unable to control the timing and amounts of such costs, we may be forced to delay investments or planned improvements in other parts of our business or we may be unable to meet applicable financial assurance requirements. Any of the foregoing would negatively affect our business and results of operations.</w:t>
      </w:r>
    </w:p>
    <w:p>
      <w:pPr>
        <w:spacing w:after="0" w:line="85" w:lineRule="exact"/>
        <w:rPr>
          <w:sz w:val="20"/>
          <w:szCs w:val="20"/>
          <w:color w:val="auto"/>
        </w:rPr>
      </w:pPr>
    </w:p>
    <w:p>
      <w:pPr>
        <w:ind w:right="600"/>
        <w:spacing w:after="0" w:line="329" w:lineRule="auto"/>
        <w:rPr>
          <w:sz w:val="20"/>
          <w:szCs w:val="20"/>
          <w:color w:val="auto"/>
        </w:rPr>
      </w:pPr>
      <w:r>
        <w:rPr>
          <w:rFonts w:ascii="Arial" w:cs="Arial" w:eastAsia="Arial" w:hAnsi="Arial"/>
          <w:sz w:val="16"/>
          <w:szCs w:val="16"/>
          <w:color w:val="auto"/>
        </w:rPr>
        <w:t xml:space="preserve">For information regarding our final capping, closure and post-closure obligations, see Note 10, </w:t>
      </w:r>
      <w:r>
        <w:rPr>
          <w:rFonts w:ascii="Arial" w:cs="Arial" w:eastAsia="Arial" w:hAnsi="Arial"/>
          <w:sz w:val="16"/>
          <w:szCs w:val="16"/>
          <w:i w:val="1"/>
          <w:iCs w:val="1"/>
          <w:color w:val="auto"/>
        </w:rPr>
        <w:t>Final Capping, Closure and Post-Closure Costs</w:t>
      </w:r>
      <w:r>
        <w:rPr>
          <w:rFonts w:ascii="Arial" w:cs="Arial" w:eastAsia="Arial" w:hAnsi="Arial"/>
          <w:sz w:val="16"/>
          <w:szCs w:val="16"/>
          <w:color w:val="auto"/>
        </w:rPr>
        <w:t xml:space="preserve"> to our consolidated financial statements included under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and self-insurance reserves may be inadequate to cover all significant risk exposures.</w:t>
      </w:r>
    </w:p>
    <w:p>
      <w:pPr>
        <w:spacing w:after="0" w:line="112"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 xml:space="preserve">The provision of environmental services, including the operation of landfills, a substantial fleet of trucks and other waste-related assets, involves risks. These risks include, among others, the risk of truck accidents, equipment defects, malfunctions and failures, improper use of dangerous equipment, the release of hazardous substances, fire and explosion, any of which could result in environmental liability, personal injury, loss of life, business interruption or property damage or destruction. We carry a range of insurance policies intended to protect our assets and operations, including general liability insurance, property damage and environmental risk insurance. While we endeavor to purchase insurance coverage appropriate to our risk assessment, and seek to minimize our exposure to these risks through maintenance, training and compliance programs, we are unable to predict with certainty the frequency, nature or magnitude of claims for direct or consequential damages, and as a result our insurance program may not fully cover us for losses we may incur. In addition, as a result of a number of catastrophic weather and other events in the United States, insurance companies have incurred substantial losses and accordingly in many cases they have substantially reduced the nature and amount of insurance coverage available to the market, have broadened exclusions, and/or have substantially increased the cost of such coverage. It is likely that the tight insurance markets will continue into the foreseeable future. A partially or completely uninsured claim against us (including liabilities associated with cleanup or remediation at our facilities), if successful and of sufficient magnitude, could have a material adverse effect on our business, financial condition and results of operations. Any future difficulty in obtaining insurance could also impair our ability to secure future contracts, which may be conditioned upon the availability of adequate insurance coverage. In addition, claims associated with risks we have retained under our self-insurance programs may exceed our recorded reserves which could negatively impact future earnings. See Note 3, </w:t>
      </w:r>
      <w:r>
        <w:rPr>
          <w:rFonts w:ascii="Arial" w:cs="Arial" w:eastAsia="Arial" w:hAnsi="Arial"/>
          <w:sz w:val="16"/>
          <w:szCs w:val="16"/>
          <w:i w:val="1"/>
          <w:iCs w:val="1"/>
          <w:color w:val="auto"/>
        </w:rPr>
        <w:t>Summary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Significant Accounting Policies </w:t>
      </w:r>
      <w:r>
        <w:rPr>
          <w:rFonts w:ascii="Arial" w:cs="Arial" w:eastAsia="Arial" w:hAnsi="Arial"/>
          <w:sz w:val="16"/>
          <w:szCs w:val="16"/>
          <w:color w:val="auto"/>
        </w:rPr>
        <w:t>to our consolidated financial statements included under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 on Form 10-K for disclosure about our self-insurance liabilities and related costs.</w:t>
      </w:r>
    </w:p>
    <w:p>
      <w:pPr>
        <w:spacing w:after="0" w:line="76"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b w:val="1"/>
          <w:bCs w:val="1"/>
          <w:i w:val="1"/>
          <w:iCs w:val="1"/>
          <w:color w:val="auto"/>
        </w:rPr>
        <w:t>We could be precluded from entering into contracts or obtaining or maintaining permits or certain contracts if we are unable to obtain third-party financial assurance to secure our contractual obligations.</w:t>
      </w:r>
    </w:p>
    <w:p>
      <w:pPr>
        <w:spacing w:after="0" w:line="7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Public solid waste collection, recycling and disposal contracts, and obligations associated with landfill closure and post-closure typically require performance or surety bonds, letters of credit or other means of financial assurance to secure our contractual performance. We currently obtain performance and surety bonds from Evergreen National Indemnity Company, in which we hold a 19.9% equity interest. If we are unable to obtain the necessary financial assurance in sufficient amounts or at acceptable rates, we could be precluded from entering into additional municipal contracts or from obtaining or retaining landfill management contracts or operating permits.</w:t>
      </w:r>
    </w:p>
    <w:p>
      <w:pPr>
        <w:spacing w:after="0" w:line="8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We may be required to write-off or impair capitalized costs or intangible assets in the future or we may incur restructuring costs or other charges, each of which could harm our earnings.</w:t>
      </w:r>
    </w:p>
    <w:p>
      <w:pPr>
        <w:spacing w:after="0" w:line="7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In accordance with generally accepted accounting principles in the United States, we capitalize certain expenditures and advances relating to our acquisitions, landfills, cost method investments and development projects. In addition, we have considerable unamortized assets. From time to time in future periods, we may be required to incur a charge against earnings in an amount equal to any unamortized capitalized expenditures and advances, net of any portion thereof that we estimate will be recoverable, through sale or otherwise, relating to: (1) any operation or other asset that is being sold, permanently shut down or impaired or has not generated or is not expected to generate sufficient cash flow; (2) any landfill or development project, or growth oriented investment that is not expected to be successfully completed or generate a sufficient return on investment; and (3) any goodwill or other intangible assets that are determined to be impaired.</w:t>
      </w:r>
    </w:p>
    <w:p>
      <w:pPr>
        <w:spacing w:after="0" w:line="9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response to such charges and costs and other market factors, we may be required to implement restructuring plans in an effort to reduce the size and cost of our operations and to better match our resources with our market opportunities. As a result of such actions, we would expect to incur restructuring expenses and accounting charges which may be material. Several factors could cause a restructuring to adversely affect our business, financial condition and results of operations, including potential disruption of our operations, the development of our landfill capacity and recycling technologies and other aspects of our business. Employee morale and productivity could also suffer and result in unintended employee attrition. Any restructuring would require substantial management time and attention and may divert management from other important work. Moreover, we could encounter delays in executing any restructuring plans, which could cause further disruption and additional unanticipated expense.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i w:val="1"/>
          <w:iCs w:val="1"/>
          <w:color w:val="auto"/>
        </w:rPr>
        <w:t>Our revenues and our operating income experience seasonal fluctuations, which could adversely affect our operational results in certain quarters and cause our results to fluctuate.</w:t>
      </w:r>
    </w:p>
    <w:p>
      <w:pPr>
        <w:spacing w:after="0" w:line="7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Our transfer and disposal revenues have historically been higher in the late spring, summer and early fall months, which when combined with operating and other fixed costs that remain constant throughout the fiscal year, results in seasonal fluctuations in our operating performance. This seasonality reflects the lower volume of solid waste during the late fall, winter and early spring months primarily because the volume of waste relating to C&amp;D activities decreases substantially during the winter months in the northeastern United States where we are geographically located.</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Adverse weather conditions, including those brought about by climate change, may limit our operations and increase the costs of collection and disposal.</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collection and landfill operations could be adversely impacted by extended periods of inclement weather, or by increased severity of weather, including as a result of climate change. Adverse weather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Efforts by labor unions to organize our employees could divert management attention and increase our operating expenses.</w:t>
      </w:r>
    </w:p>
    <w:p>
      <w:pPr>
        <w:spacing w:after="0" w:line="11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Certain groups of our employees have chosen to be represented by unions, and we have negotiated collective bargaining agreements with these groups. The negotiation of collective bargaining agreements could divert management attention and result in increased operating expenses and lower net income (or increased net loss). If we are unable to negotiate acceptable collective bargaining agreements, we may be subject to union-initiated work stoppages, including strikes. Depending on the type and duration of any labor disruptions, our revenues could decrease and our operating expenses could increase, which could adversely affect our financial condition, results of operations and cash flows. As of January 31, 2023, approximately 5% of our employees were represented by unions.</w:t>
      </w:r>
    </w:p>
    <w:p>
      <w:pPr>
        <w:spacing w:after="0" w:line="89"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i w:val="1"/>
          <w:iCs w:val="1"/>
          <w:color w:val="auto"/>
        </w:rPr>
        <w:t>Our enterprise risk management process may not be effective in mitigating the risks to which we are subject, or in reducing the potential for losses in connection with such risks.</w:t>
      </w:r>
    </w:p>
    <w:p>
      <w:pPr>
        <w:spacing w:after="0" w:line="7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Our enterprise risk management framework is designed to minimize or mitigate the risks to which we are subject, as well as any losses stemming from such risks. Although we seek to identify, measure, monitor, report, and control our exposure to such risks, and employ a broad and diversified set of risk monitoring and mitigation techniques in the process, those techniques are inherently limited in their ability to anticipate the existence or development of risks that are currently unknown and unanticipated. The ineffectiveness of our enterprise risk management framework in mitigating the impact of known risks or the emergence of previously unknown or unanticipated risks may result in our incurring losses in the future that could adversely impact our financial condition and results of operations.</w:t>
      </w:r>
    </w:p>
    <w:p>
      <w:pPr>
        <w:spacing w:after="0" w:line="89" w:lineRule="exact"/>
        <w:rPr>
          <w:sz w:val="20"/>
          <w:szCs w:val="20"/>
          <w:color w:val="auto"/>
        </w:rPr>
      </w:pPr>
    </w:p>
    <w:p>
      <w:pPr>
        <w:ind w:right="80"/>
        <w:spacing w:after="0" w:line="396" w:lineRule="auto"/>
        <w:rPr>
          <w:sz w:val="20"/>
          <w:szCs w:val="20"/>
          <w:color w:val="auto"/>
        </w:rPr>
      </w:pPr>
      <w:r>
        <w:rPr>
          <w:rFonts w:ascii="Arial" w:cs="Arial" w:eastAsia="Arial" w:hAnsi="Arial"/>
          <w:sz w:val="14"/>
          <w:szCs w:val="14"/>
          <w:b w:val="1"/>
          <w:bCs w:val="1"/>
          <w:i w:val="1"/>
          <w:iCs w:val="1"/>
          <w:color w:val="auto"/>
        </w:rPr>
        <w:t>We may be adversely affected by market responses to our environmental, social and governance ("ESG") practices and may not be effective in mitigating the risks associated with ESG expectations and emerging ESG regulations, or in reducing the potential for losses in connection with such risks.</w:t>
      </w:r>
    </w:p>
    <w:p>
      <w:pPr>
        <w:spacing w:after="0" w:line="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are subject to risks related to our ESG activities and disclosures that may adversely affect our market outlook, brand and reputation, and financial performance, which may impact our ability to achieve our long-term business objectives. Our ESG practices are designed to bring our actions and impacts into alignment with broader societal goals and environmental limits. Although we have developed a framework and perform a global reporting initiative to identify, measure, monitor, report, and control our ESG practices and related exposure to ESG expectations and regulations, we may not achieve our sustainability goals and commitments, or we may improperly report on our progress toward achieving our sustainability goals and commitments, which could result in negative publicity that could affect our brand and reputation, and accordingly, adversely impact our financial condition and results of operations.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11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i w:val="1"/>
          <w:iCs w:val="1"/>
          <w:color w:val="auto"/>
        </w:rPr>
        <w:t>We have substantial debt and have the ability to incur additional debt. The principal and interest payment obligations of such debt may restrict our future operations.</w:t>
      </w:r>
    </w:p>
    <w:p>
      <w:pPr>
        <w:spacing w:after="0" w:line="7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As of December 31, 2022, we had approximately $603.5 million of outstanding principal indebtedness (excluding approximately $27.9 million of outstanding letters of credit issued under our term loan A facility ("Term Loan Facility") and revolving line of credit facility (“Revolving Credit Facility” and, together with the Term Loan Facility, the "Credit Facility"). This amount of indebtedness and our debt service requirements may limit our financial flexibility to access additional capital and make capital expenditures and other investments in our business, to withstand economic downturns and interest rate increases, to plan for or react to changes in our business and our industry, and to comply with the financial and other covenants included in the Credit Facility. We may also be subject to higher interest expense based on how we perform against financial and other covenants. Additionally, if we do not comply with financial and other covenants, we may be required to take actions such as reducing or delaying capital expenditures, selling assets, restructuring or refinancing all or part of our existing Credit Facility or seeking additional equity capital. Our ability to satisfy our obligations and to reduce our total debt depends on our future operating performance and on economic, financial, competitive and other factors, many of which are beyond our control. As of December 31, 2022, we had $266.1 million of unused commitments remaining under the Revolving Credit Facility, subject to customary borrowing conditions, and approximately $71.2 million in cash and cash equivalents available for any future payment obligations.</w:t>
      </w:r>
    </w:p>
    <w:p>
      <w:pPr>
        <w:spacing w:after="0" w:line="6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Holders of our Class A common stock are entitled to one vote per share, and holders of our Class B common stock are entitled to ten votes per share. The lower voting power of the Class A common stock may negatively affect the attractiveness of our Class A common stock to investors and, as a result, its market value.</w:t>
      </w:r>
    </w:p>
    <w:p>
      <w:pPr>
        <w:spacing w:after="0" w:line="8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We have two classes of common stock: Class A common stock, which is entitled to one vote per share, and Class B common stock, which is entitled to ten votes per share. All of the outstanding Class B common stock are beneficially owned by John W. Casella, our Chairman and Chief Executive Officer; certain trusts for the benefit of Mr. John Casella and his spouse; and Douglas R. Casella, a member of our Board of Directors who is Mr. John Casella's brother. Except for the election of one of our directors and in certain limited circumstances required by applicable law, holders of Class A common stock and Class B common stock vote together as a single class on all matters to be voted on by our stockholders. As of January 31, 2023, an aggregate of 988,200 shares of our Class B common stock, representing 9,882,000 votes, were outstanding. Based on the number of shares of common stock outstanding as of January 31, 2023, the shares of our Class A common stock and Class B common stock beneficially owned by John W. Casella and Douglas R. Casella represented approximately 16.6% of the aggregate voting power of our stockholders. Consequently, John W. Casella and Douglas R. Casella are able to substantially influence all matters for stockholder consideration and constitute, and are expected to continue to constitute, a significant portion of the shares entitled to vote on all matters requiring approval by our stockholders. The difference in the voting power of our Class A common stock and Class B common stock could diminish the market value of our Class A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Our headquarters is located at 25 Greens Hill Lane, Rutland, Vermont 05701, where we currently lease approximately 12,000 square feet of office space.</w:t>
      </w:r>
    </w:p>
    <w:p>
      <w:pPr>
        <w:spacing w:after="0" w:line="13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principal property and equipment consists of land, landfills, buildings, machinery and equipment, rolling stock and containers. At January 31, 2023, we operated eight subtitle D landfills, four of which we own and four of which we lease; one landfill permitted to accept C&amp;D materials that we own; 65 transfer stations, 35 of which we own, ten of which we lease and 20 of which we operate under a contract; 49 solid waste collection facilities, 30 of which we own, 18 of which we lease and one of which we operate under a contract; 26 recycling processing facilities, 14 of which we own, nine of which we lease and three of which we operate under a contract; three landfill gas-to-energy facilities that we own; and 30 corporate office and other administrative facilities, ten of which we own and 20 of which we lease (See "Operational Overview" in Item 1. “</w:t>
      </w:r>
      <w:r>
        <w:rPr>
          <w:rFonts w:ascii="Arial" w:cs="Arial" w:eastAsia="Arial" w:hAnsi="Arial"/>
          <w:sz w:val="16"/>
          <w:szCs w:val="16"/>
          <w:i w:val="1"/>
          <w:iCs w:val="1"/>
          <w:color w:val="auto"/>
        </w:rPr>
        <w:t>Business</w:t>
      </w:r>
      <w:r>
        <w:rPr>
          <w:rFonts w:ascii="Arial" w:cs="Arial" w:eastAsia="Arial" w:hAnsi="Arial"/>
          <w:sz w:val="16"/>
          <w:szCs w:val="16"/>
          <w:color w:val="auto"/>
        </w:rPr>
        <w:t>” of this Annual Report on Form 10-K for property information by operating segment and location). We believe that our property and equipment are adequately maintained and sufficient for our current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information required by this Item is provided in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our consolidated financial statements included in Item 8.</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 over Certain Environmental Matters Involving Governmental Authorities with Possible Sanctions of $1,000,000 or More</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Item 103 of the Securities and Exchange Commission's Regulation S-K requires disclosure of certain environmental matters when a governmental authority is a party to the proceedings and the proceedings involve potential monetary sanctions unless we reasonably believe the monetary sanctions will not equal or exceed a specified threshold which we determine is reasonably designed to result in disclosure of any such proceeding that is material to our business or financial condition. Pursuant to Item 103, we have determined such disclosure threshold to be $1,000,000. We have no matters to disclose in accordance with that requirement.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8" w:lineRule="exact"/>
        <w:rPr>
          <w:sz w:val="20"/>
          <w:szCs w:val="20"/>
          <w:color w:val="auto"/>
        </w:rPr>
      </w:pPr>
    </w:p>
    <w:p>
      <w:pPr>
        <w:ind w:right="500"/>
        <w:spacing w:after="0" w:line="27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Class A common stock trades on the Nasdaq Global Select Market (“Nasdaq Stock Market”) under the symbol CWST. There is no established trading market for our Class B common stock. As of January 31, 2023, there were approximately 600 holders of record of our Class A common stock and two holders of record of our Class B common stock.</w:t>
      </w:r>
    </w:p>
    <w:p>
      <w:pPr>
        <w:spacing w:after="0" w:line="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purposes of calculating the aggregate market value of the shares of common stock held by non-affiliates, as shown on the cover page of this Annual Report on Form 10-K, we have assumed that all the outstanding shares of Class A common stock were held by non-affiliates except for the shares beneficially held by directors and executive officers and funds represented by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8" w:lineRule="exact"/>
        <w:rPr>
          <w:sz w:val="20"/>
          <w:szCs w:val="20"/>
          <w:color w:val="auto"/>
        </w:rPr>
      </w:pPr>
    </w:p>
    <w:p>
      <w:pPr>
        <w:ind w:right="660"/>
        <w:spacing w:after="0" w:line="266" w:lineRule="auto"/>
        <w:rPr>
          <w:sz w:val="20"/>
          <w:szCs w:val="20"/>
          <w:color w:val="auto"/>
        </w:rPr>
      </w:pPr>
      <w:r>
        <w:rPr>
          <w:rFonts w:ascii="Arial" w:cs="Arial" w:eastAsia="Arial" w:hAnsi="Arial"/>
          <w:sz w:val="18"/>
          <w:szCs w:val="18"/>
          <w:color w:val="auto"/>
        </w:rPr>
        <w:t>No dividends have ever been declared or paid on our common stock and we do not anticipate paying any cash dividends on our common stock in the foreseeable future.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201(d) of Regulation S-K is included in Part III of this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“filed” with the Securities and Exchange Commission, nor shall such information be incorporated by reference into any future filing under the Securities Act of 1933 or the Securities Exchange Act of 1934, each as amended, except to the extent that we specifically incorporate it by reference into such filing.</w:t>
      </w:r>
    </w:p>
    <w:p>
      <w:pPr>
        <w:spacing w:after="0" w:line="82"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stock performance graph below compares the percentage change in cumulative stockholder return on our Class A common stock for the period from December 31, 2017 through December 31, 2022, with the cumulative total return on the Russell 2000 Index and Peer Group. The stock performance graph assumes the investment on December 31, 2017 of $100.00 in our Class A common stock at the closing price on such date, in the Russell 2000 Index and the Peer Group, and that dividends are reinvested. No dividends have been declared or paid on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460375</wp:posOffset>
            </wp:positionV>
            <wp:extent cx="5775325" cy="4795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75325" cy="479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0" w:type="dxa"/>
            <w:vAlign w:val="bottom"/>
          </w:tcPr>
          <w:p>
            <w:pPr>
              <w:jc w:val="right"/>
              <w:ind w:right="78"/>
              <w:spacing w:after="0"/>
              <w:rPr>
                <w:sz w:val="20"/>
                <w:szCs w:val="20"/>
                <w:color w:val="auto"/>
              </w:rPr>
            </w:pPr>
            <w:r>
              <w:rPr>
                <w:rFonts w:ascii="Arial" w:cs="Arial" w:eastAsia="Arial" w:hAnsi="Arial"/>
                <w:sz w:val="14"/>
                <w:szCs w:val="14"/>
                <w:b w:val="1"/>
                <w:bCs w:val="1"/>
                <w:color w:val="auto"/>
                <w:w w:val="90"/>
              </w:rPr>
              <w:t>December 31,</w:t>
            </w:r>
          </w:p>
        </w:tc>
      </w:tr>
      <w:tr>
        <w:trPr>
          <w:trHeight w:val="193"/>
        </w:trPr>
        <w:tc>
          <w:tcPr>
            <w:tcW w:w="39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r>
      <w:tr>
        <w:trPr>
          <w:trHeight w:val="22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Casella Waste Systems, Inc.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344.53</w:t>
            </w:r>
          </w:p>
        </w:tc>
      </w:tr>
      <w:tr>
        <w:trPr>
          <w:trHeight w:val="226"/>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Russell 2000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153.85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122.41</w:t>
            </w:r>
          </w:p>
        </w:tc>
      </w:tr>
      <w:tr>
        <w:trPr>
          <w:trHeight w:val="22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Peer Group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196.13</w:t>
            </w:r>
          </w:p>
        </w:tc>
      </w:tr>
    </w:tbl>
    <w:p>
      <w:pPr>
        <w:spacing w:after="0" w:line="200" w:lineRule="exact"/>
        <w:rPr>
          <w:sz w:val="20"/>
          <w:szCs w:val="20"/>
          <w:color w:val="auto"/>
        </w:rPr>
      </w:pPr>
    </w:p>
    <w:p>
      <w:pPr>
        <w:spacing w:after="0" w:line="233" w:lineRule="exact"/>
        <w:rPr>
          <w:sz w:val="20"/>
          <w:szCs w:val="20"/>
          <w:color w:val="auto"/>
        </w:rPr>
      </w:pPr>
    </w:p>
    <w:p>
      <w:pPr>
        <w:ind w:left="480" w:hanging="314"/>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Peer Group is comprised of GFL Environmental, Inc., Waste Connections Inc., Waste Management, Inc. and Republic Services,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8"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The following discussion of our financial condition and results of operations should be read in conjunction with the consolidated financial statements and notes thereto, and other financial information, included elsewhere in this Annual Report on Form 10-K. This discussion contains forward-looking statements and involves numerous risks and uncertainties. Our actual results may differ materially from those contained in any forward-looking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Discussion and analysis of our financial condition and results of operations for the fiscal year ended December 31, 2021 ("fiscal year 2021") compared to our financial condition and results of operations for the fiscal year ended December 31, 2020 is included under the heading Item 7.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w:t>
      </w:r>
      <w:r>
        <w:rPr>
          <w:rFonts w:ascii="Arial" w:cs="Arial" w:eastAsia="Arial" w:hAnsi="Arial"/>
          <w:sz w:val="18"/>
          <w:szCs w:val="18"/>
          <w:color w:val="auto"/>
        </w:rPr>
        <w:t>” in our Annual Report on Form 10-K for the fiscal year ended December 31, 2021 as filed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Securities and Exchange Commission on February 18,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8" w:lineRule="exact"/>
        <w:rPr>
          <w:sz w:val="20"/>
          <w:szCs w:val="20"/>
          <w:color w:val="auto"/>
        </w:rPr>
      </w:pPr>
    </w:p>
    <w:p>
      <w:pPr>
        <w:spacing w:after="0" w:line="330" w:lineRule="auto"/>
        <w:rPr>
          <w:sz w:val="20"/>
          <w:szCs w:val="20"/>
          <w:color w:val="auto"/>
        </w:rPr>
      </w:pPr>
      <w:r>
        <w:rPr>
          <w:rFonts w:ascii="Arial" w:cs="Arial" w:eastAsia="Arial" w:hAnsi="Arial"/>
          <w:sz w:val="14"/>
          <w:szCs w:val="14"/>
          <w:color w:val="auto"/>
        </w:rPr>
        <w:t>Casella Waste Systems, Inc., a Delaware corporation, and its wholly-owned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We provide integrated solid waste services in seven states: Vermont, New Hampshire, New York, Massachusetts, Connecticut, Maine and Pennsylvania, with our headquarters located in Rutland, Vermont.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25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As of January 31, 2023, we owned and/or operated 49 solid waste collection operations, 65 transfer stations, 26 recycling facilities, eight Subtitle D landfills, three landfill gas-to-energy facilities and one landfill permitted to accept construction and demolition materials.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made in the past, and we may make in the future, acquisitions to densify existing operations, expand service areas, and grow services for our customers. These acquisitions may include “tuck-in” acquisitions within our existing markets, assets that are adjacent to or outside of our existing markets, or larger, more strategic acquisitions. In addition, from time to time, we may acquire businesses that are complementary to our core business strategy. We face competition for acquisition targets, particularly the larger and more meaningful targets, but we believe that our strong relationships and reputation help to offset this factor.</w:t>
      </w:r>
    </w:p>
    <w:p>
      <w:pPr>
        <w:spacing w:after="0" w:line="88" w:lineRule="exact"/>
        <w:rPr>
          <w:sz w:val="20"/>
          <w:szCs w:val="20"/>
          <w:color w:val="auto"/>
        </w:rPr>
      </w:pPr>
    </w:p>
    <w:p>
      <w:pPr>
        <w:ind w:right="260"/>
        <w:spacing w:after="0" w:line="296" w:lineRule="auto"/>
        <w:rPr>
          <w:sz w:val="20"/>
          <w:szCs w:val="20"/>
          <w:color w:val="auto"/>
        </w:rPr>
      </w:pPr>
      <w:r>
        <w:rPr>
          <w:rFonts w:ascii="Arial" w:cs="Arial" w:eastAsia="Arial" w:hAnsi="Arial"/>
          <w:sz w:val="17"/>
          <w:szCs w:val="17"/>
          <w:color w:val="auto"/>
        </w:rPr>
        <w:t>We have a business development team that identifies acquisition candidates, categorizes the opportunity by strategic fit and financial synergies, establishes contact with the appropriate representative of the acquisition candidate and gathers further information on the acquisition candidate.</w:t>
      </w:r>
    </w:p>
    <w:p>
      <w:pPr>
        <w:spacing w:after="0" w:line="50"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In the fiscal year ended December 31, 2022 ("fiscal year 2022"), we acquired fourteen businesses primarily related to our solid-waste operations, including, among others, solid-waste collection, recycling, transfer station and transportation businesses for total consideration of $82.7 million, including $76.6 million in cash, $1.3 million in non-cash consideration and $4.8 million in holdbacks to sellers and contingent consideration.</w:t>
      </w:r>
    </w:p>
    <w:p>
      <w:pPr>
        <w:spacing w:after="0" w:line="6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fiscal year 2021, we acquired ten businesses primarily related to our solid-waste operations, including, among others, solid-waste collection and transfer station businesses and a residential, commercial and roll-off collection business in eastern Connecticut that operates a rail-served construction and demolition processing and waste transfer facility, a waste transfer station, a single-stream recycling facility, and several other recycling operations whose assets and liabilities are allocated between our Eastern region and Resource Solutions operating segments for total consideration of $171.7 million, including $166.5 million in cash and $5.2 million in holdbacks to sellers and contingent consideration.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1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From time to time, we may sell or divest certain investments or other components of our business. These divestitures may be undertaken for a number of reasons, including: to generate proceeds to pay down debt; as a result of a determination that the specified asset will provide inadequate returns to us or that the asset no longer serves a strategic purpose in connection with our business; or as a result of a determination that the asset may be more valuable to a third-party. We will continue to look to divest certain activities and investments that no longer enhance or complement our core business if the right opportunity presents itself.</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services, including landfill, transfer station and transportation, landfill gas-to-energy, and processing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at certain of our landfill facilities. We manage our resource-renewal operations through the Resource Solutions operating segment, which includes processing services, and non-processing services, which we refer to as our Customer Solutions business. Revenues from processing services are derived from customers in the form of processing fees, tipping fees, and commodity sales, primarily comprised of newspaper, corrugated containers, plastics, ferrous and aluminum, and organic materials such as our earthlife® soils products including fertilizers, composts and mulches. Revenues from our Customer Solutions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revenue attributable to services provided (in millions) for the following periods: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6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w w:val="99"/>
              </w:rPr>
              <w:t>Fiscal Year Ended December 31,</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5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8"/>
                <w:szCs w:val="18"/>
                <w:color w:val="auto"/>
              </w:rPr>
              <w:t>Disposal</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340"/>
              <w:spacing w:after="0" w:line="206" w:lineRule="exact"/>
              <w:rPr>
                <w:sz w:val="20"/>
                <w:szCs w:val="20"/>
                <w:color w:val="auto"/>
              </w:rPr>
            </w:pPr>
            <w:r>
              <w:rPr>
                <w:rFonts w:ascii="Arial" w:cs="Arial" w:eastAsia="Arial" w:hAnsi="Arial"/>
                <w:sz w:val="18"/>
                <w:szCs w:val="18"/>
                <w:color w:val="auto"/>
              </w:rPr>
              <w:t>Solid waste</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33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Solutions</w:t>
            </w:r>
          </w:p>
        </w:tc>
        <w:tc>
          <w:tcPr>
            <w:tcW w:w="4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8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8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9"/>
        </w:trPr>
        <w:tc>
          <w:tcPr>
            <w:tcW w:w="3500" w:type="dxa"/>
            <w:vAlign w:val="bottom"/>
            <w:tcBorders>
              <w:bottom w:val="single" w:sz="8" w:color="CCEEFF"/>
            </w:tcBorders>
          </w:tcPr>
          <w:p>
            <w:pPr>
              <w:ind w:left="340"/>
              <w:spacing w:after="0" w:line="205" w:lineRule="exact"/>
              <w:rPr>
                <w:sz w:val="20"/>
                <w:szCs w:val="20"/>
                <w:color w:val="auto"/>
              </w:rPr>
            </w:pPr>
            <w:r>
              <w:rPr>
                <w:rFonts w:ascii="Arial" w:cs="Arial" w:eastAsia="Arial" w:hAnsi="Arial"/>
                <w:sz w:val="18"/>
                <w:szCs w:val="18"/>
                <w:color w:val="auto"/>
              </w:rPr>
              <w:t>Resource Solutions</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27.6 %</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26.4 %</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Total revenues</w:t>
            </w: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 in solid waste revenues (dollars in millions and as percentage growth of solid waste revenues) follows:</w:t>
      </w:r>
    </w:p>
    <w:p>
      <w:pPr>
        <w:spacing w:after="0" w:line="35"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Period-to-Period Change For</w:t>
      </w:r>
    </w:p>
    <w:p>
      <w:pPr>
        <w:jc w:val="center"/>
        <w:ind w:left="8080"/>
        <w:spacing w:after="0"/>
        <w:rPr>
          <w:sz w:val="20"/>
          <w:szCs w:val="20"/>
          <w:color w:val="auto"/>
        </w:rPr>
      </w:pPr>
      <w:r>
        <w:rPr>
          <w:rFonts w:ascii="Arial" w:cs="Arial" w:eastAsia="Arial" w:hAnsi="Arial"/>
          <w:sz w:val="14"/>
          <w:szCs w:val="14"/>
          <w:b w:val="1"/>
          <w:bCs w:val="1"/>
          <w:color w:val="auto"/>
        </w:rPr>
        <w:t>Fiscal Year 2022 vs Fiscal Year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58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Growth</w:t>
            </w:r>
          </w:p>
        </w:tc>
      </w:tr>
      <w:tr>
        <w:trPr>
          <w:trHeight w:val="226"/>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Volume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27"/>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27"/>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19"/>
        </w:trPr>
        <w:tc>
          <w:tcPr>
            <w:tcW w:w="8120" w:type="dxa"/>
            <w:vAlign w:val="bottom"/>
          </w:tcPr>
          <w:p>
            <w:pPr>
              <w:ind w:left="340"/>
              <w:spacing w:after="0" w:line="205" w:lineRule="exact"/>
              <w:rPr>
                <w:sz w:val="20"/>
                <w:szCs w:val="20"/>
                <w:color w:val="auto"/>
              </w:rPr>
            </w:pPr>
            <w:r>
              <w:rPr>
                <w:rFonts w:ascii="Arial" w:cs="Arial" w:eastAsia="Arial" w:hAnsi="Arial"/>
                <w:sz w:val="18"/>
                <w:szCs w:val="18"/>
                <w:color w:val="auto"/>
              </w:rPr>
              <w:t>Solid waste revenues</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20.0 %</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fiscal year 2022 solid waste revenues growth from the prior year is a result of the following:</w:t>
      </w:r>
    </w:p>
    <w:p>
      <w:pPr>
        <w:spacing w:after="0" w:line="59" w:lineRule="exact"/>
        <w:rPr>
          <w:sz w:val="20"/>
          <w:szCs w:val="20"/>
          <w:color w:val="auto"/>
        </w:rPr>
      </w:pPr>
    </w:p>
    <w:p>
      <w:pPr>
        <w:ind w:left="480" w:hanging="314"/>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$31.1 million from favorable collection pricing; and</w:t>
      </w:r>
    </w:p>
    <w:p>
      <w:pPr>
        <w:spacing w:after="0" w:line="58" w:lineRule="exact"/>
        <w:rPr>
          <w:rFonts w:ascii="Arial" w:cs="Arial" w:eastAsia="Arial" w:hAnsi="Arial"/>
          <w:sz w:val="18"/>
          <w:szCs w:val="18"/>
          <w:color w:val="auto"/>
        </w:rPr>
      </w:pPr>
    </w:p>
    <w:p>
      <w:pPr>
        <w:ind w:left="480" w:right="500" w:hanging="314"/>
        <w:spacing w:after="0" w:line="266" w:lineRule="auto"/>
        <w:tabs>
          <w:tab w:leader="none" w:pos="475" w:val="left"/>
        </w:tabs>
        <w:numPr>
          <w:ilvl w:val="0"/>
          <w:numId w:val="9"/>
        </w:numPr>
        <w:rPr>
          <w:rFonts w:ascii="Arial" w:cs="Arial" w:eastAsia="Arial" w:hAnsi="Arial"/>
          <w:sz w:val="18"/>
          <w:szCs w:val="18"/>
          <w:color w:val="auto"/>
        </w:rPr>
      </w:pPr>
      <w:r>
        <w:rPr>
          <w:rFonts w:ascii="Arial" w:cs="Arial" w:eastAsia="Arial" w:hAnsi="Arial"/>
          <w:sz w:val="18"/>
          <w:szCs w:val="18"/>
          <w:color w:val="auto"/>
        </w:rPr>
        <w:t>$10.6 million from favorable disposal pricing associated with our landfills, transfer stations and, to a lesser extent, Western region transportation services.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fiscal year 2022 solid waste revenues growth from the prior year is a result of the following:</w:t>
      </w:r>
    </w:p>
    <w:p>
      <w:pPr>
        <w:spacing w:after="0" w:line="59" w:lineRule="exact"/>
        <w:rPr>
          <w:sz w:val="20"/>
          <w:szCs w:val="20"/>
          <w:color w:val="auto"/>
        </w:rPr>
      </w:pPr>
    </w:p>
    <w:p>
      <w:pPr>
        <w:ind w:left="480" w:right="320" w:hanging="314"/>
        <w:spacing w:after="0" w:line="266"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$6.4 million from higher disposal volumes ($4.5 million relates to higher transfer station volumes, $1.0 million relates to higher third-party landfill volumes and $0.9 million relates to higher transportation volumes); and</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$0.2 million from higher processing volumes; partially offset by</w:t>
      </w:r>
    </w:p>
    <w:p>
      <w:pPr>
        <w:spacing w:after="0" w:line="58" w:lineRule="exact"/>
        <w:rPr>
          <w:rFonts w:ascii="Arial" w:cs="Arial" w:eastAsia="Arial" w:hAnsi="Arial"/>
          <w:sz w:val="18"/>
          <w:szCs w:val="18"/>
          <w:color w:val="auto"/>
        </w:rPr>
      </w:pPr>
    </w:p>
    <w:p>
      <w:pPr>
        <w:ind w:left="480" w:hanging="314"/>
        <w:spacing w:after="0" w:line="266"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$(1.6) million from lower collection volumes in our Western region associated with higher customer churn due to higher pricing, implementation of the energy and environmental fee ("E&amp;E Fee(s)") on additional customers and customer deselection.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Surcharges and other fees.</w:t>
      </w:r>
    </w:p>
    <w:p>
      <w:pPr>
        <w:spacing w:after="0" w:line="11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The surcharges and other fees change component in fiscal year 2022 solid waste revenues growth from the prior year is primarily the result of higher E&amp;E Fees and, to a lesser extent, higher sustainability recycling adjustment fees ("SRA Fee(s)"). Higher E&amp;E Fees associated with our fuel cost recovery program were a result of higher diesel fuel prices and a higher overall customer participation rate. Higher SRA Fees were a result of lower recycled commodity prices and a higher overall customer participation rate. 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included in this Annual Report on Form 10-K for additional information regarding our E&amp;E Fee and SRA Fee.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and volume.</w:t>
      </w:r>
    </w:p>
    <w:p>
      <w:pPr>
        <w:spacing w:after="0" w:line="11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The commodity price and volume change component in fiscal year 2022 solid waste revenues growth from the prior year is primarily due to favorable energy pricing in our Western region.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2" w:lineRule="exact"/>
        <w:rPr>
          <w:sz w:val="20"/>
          <w:szCs w:val="20"/>
          <w:color w:val="auto"/>
        </w:rPr>
      </w:pPr>
    </w:p>
    <w:p>
      <w:pPr>
        <w:ind w:right="460"/>
        <w:spacing w:after="0" w:line="278" w:lineRule="auto"/>
        <w:rPr>
          <w:sz w:val="20"/>
          <w:szCs w:val="20"/>
          <w:color w:val="auto"/>
        </w:rPr>
      </w:pPr>
      <w:r>
        <w:rPr>
          <w:rFonts w:ascii="Arial" w:cs="Arial" w:eastAsia="Arial" w:hAnsi="Arial"/>
          <w:sz w:val="17"/>
          <w:szCs w:val="17"/>
          <w:color w:val="auto"/>
        </w:rPr>
        <w:t>The acquisitions change component in fiscal year 2022 solid waste revenues growth is a result of increased acquisition activity within our Eastern and Western region operating segments in line with our growth strategy, including the timing and acquisition of twelve businesses related to our solid-waste operations in fiscal year 2022 and ten businesses related to our solid-waste operations in the fiscal year 2021.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Solutions revenues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The change component in fiscal year 2022 resource solutions revenues growth of $64.8 million from the prior year is the result of the following:</w:t>
      </w:r>
    </w:p>
    <w:p>
      <w:pPr>
        <w:spacing w:after="0" w:line="70" w:lineRule="exact"/>
        <w:rPr>
          <w:sz w:val="20"/>
          <w:szCs w:val="20"/>
          <w:color w:val="auto"/>
        </w:rPr>
      </w:pPr>
    </w:p>
    <w:p>
      <w:pPr>
        <w:ind w:left="480" w:hanging="314"/>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$42.9 million from acquisition activity;</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$25.9 million on higher volumes from our Customer Solutions business, favorable pricing and increased fees; partially offset by</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$(3.5) million from unfavorable commodity pricing, partially offset by higher tipping fees and favorable other processing pricing; and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$(0.5) million from lower processing volumes mainly driven by lower recycled commodity volumes.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2"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A summary of our cost of operations, general and administration and depreciation and amortization expenses is as follows (dollars in millions and as a percentage of total revenues):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340" w:type="dxa"/>
            <w:vAlign w:val="bottom"/>
            <w:gridSpan w:val="4"/>
          </w:tcPr>
          <w:p>
            <w:pPr>
              <w:jc w:val="right"/>
              <w:ind w:right="1036"/>
              <w:spacing w:after="0"/>
              <w:rPr>
                <w:sz w:val="20"/>
                <w:szCs w:val="20"/>
                <w:color w:val="auto"/>
              </w:rPr>
            </w:pPr>
            <w:r>
              <w:rPr>
                <w:rFonts w:ascii="Arial" w:cs="Arial" w:eastAsia="Arial" w:hAnsi="Arial"/>
                <w:sz w:val="14"/>
                <w:szCs w:val="14"/>
                <w:b w:val="1"/>
                <w:bCs w:val="1"/>
                <w:color w:val="auto"/>
                <w:w w:val="98"/>
              </w:rPr>
              <w:t>Fiscal Years Ended December 31,</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restart"/>
          </w:tcPr>
          <w:p>
            <w:pPr>
              <w:jc w:val="right"/>
              <w:ind w:right="57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8"/>
        </w:trPr>
        <w:tc>
          <w:tcPr>
            <w:tcW w:w="3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723.1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582.4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65.5 %</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25"/>
        </w:trPr>
        <w:tc>
          <w:tcPr>
            <w:tcW w:w="3600" w:type="dxa"/>
            <w:vAlign w:val="bottom"/>
          </w:tcPr>
          <w:p>
            <w:pPr>
              <w:ind w:left="20"/>
              <w:spacing w:after="0"/>
              <w:rPr>
                <w:sz w:val="20"/>
                <w:szCs w:val="20"/>
                <w:color w:val="auto"/>
              </w:rPr>
            </w:pPr>
            <w:r>
              <w:rPr>
                <w:rFonts w:ascii="Arial" w:cs="Arial" w:eastAsia="Arial" w:hAnsi="Arial"/>
                <w:sz w:val="18"/>
                <w:szCs w:val="18"/>
                <w:color w:val="auto"/>
              </w:rPr>
              <w:t>General and administration</w:t>
            </w: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476"/>
              <w:spacing w:after="0"/>
              <w:rPr>
                <w:sz w:val="20"/>
                <w:szCs w:val="20"/>
                <w:color w:val="auto"/>
              </w:rPr>
            </w:pPr>
            <w:r>
              <w:rPr>
                <w:rFonts w:ascii="Arial" w:cs="Arial" w:eastAsia="Arial" w:hAnsi="Arial"/>
                <w:sz w:val="18"/>
                <w:szCs w:val="18"/>
                <w:color w:val="auto"/>
              </w:rPr>
              <w:t>133.4</w:t>
            </w:r>
          </w:p>
        </w:tc>
        <w:tc>
          <w:tcPr>
            <w:tcW w:w="1160" w:type="dxa"/>
            <w:vAlign w:val="bottom"/>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19"/>
                <w:szCs w:val="19"/>
                <w:color w:val="auto"/>
              </w:rPr>
            </w:pPr>
          </w:p>
        </w:tc>
        <w:tc>
          <w:tcPr>
            <w:tcW w:w="520" w:type="dxa"/>
            <w:vAlign w:val="bottom"/>
          </w:tcPr>
          <w:p>
            <w:pPr>
              <w:jc w:val="right"/>
              <w:ind w:right="331"/>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676"/>
              <w:spacing w:after="0"/>
              <w:rPr>
                <w:sz w:val="20"/>
                <w:szCs w:val="20"/>
                <w:color w:val="auto"/>
              </w:rPr>
            </w:pPr>
            <w:r>
              <w:rPr>
                <w:rFonts w:ascii="Arial" w:cs="Arial" w:eastAsia="Arial" w:hAnsi="Arial"/>
                <w:sz w:val="18"/>
                <w:szCs w:val="18"/>
                <w:color w:val="auto"/>
              </w:rPr>
              <w:t>118.8</w:t>
            </w:r>
          </w:p>
        </w:tc>
        <w:tc>
          <w:tcPr>
            <w:tcW w:w="960" w:type="dxa"/>
            <w:vAlign w:val="bottom"/>
          </w:tcPr>
          <w:p>
            <w:pPr>
              <w:jc w:val="right"/>
              <w:spacing w:after="0"/>
              <w:rPr>
                <w:sz w:val="20"/>
                <w:szCs w:val="20"/>
                <w:color w:val="auto"/>
              </w:rPr>
            </w:pPr>
            <w:r>
              <w:rPr>
                <w:rFonts w:ascii="Arial" w:cs="Arial" w:eastAsia="Arial" w:hAnsi="Arial"/>
                <w:sz w:val="18"/>
                <w:szCs w:val="18"/>
                <w:color w:val="auto"/>
              </w:rPr>
              <w:t>13.4 %</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126.4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103.6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Cost of operations includes: (i) direct costs, which consist of the costs of purchased materials and third-party transportation and disposal costs, including third-party tipping fees; (ii) direct labor costs, which include salaries, wages, incentive compensation and related benefit costs such as health and welfare benefits and workers compensation; (iii) direct operational costs, which include landfill operating costs such as accretion expense related to final capping, closure and post-closure obligations, leachate treatment and disposal costs and depletion of landfill operating lease obligations, vehicle insurance costs, host community fees and royalties; (iv) fuel costs used by our vehicles and in conducting our operations; (v) maintenance and repair costs relating to our vehicles, equipment and containers; and (vi) other operational costs including facility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major components of our cost of operations is as follows (dollars in millions and as a percentage of total revenues):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w w:val="98"/>
              </w:rPr>
              <w:t>Fiscal Years Ended December 31,</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6"/>
        </w:trPr>
        <w:tc>
          <w:tcPr>
            <w:tcW w:w="3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5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36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Direct labor costs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7"/>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operational costs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Fuel costs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7"/>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and repair costs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5"/>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operational costs</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65.5 %</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These cost categories may change from time to time and may not be comparable to similarly titled categories presented by other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items impacting the changes in our cost of operations during fiscal year 2022 are summarized below:</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0" w:right="40" w:hanging="314"/>
        <w:spacing w:after="0" w:line="251" w:lineRule="auto"/>
        <w:tabs>
          <w:tab w:leader="none" w:pos="4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costs increased in aggregate dollars due primarily to higher third-party hauling, transportation and disposal costs on (i) higher solid waste volumes driven by acquisition-related growth, (ii) higher fuel surcharges from third party haulers due to higher diesel fuel prices, (iii) higher third-party disposal rates due to inflationary pressures and (iv) higher volumes in our Customer Solutions business within our Resource Solutions operating segment; and higher purchased material costs on acquisition activity, partially offset by lower commodity prices in our Resource Solutions operating segment;</w:t>
      </w:r>
    </w:p>
    <w:p>
      <w:pPr>
        <w:spacing w:after="0" w:line="34" w:lineRule="exact"/>
        <w:rPr>
          <w:rFonts w:ascii="Arial" w:cs="Arial" w:eastAsia="Arial" w:hAnsi="Arial"/>
          <w:sz w:val="18"/>
          <w:szCs w:val="18"/>
          <w:color w:val="auto"/>
        </w:rPr>
      </w:pPr>
    </w:p>
    <w:p>
      <w:pPr>
        <w:ind w:left="440" w:right="300" w:hanging="314"/>
        <w:spacing w:after="0" w:line="266" w:lineRule="auto"/>
        <w:tabs>
          <w:tab w:leader="none" w:pos="4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labor costs decreased as a percentage of revenues, while increasing in aggregate dollars due primarily to acquisition-related growth and wage inflation;</w:t>
      </w:r>
    </w:p>
    <w:p>
      <w:pPr>
        <w:spacing w:after="0" w:line="19" w:lineRule="exact"/>
        <w:rPr>
          <w:rFonts w:ascii="Arial" w:cs="Arial" w:eastAsia="Arial" w:hAnsi="Arial"/>
          <w:sz w:val="18"/>
          <w:szCs w:val="18"/>
          <w:color w:val="auto"/>
        </w:rPr>
      </w:pPr>
    </w:p>
    <w:p>
      <w:pPr>
        <w:ind w:left="440" w:right="120" w:hanging="314"/>
        <w:spacing w:after="0" w:line="300" w:lineRule="auto"/>
        <w:tabs>
          <w:tab w:leader="none" w:pos="4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Direct operational costs decreased as a percentage of revenues, while increasing in aggregate dollars due primarily to (i) higher landfill operating costs in our Western region due to severe winter weather earlier in the year and construction delays compounded with higher landfill volumes, (ii) higher vehicle insurance costs, (iii) acquisition-related growth and (iv) inflationary pressures; partially offset by lower host community and royalty fees;</w:t>
      </w:r>
    </w:p>
    <w:p>
      <w:pPr>
        <w:spacing w:after="0" w:line="1" w:lineRule="exact"/>
        <w:rPr>
          <w:rFonts w:ascii="Arial" w:cs="Arial" w:eastAsia="Arial" w:hAnsi="Arial"/>
          <w:sz w:val="16"/>
          <w:szCs w:val="16"/>
          <w:color w:val="auto"/>
        </w:rPr>
      </w:pPr>
    </w:p>
    <w:p>
      <w:pPr>
        <w:ind w:left="440" w:hanging="314"/>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Fuel costs increased in aggregate dollars due primarily to higher fuel prices and higher volumes driven by acquisition-related growth. See Item 7A.</w:t>
      </w:r>
    </w:p>
    <w:p>
      <w:pPr>
        <w:spacing w:after="0" w:line="39" w:lineRule="exact"/>
        <w:rPr>
          <w:rFonts w:ascii="Arial" w:cs="Arial" w:eastAsia="Arial" w:hAnsi="Arial"/>
          <w:sz w:val="16"/>
          <w:szCs w:val="16"/>
          <w:color w:val="auto"/>
        </w:rPr>
      </w:pPr>
    </w:p>
    <w:p>
      <w:pPr>
        <w:ind w:left="440" w:right="200"/>
        <w:spacing w:after="0" w:line="253"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included of this Annual Report on Form 10-K for additional information regarding our fuel costs;</w:t>
      </w:r>
    </w:p>
    <w:p>
      <w:pPr>
        <w:spacing w:after="0" w:line="31" w:lineRule="exact"/>
        <w:rPr>
          <w:rFonts w:ascii="Arial" w:cs="Arial" w:eastAsia="Arial" w:hAnsi="Arial"/>
          <w:sz w:val="16"/>
          <w:szCs w:val="16"/>
          <w:color w:val="auto"/>
        </w:rPr>
      </w:pPr>
    </w:p>
    <w:p>
      <w:pPr>
        <w:ind w:left="440" w:right="180" w:hanging="314"/>
        <w:spacing w:after="0" w:line="266" w:lineRule="auto"/>
        <w:tabs>
          <w:tab w:leader="none" w:pos="4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Maintenance and repair costs increased in aggregate dollars due primarily to higher fleet and container maintenance costs associated with acquisition-related growth and inflationary pressures; and</w:t>
      </w:r>
    </w:p>
    <w:p>
      <w:pPr>
        <w:spacing w:after="0" w:line="19" w:lineRule="exact"/>
        <w:rPr>
          <w:rFonts w:ascii="Arial" w:cs="Arial" w:eastAsia="Arial" w:hAnsi="Arial"/>
          <w:sz w:val="18"/>
          <w:szCs w:val="18"/>
          <w:color w:val="auto"/>
        </w:rPr>
      </w:pPr>
    </w:p>
    <w:p>
      <w:pPr>
        <w:ind w:left="440" w:right="380" w:hanging="314"/>
        <w:spacing w:after="0" w:line="266" w:lineRule="auto"/>
        <w:tabs>
          <w:tab w:leader="none" w:pos="4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operational costs decreased as a percentage of revenues, while increasing in aggregate dollars due primarily to higher facility costs driven by acquisition-related growth and inflationary pressures.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2"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color w:val="auto"/>
        </w:rPr>
        <w:t>General and administration expense includes: (i) labor costs, which consists of salaries, wages, incentive compensation and related benefit costs such as health and welfare benefits and workers compensation costs related to management, clerical and administrative functions; (ii) professional service fees; (iii) bad debt expense; and (iv) other overhead costs including those associated with marketing, sales force and community relations efforts.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major components of our general and administration expenses is as follows (dollars in millions and as a percentage of total 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w w:val="98"/>
              </w:rPr>
              <w:t>Fiscal Years Ended December 31,</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restart"/>
          </w:tcPr>
          <w:p>
            <w:pPr>
              <w:jc w:val="right"/>
              <w:ind w:right="5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3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5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6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 costs</w:t>
            </w: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0.6 %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7"/>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bad debt expense</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5"/>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These cost categories may change from time to time and may not be comparable to similarly titled categories presented by other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items impacting the changes in our general and administration expense during fiscal year 2022 are summarized below:</w:t>
      </w:r>
    </w:p>
    <w:p>
      <w:pPr>
        <w:spacing w:after="0" w:line="59" w:lineRule="exact"/>
        <w:rPr>
          <w:sz w:val="20"/>
          <w:szCs w:val="20"/>
          <w:color w:val="auto"/>
        </w:rPr>
      </w:pPr>
    </w:p>
    <w:p>
      <w:pPr>
        <w:ind w:left="440" w:right="40" w:hanging="314"/>
        <w:spacing w:after="0" w:line="312" w:lineRule="auto"/>
        <w:tabs>
          <w:tab w:leader="none" w:pos="4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Labor costs decreased as a percentage of revenues, while increasing in aggregate dollars due primarily to acquisition-related growth, wage inflation and higher accrued incentive compensation associated with increased headcount, partially offset by lower equity compensation costs; and</w:t>
      </w:r>
    </w:p>
    <w:p>
      <w:pPr>
        <w:ind w:left="440" w:hanging="314"/>
        <w:spacing w:after="0"/>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costs increased in aggregate dollars due primarily to inflationary pressures and an increase in general overhead costs to support business growth.</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2"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based on the economic benefit provided, or using the sum of years digits or straight-line methods over the definitive terms of the related agreements.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major components of depreciation and amortization expense (dollars in millions and as a percentage of total revenues)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6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w w:val="99"/>
              </w:rPr>
              <w:t>Fiscal Year Ended December 31,</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jc w:val="right"/>
              <w:ind w:right="5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7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Arial" w:cs="Arial" w:eastAsia="Arial" w:hAnsi="Arial"/>
                <w:sz w:val="18"/>
                <w:szCs w:val="18"/>
                <w:color w:val="auto"/>
              </w:rPr>
              <w:t>Landfill amortization expense</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amortization expense</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9"/>
        </w:trPr>
        <w:tc>
          <w:tcPr>
            <w:tcW w:w="3760" w:type="dxa"/>
            <w:vAlign w:val="bottom"/>
          </w:tcPr>
          <w:p>
            <w:pPr>
              <w:spacing w:after="0"/>
              <w:rPr>
                <w:sz w:val="19"/>
                <w:szCs w:val="19"/>
                <w:color w:val="auto"/>
              </w:rPr>
            </w:pPr>
          </w:p>
        </w:tc>
        <w:tc>
          <w:tcPr>
            <w:tcW w:w="5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11.6 %</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period-to-period increase in depreciation expense and other amortization expense can be primarily attributed to acquisition activity and increased investments in our fleet, whereas the increase in landfill amortization expense can be attributed to increased landfill volumes and the volume mix at our landfills.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from Acquisition Activities and Other Items</w:t>
      </w:r>
    </w:p>
    <w:p>
      <w:pPr>
        <w:spacing w:after="0" w:line="11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 xml:space="preserve">In the fiscal years 2022 and 2021, we recorded charges of $4.6 million and $5.3 million, respectively, comprised primarily of legal, consulting and other similar costs associated with due diligence and the acquisition and integration of acquired businesses or select development projects. See Note 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to our consolidated financial statements included under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disclosure regarding acquisition activity.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Remediation Charge</w:t>
      </w:r>
    </w:p>
    <w:p>
      <w:pPr>
        <w:spacing w:after="0" w:line="11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 xml:space="preserve">In the fiscal year 2022, we recorded an environmental remediation charge of $0.8 million associated with the investigation of potential remediation at an inactive waste disposal site that adjoins one of our landfills. In the fiscal year 2021, we recorded an environmental remediation charge of $0.9 million associated with a settlement agreement to conduct restoration of a stream bed on lands adjoining our North Country Environmental Services landfill located in Bethlehem, New Hampshire. See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our consolidated financial statements included under Item 8.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and Supplementary Data</w:t>
      </w:r>
      <w:r>
        <w:rPr>
          <w:rFonts w:ascii="Arial" w:cs="Arial" w:eastAsia="Arial" w:hAnsi="Arial"/>
          <w:sz w:val="16"/>
          <w:szCs w:val="16"/>
          <w:color w:val="auto"/>
        </w:rPr>
        <w:t>" of this Annual Report on Form 10-K for further disclosure over environmental remediation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Landfill Closure Charge, Net</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fiscal year ended December 31, 2017, we initiated the plan to cease operations of our landfill located in Southbridge, Massachusetts ("Southbridge Landfill") and later closed it in November 2018 when Southbridge Landfill reached its final capacity</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in fiscal years 2022 and 2021, we recorded charges associated with the closure of our Southbridge Landfill (in millions) as follows:</w:t>
      </w:r>
    </w:p>
    <w:p>
      <w:pPr>
        <w:ind w:left="9160"/>
        <w:spacing w:after="0" w:line="230" w:lineRule="auto"/>
        <w:rPr>
          <w:sz w:val="20"/>
          <w:szCs w:val="20"/>
          <w:color w:val="auto"/>
        </w:rPr>
      </w:pPr>
      <w:r>
        <w:rPr>
          <w:rFonts w:ascii="Arial" w:cs="Arial" w:eastAsia="Arial" w:hAnsi="Arial"/>
          <w:sz w:val="14"/>
          <w:szCs w:val="14"/>
          <w:b w:val="1"/>
          <w:bCs w:val="1"/>
          <w:color w:val="auto"/>
        </w:rPr>
        <w:t>Fiscal Year Ended</w:t>
      </w:r>
    </w:p>
    <w:p>
      <w:pPr>
        <w:ind w:left="9320"/>
        <w:spacing w:after="0"/>
        <w:rPr>
          <w:sz w:val="20"/>
          <w:szCs w:val="20"/>
          <w:color w:val="auto"/>
        </w:rPr>
      </w:pPr>
      <w:r>
        <w:rPr>
          <w:rFonts w:ascii="Arial" w:cs="Arial" w:eastAsia="Arial" w:hAnsi="Arial"/>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2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Legal and transaction costs </w:t>
            </w:r>
            <w:r>
              <w:rPr>
                <w:rFonts w:ascii="Arial" w:cs="Arial" w:eastAsia="Arial" w:hAnsi="Arial"/>
                <w:sz w:val="14"/>
                <w:szCs w:val="14"/>
                <w:color w:val="auto"/>
              </w:rPr>
              <w:t>(1)</w:t>
            </w:r>
          </w:p>
        </w:tc>
        <w:tc>
          <w:tcPr>
            <w:tcW w:w="102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675"/>
              <w:spacing w:after="0"/>
              <w:rPr>
                <w:sz w:val="20"/>
                <w:szCs w:val="20"/>
                <w:color w:val="auto"/>
              </w:rPr>
            </w:pPr>
            <w:r>
              <w:rPr>
                <w:rFonts w:ascii="Arial" w:cs="Arial" w:eastAsia="Arial" w:hAnsi="Arial"/>
                <w:sz w:val="18"/>
                <w:szCs w:val="18"/>
                <w:color w:val="auto"/>
                <w:w w:val="95"/>
              </w:rPr>
              <w:t>0.9</w:t>
            </w:r>
          </w:p>
        </w:tc>
      </w:tr>
      <w:tr>
        <w:trPr>
          <w:trHeight w:val="239"/>
        </w:trPr>
        <w:tc>
          <w:tcPr>
            <w:tcW w:w="8220" w:type="dxa"/>
            <w:vAlign w:val="bottom"/>
          </w:tcPr>
          <w:p>
            <w:pPr>
              <w:ind w:left="20"/>
              <w:spacing w:after="0"/>
              <w:rPr>
                <w:sz w:val="20"/>
                <w:szCs w:val="20"/>
                <w:color w:val="auto"/>
              </w:rPr>
            </w:pPr>
            <w:r>
              <w:rPr>
                <w:rFonts w:ascii="Arial" w:cs="Arial" w:eastAsia="Arial" w:hAnsi="Arial"/>
                <w:sz w:val="18"/>
                <w:szCs w:val="18"/>
                <w:color w:val="auto"/>
              </w:rPr>
              <w:t xml:space="preserve">Contract settlement charge </w:t>
            </w:r>
            <w:r>
              <w:rPr>
                <w:rFonts w:ascii="Arial" w:cs="Arial" w:eastAsia="Arial" w:hAnsi="Arial"/>
                <w:sz w:val="14"/>
                <w:szCs w:val="14"/>
                <w:color w:val="auto"/>
              </w:rPr>
              <w:t>(2)</w:t>
            </w:r>
          </w:p>
        </w:tc>
        <w:tc>
          <w:tcPr>
            <w:tcW w:w="102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center"/>
              <w:ind w:left="675"/>
              <w:spacing w:after="0"/>
              <w:rPr>
                <w:sz w:val="20"/>
                <w:szCs w:val="20"/>
                <w:color w:val="auto"/>
              </w:rPr>
            </w:pPr>
            <w:r>
              <w:rPr>
                <w:rFonts w:ascii="Arial" w:cs="Arial" w:eastAsia="Arial" w:hAnsi="Arial"/>
                <w:sz w:val="18"/>
                <w:szCs w:val="18"/>
                <w:color w:val="auto"/>
                <w:w w:val="95"/>
              </w:rPr>
              <w:t>0.6</w:t>
            </w:r>
          </w:p>
        </w:tc>
      </w:tr>
      <w:tr>
        <w:trPr>
          <w:trHeight w:val="24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Landfill closure project charge (credit) </w:t>
            </w:r>
            <w:r>
              <w:rPr>
                <w:rFonts w:ascii="Arial" w:cs="Arial" w:eastAsia="Arial" w:hAnsi="Arial"/>
                <w:sz w:val="14"/>
                <w:szCs w:val="14"/>
                <w:color w:val="auto"/>
              </w:rPr>
              <w:t>(3)</w:t>
            </w:r>
          </w:p>
        </w:tc>
        <w:tc>
          <w:tcPr>
            <w:tcW w:w="10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ind w:left="655"/>
              <w:spacing w:after="0"/>
              <w:rPr>
                <w:sz w:val="20"/>
                <w:szCs w:val="20"/>
                <w:color w:val="auto"/>
              </w:rPr>
            </w:pPr>
            <w:r>
              <w:rPr>
                <w:rFonts w:ascii="Arial" w:cs="Arial" w:eastAsia="Arial" w:hAnsi="Arial"/>
                <w:sz w:val="18"/>
                <w:szCs w:val="18"/>
                <w:color w:val="auto"/>
                <w:w w:val="91"/>
              </w:rPr>
              <w:t>(1.0)</w:t>
            </w:r>
          </w:p>
        </w:tc>
      </w:tr>
      <w:tr>
        <w:trPr>
          <w:trHeight w:val="219"/>
        </w:trPr>
        <w:tc>
          <w:tcPr>
            <w:tcW w:w="8220" w:type="dxa"/>
            <w:vAlign w:val="bottom"/>
          </w:tcPr>
          <w:p>
            <w:pPr>
              <w:ind w:left="20"/>
              <w:spacing w:after="0" w:line="205" w:lineRule="exact"/>
              <w:rPr>
                <w:sz w:val="20"/>
                <w:szCs w:val="20"/>
                <w:color w:val="auto"/>
              </w:rPr>
            </w:pPr>
            <w:r>
              <w:rPr>
                <w:rFonts w:ascii="Arial" w:cs="Arial" w:eastAsia="Arial" w:hAnsi="Arial"/>
                <w:sz w:val="18"/>
                <w:szCs w:val="18"/>
                <w:color w:val="auto"/>
              </w:rPr>
              <w:t>Southbridge Landfill closure charge, net</w:t>
            </w:r>
          </w:p>
        </w:tc>
        <w:tc>
          <w:tcPr>
            <w:tcW w:w="102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center"/>
              <w:ind w:left="675"/>
              <w:spacing w:after="0"/>
              <w:rPr>
                <w:sz w:val="20"/>
                <w:szCs w:val="20"/>
                <w:color w:val="auto"/>
              </w:rPr>
            </w:pPr>
            <w:r>
              <w:rPr>
                <w:rFonts w:ascii="Arial" w:cs="Arial" w:eastAsia="Arial" w:hAnsi="Arial"/>
                <w:sz w:val="18"/>
                <w:szCs w:val="18"/>
                <w:color w:val="auto"/>
                <w:w w:val="95"/>
              </w:rPr>
              <w:t>0.5</w:t>
            </w:r>
          </w:p>
        </w:tc>
      </w:tr>
      <w:tr>
        <w:trPr>
          <w:trHeight w:val="20"/>
        </w:trPr>
        <w:tc>
          <w:tcPr>
            <w:tcW w:w="8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540" w:right="1400" w:hanging="5374"/>
        <w:spacing w:after="0" w:line="898" w:lineRule="auto"/>
        <w:tabs>
          <w:tab w:leader="none" w:pos="484"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incurred legal costs as well as other transaction costs associated with various matters as part of the Southbridge Landfill closure.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-304165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0" w:right="160" w:hanging="314"/>
        <w:spacing w:after="0" w:line="293" w:lineRule="auto"/>
        <w:tabs>
          <w:tab w:leader="none" w:pos="474"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updated the cost estimates associated with a contract settlement charge associated with the Southbridge Landfill closure and the remaining future obligations due to the Town of Southbridge under the landfill operating agreement with the Town of Southbridge.</w:t>
      </w:r>
    </w:p>
    <w:p>
      <w:pPr>
        <w:spacing w:after="0" w:line="1" w:lineRule="exact"/>
        <w:rPr>
          <w:rFonts w:ascii="Arial" w:cs="Arial" w:eastAsia="Arial" w:hAnsi="Arial"/>
          <w:sz w:val="17"/>
          <w:szCs w:val="17"/>
          <w:color w:val="auto"/>
        </w:rPr>
      </w:pPr>
    </w:p>
    <w:p>
      <w:pPr>
        <w:jc w:val="both"/>
        <w:ind w:left="480" w:right="140" w:hanging="314"/>
        <w:spacing w:after="0" w:line="303" w:lineRule="auto"/>
        <w:tabs>
          <w:tab w:leader="none" w:pos="474"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We recorded a landfill closure project (credit) charge associated with revised costs under the closure plan at Southbridge Landfill. See Note 10, </w:t>
      </w:r>
      <w:r>
        <w:rPr>
          <w:rFonts w:ascii="Arial" w:cs="Arial" w:eastAsia="Arial" w:hAnsi="Arial"/>
          <w:sz w:val="16"/>
          <w:szCs w:val="16"/>
          <w:i w:val="1"/>
          <w:iCs w:val="1"/>
          <w:color w:val="auto"/>
        </w:rPr>
        <w:t>Final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Capping, Closure and Post-Closure Costs, </w:t>
      </w:r>
      <w:r>
        <w:rPr>
          <w:rFonts w:ascii="Arial" w:cs="Arial" w:eastAsia="Arial" w:hAnsi="Arial"/>
          <w:sz w:val="16"/>
          <w:szCs w:val="16"/>
          <w:color w:val="auto"/>
        </w:rPr>
        <w:t>to our consolidated financial statements included under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 for disclosure regarding our landfill final capping, closure and post-closure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Our interest expense, net increased $2.1 million in fiscal year 2022 due primarily to rising interest rates and higher average debt balances associated with the issuance in June 2022 of $35.0 million aggregate principal amount of Vermont Economic Development Authority Solid Waste Disposal Long-Term Revenue Bonds Series 2022A-1 ("Vermont Bonds 2022A-1").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provision for income taxes was $21.9 million in fiscal year 2022 and $16.9 million in fiscal year 2021. For fiscal year 2022, the provision for income taxes includes $5.4 million of current income taxes and $16.5 million of deferred income taxes. The provision for income taxes in fiscal year 2021 includes $1.8 million of current income taxes and $15.1 million of deferred income taxes. The effective rate for the fiscal year 2022 is 29% and is computed based on the statutory rate of 21% adjusted primarily for state taxes and nondeductible officer compensation.</w:t>
      </w:r>
    </w:p>
    <w:p>
      <w:pPr>
        <w:spacing w:after="0" w:line="71"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On December 22, 2017, the Tax Cuts and Jobs Act (the “TCJA”) was enacted. The TCJA significantly changed U.S. corporate income tax laws by, among other things, changing carryforward rules for net operating losses. Under the Internal Revenue Code, as amended by the TCJA, federal net operating loss carryforwards generated before the 2018 tax year continue to be carried forward for 20 years and are able to fully offset taxable income (“pre-2018 net operating losses”). Federal net operating losses generated following the 2017 tax year are carried forward indefinitely, but generally may only offset up to 80% of taxable income earned in a tax year (“post-2017 net operating losses”).</w:t>
      </w:r>
    </w:p>
    <w:p>
      <w:pPr>
        <w:spacing w:after="0" w:line="7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carried $59.8 million of pre-2018 net operating losses and $46.5 million post-2017 net operating losses into the 2022 tax year. We expect to fully offset projected 2022 federal taxable income with pre-2018 net operating losses. We project $5.4 million of pre-2018 net operating losses and $46.5 million of post-2017 net operating losses to be carried forward to the 2023 tax year.</w:t>
      </w:r>
    </w:p>
    <w:p>
      <w:pPr>
        <w:spacing w:after="0" w:line="8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the TCJA added limitations on the deductibility of interest expense that become more restrictive beginning in tax year 2022 and potentially could limit the deductibility of some of our interest expense. Any interest expense limited may be carried forward indefinitely and utilized in later years subject to said interest limitation.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1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We report selected information about our reportable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services, including landfill, transfer station and transportation, landfill gas-to-energy, and processing services in the northeastern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derived from two lines-of-service: processing services and our Customer Solutions business. Revenues from processing services are derived from customers in the form of processing fees, tipping fees, commodity sales, and organic material sales. Revenues from our Customer Solutions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Corporate Entities results reflect those costs not allocated to our reportable operating segments.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reportable operating segment (in millions)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Fiscal Year Ended December 31,</w:t>
            </w:r>
          </w:p>
        </w:tc>
        <w:tc>
          <w:tcPr>
            <w:tcW w:w="300" w:type="dxa"/>
            <w:vAlign w:val="bottom"/>
          </w:tcPr>
          <w:p>
            <w:pPr>
              <w:spacing w:after="0"/>
              <w:rPr>
                <w:sz w:val="16"/>
                <w:szCs w:val="16"/>
                <w:color w:val="auto"/>
              </w:rPr>
            </w:pPr>
          </w:p>
        </w:tc>
        <w:tc>
          <w:tcPr>
            <w:tcW w:w="1140" w:type="dxa"/>
            <w:vAlign w:val="bottom"/>
            <w:vMerge w:val="restart"/>
          </w:tcPr>
          <w:p>
            <w:pPr>
              <w:jc w:val="right"/>
              <w:ind w:right="59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0"/>
        </w:trPr>
        <w:tc>
          <w:tcPr>
            <w:tcW w:w="67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following table provides details associated with the period-to-period change in revenues (dollars in millions and as percentage growth of solid waste revenues) attributable to services provided:</w:t>
      </w:r>
    </w:p>
    <w:p>
      <w:pPr>
        <w:ind w:left="8780"/>
        <w:spacing w:after="0" w:line="224" w:lineRule="auto"/>
        <w:rPr>
          <w:sz w:val="20"/>
          <w:szCs w:val="20"/>
          <w:color w:val="auto"/>
        </w:rPr>
      </w:pPr>
      <w:r>
        <w:rPr>
          <w:rFonts w:ascii="Arial" w:cs="Arial" w:eastAsia="Arial" w:hAnsi="Arial"/>
          <w:sz w:val="14"/>
          <w:szCs w:val="14"/>
          <w:b w:val="1"/>
          <w:bCs w:val="1"/>
          <w:color w:val="auto"/>
        </w:rPr>
        <w:t>Period-to-Period Change For</w:t>
      </w:r>
    </w:p>
    <w:p>
      <w:pPr>
        <w:ind w:left="8600"/>
        <w:spacing w:after="0"/>
        <w:rPr>
          <w:sz w:val="20"/>
          <w:szCs w:val="20"/>
          <w:color w:val="auto"/>
        </w:rPr>
      </w:pPr>
      <w:r>
        <w:rPr>
          <w:rFonts w:ascii="Arial" w:cs="Arial" w:eastAsia="Arial" w:hAnsi="Arial"/>
          <w:sz w:val="14"/>
          <w:szCs w:val="14"/>
          <w:b w:val="1"/>
          <w:bCs w:val="1"/>
          <w:color w:val="auto"/>
        </w:rPr>
        <w:t>Fiscal Year 2022 vs Fiscal Year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Growth</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0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25"/>
        </w:trPr>
        <w:tc>
          <w:tcPr>
            <w:tcW w:w="8140" w:type="dxa"/>
            <w:vAlign w:val="bottom"/>
          </w:tcPr>
          <w:p>
            <w:pPr>
              <w:ind w:left="20"/>
              <w:spacing w:after="0"/>
              <w:rPr>
                <w:sz w:val="20"/>
                <w:szCs w:val="20"/>
                <w:color w:val="auto"/>
              </w:rPr>
            </w:pPr>
            <w:r>
              <w:rPr>
                <w:rFonts w:ascii="Arial" w:cs="Arial" w:eastAsia="Arial" w:hAnsi="Arial"/>
                <w:sz w:val="18"/>
                <w:szCs w:val="18"/>
                <w:color w:val="auto"/>
              </w:rPr>
              <w:t>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2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25"/>
        </w:trPr>
        <w:tc>
          <w:tcPr>
            <w:tcW w:w="814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34.7</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20"/>
        </w:trPr>
        <w:tc>
          <w:tcPr>
            <w:tcW w:w="8140" w:type="dxa"/>
            <w:vAlign w:val="bottom"/>
          </w:tcPr>
          <w:p>
            <w:pPr>
              <w:ind w:left="340"/>
              <w:spacing w:after="0"/>
              <w:rPr>
                <w:sz w:val="20"/>
                <w:szCs w:val="20"/>
                <w:color w:val="auto"/>
              </w:rPr>
            </w:pPr>
            <w:r>
              <w:rPr>
                <w:rFonts w:ascii="Arial" w:cs="Arial" w:eastAsia="Arial" w:hAnsi="Arial"/>
                <w:sz w:val="18"/>
                <w:szCs w:val="18"/>
                <w:color w:val="auto"/>
              </w:rPr>
              <w:t>Solid waste revenues</w:t>
            </w:r>
          </w:p>
        </w:tc>
        <w:tc>
          <w:tcPr>
            <w:tcW w:w="100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75.4</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28.5 %</w:t>
            </w:r>
          </w:p>
        </w:tc>
      </w:tr>
      <w:tr>
        <w:trPr>
          <w:trHeight w:val="20"/>
        </w:trPr>
        <w:tc>
          <w:tcPr>
            <w:tcW w:w="8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fiscal year 2022 solid waste revenues growth from the prior year is a result of the following:</w:t>
      </w:r>
    </w:p>
    <w:p>
      <w:pPr>
        <w:spacing w:after="0" w:line="59" w:lineRule="exact"/>
        <w:rPr>
          <w:sz w:val="20"/>
          <w:szCs w:val="20"/>
          <w:color w:val="auto"/>
        </w:rPr>
      </w:pPr>
    </w:p>
    <w:p>
      <w:pPr>
        <w:ind w:left="480" w:hanging="314"/>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$13.6 million from favorable collection pricing; and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$5.1 million from favorable disposal pricing related to transfer stations and landfills.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fiscal year 2022 solid waste revenues growth from the prior year is a result of the following:</w:t>
      </w:r>
    </w:p>
    <w:p>
      <w:pPr>
        <w:spacing w:after="0" w:line="59" w:lineRule="exact"/>
        <w:rPr>
          <w:sz w:val="20"/>
          <w:szCs w:val="20"/>
          <w:color w:val="auto"/>
        </w:rPr>
      </w:pPr>
    </w:p>
    <w:p>
      <w:pPr>
        <w:ind w:left="480" w:hanging="314"/>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$4.9 million from higher disposal volumes related to transfer stations, landfills and transportation services;</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$2.9 million from higher collection volumes as a result of organic business growth; and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$0.2 million from higher processing volumes.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Surcharges and other fees.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The surcharges and other fees change component in fiscal year 2022 solid waste revenues growth from the prior year is primarily the result of higher E&amp;E Fees, and to a lesser extent, higher SRA Fees. Higher E&amp;E Fees associated with our fuel cost recovery program were a result of higher diesel fuel prices and a higher overall customer participation rate. Higher SRA Fees were a result of lower recycled commodity prices and a higher overall customer participation rate.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of this Annual Report on Form 10-K for additional information regarding our E&amp;E Fee and SRA Fee.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2" w:lineRule="exact"/>
        <w:rPr>
          <w:sz w:val="20"/>
          <w:szCs w:val="20"/>
          <w:color w:val="auto"/>
        </w:rPr>
      </w:pPr>
    </w:p>
    <w:p>
      <w:pPr>
        <w:ind w:right="560"/>
        <w:spacing w:after="0" w:line="296" w:lineRule="auto"/>
        <w:rPr>
          <w:sz w:val="20"/>
          <w:szCs w:val="20"/>
          <w:color w:val="auto"/>
        </w:rPr>
      </w:pPr>
      <w:r>
        <w:rPr>
          <w:rFonts w:ascii="Arial" w:cs="Arial" w:eastAsia="Arial" w:hAnsi="Arial"/>
          <w:sz w:val="17"/>
          <w:szCs w:val="17"/>
          <w:color w:val="auto"/>
        </w:rPr>
        <w:t>The acquisitions change component in fiscal year 2022 solid waste revenues growth is a result of increased acquisition activity in line with our growth strategy, including the timing and acquisition of two businesses in the fiscal year 2022 and five businesses in fiscal year 2021.</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following table provides details associated with the period-to-period change in revenues (dollars in millions and as percentage growth of solid waste revenues) attributable to services provided:</w:t>
      </w:r>
    </w:p>
    <w:p>
      <w:pPr>
        <w:spacing w:after="0" w:line="1"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Period-to-Period Change For</w:t>
      </w:r>
    </w:p>
    <w:p>
      <w:pPr>
        <w:spacing w:after="0" w:line="1"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Fiscal Year 2022 vs Fiscal Year 2021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Growth</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00" w:type="dxa"/>
            <w:vAlign w:val="bottom"/>
            <w:shd w:val="clear" w:color="auto" w:fill="CCEEFF"/>
          </w:tcPr>
          <w:p>
            <w:pPr>
              <w:jc w:val="right"/>
              <w:ind w:right="8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23.0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25"/>
        </w:trPr>
        <w:tc>
          <w:tcPr>
            <w:tcW w:w="8140" w:type="dxa"/>
            <w:vAlign w:val="bottom"/>
          </w:tcPr>
          <w:p>
            <w:pPr>
              <w:ind w:left="20"/>
              <w:spacing w:after="0"/>
              <w:rPr>
                <w:sz w:val="20"/>
                <w:szCs w:val="20"/>
                <w:color w:val="auto"/>
              </w:rPr>
            </w:pPr>
            <w:r>
              <w:rPr>
                <w:rFonts w:ascii="Arial" w:cs="Arial" w:eastAsia="Arial" w:hAnsi="Arial"/>
                <w:sz w:val="18"/>
                <w:szCs w:val="18"/>
                <w:color w:val="auto"/>
              </w:rPr>
              <w:t>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25"/>
        </w:trPr>
        <w:tc>
          <w:tcPr>
            <w:tcW w:w="814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14.8</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0"/>
        </w:trPr>
        <w:tc>
          <w:tcPr>
            <w:tcW w:w="8140" w:type="dxa"/>
            <w:vAlign w:val="bottom"/>
          </w:tcPr>
          <w:p>
            <w:pPr>
              <w:ind w:left="340"/>
              <w:spacing w:after="0"/>
              <w:rPr>
                <w:sz w:val="20"/>
                <w:szCs w:val="20"/>
                <w:color w:val="auto"/>
              </w:rPr>
            </w:pPr>
            <w:r>
              <w:rPr>
                <w:rFonts w:ascii="Arial" w:cs="Arial" w:eastAsia="Arial" w:hAnsi="Arial"/>
                <w:sz w:val="18"/>
                <w:szCs w:val="18"/>
                <w:color w:val="auto"/>
              </w:rPr>
              <w:t>Solid waste revenues</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55.7</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14.3 %</w:t>
            </w:r>
          </w:p>
        </w:tc>
      </w:tr>
      <w:tr>
        <w:trPr>
          <w:trHeight w:val="20"/>
        </w:trPr>
        <w:tc>
          <w:tcPr>
            <w:tcW w:w="8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fiscal year 2022 solid waste revenues growth from the prior year is a result of the following:</w:t>
      </w:r>
    </w:p>
    <w:p>
      <w:pPr>
        <w:spacing w:after="0" w:line="59" w:lineRule="exact"/>
        <w:rPr>
          <w:sz w:val="20"/>
          <w:szCs w:val="20"/>
          <w:color w:val="auto"/>
        </w:rPr>
      </w:pPr>
    </w:p>
    <w:p>
      <w:pPr>
        <w:ind w:left="480" w:hanging="314"/>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$17.6 million from favorable collection pricing; and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$5.4 million from favorable disposal pricing related to landfills, transfer stations and, to a lesser extent, transportation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fiscal year 2022 solid waste revenues growth from the prior year is a result of the following:</w:t>
      </w:r>
    </w:p>
    <w:p>
      <w:pPr>
        <w:spacing w:after="0" w:line="59" w:lineRule="exact"/>
        <w:rPr>
          <w:sz w:val="20"/>
          <w:szCs w:val="20"/>
          <w:color w:val="auto"/>
        </w:rPr>
      </w:pPr>
    </w:p>
    <w:p>
      <w:pPr>
        <w:ind w:left="480" w:right="680" w:hanging="314"/>
        <w:spacing w:after="0" w:line="266" w:lineRule="auto"/>
        <w:tabs>
          <w:tab w:leader="none" w:pos="4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$(4.4) million from lower collection volumes associated with higher customer churn due to higher pricing, implementation of the E&amp;E Fee on additional customers and customer deselection; partially offset by</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$1.5 million from higher disposal volumes related to transfer stations, transportation, and landfills.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Surcharges and other fees.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The surcharges and other fees change component in fiscal year 2022 solid waste revenues growth from the prior year is primarily the result of higher E&amp;E Fees and, to a lesser extent, higher SRA Fees. Higher E&amp;E Fees associated with our fuel cost recovery program were a result of higher diesel fuel prices and a higher overall customer participation rate. Higher SRA Fees were a result of lower recycled commodity prices and a higher overall customer participation rate.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of this Annual Report on Form 10-K for additional information regarding our E&amp;E Fee and SRA Fee.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and volume.</w:t>
      </w:r>
    </w:p>
    <w:p>
      <w:pPr>
        <w:spacing w:after="0" w:line="11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 commodity price and volume change component in fiscal year 2022 solid waste revenues growth from the prior year is primarily due to favorable energy pricing.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2" w:lineRule="exact"/>
        <w:rPr>
          <w:sz w:val="20"/>
          <w:szCs w:val="20"/>
          <w:color w:val="auto"/>
        </w:rPr>
      </w:pPr>
    </w:p>
    <w:p>
      <w:pPr>
        <w:ind w:right="560"/>
        <w:spacing w:after="0" w:line="296" w:lineRule="auto"/>
        <w:rPr>
          <w:sz w:val="20"/>
          <w:szCs w:val="20"/>
          <w:color w:val="auto"/>
        </w:rPr>
      </w:pPr>
      <w:r>
        <w:rPr>
          <w:rFonts w:ascii="Arial" w:cs="Arial" w:eastAsia="Arial" w:hAnsi="Arial"/>
          <w:sz w:val="17"/>
          <w:szCs w:val="17"/>
          <w:color w:val="auto"/>
        </w:rPr>
        <w:t>The acquisitions change component in fiscal year 2022 solid waste revenues growth is a result of increased acquisition activity in line with our growth strategy, including the timing and acquisition of ten businesses in fiscal year 2022 and five businesses in fiscal year 2021.</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segments (in millions)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Fiscal Year Ended December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vMerge w:val="restart"/>
          </w:tcPr>
          <w:p>
            <w:pPr>
              <w:jc w:val="right"/>
              <w:ind w:right="89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
        </w:trPr>
        <w:tc>
          <w:tcPr>
            <w:tcW w:w="6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5"/>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5"/>
        </w:trPr>
        <w:tc>
          <w:tcPr>
            <w:tcW w:w="6140" w:type="dxa"/>
            <w:vAlign w:val="bottom"/>
          </w:tcPr>
          <w:p>
            <w:pPr>
              <w:ind w:left="20"/>
              <w:spacing w:after="0"/>
              <w:rPr>
                <w:sz w:val="20"/>
                <w:szCs w:val="20"/>
                <w:color w:val="auto"/>
              </w:rPr>
            </w:pPr>
            <w:r>
              <w:rPr>
                <w:rFonts w:ascii="Arial" w:cs="Arial" w:eastAsia="Arial" w:hAnsi="Arial"/>
                <w:sz w:val="18"/>
                <w:szCs w:val="18"/>
                <w:color w:val="auto"/>
              </w:rPr>
              <w:t>Western</w:t>
            </w:r>
          </w:p>
        </w:tc>
        <w:tc>
          <w:tcPr>
            <w:tcW w:w="96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7"/>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Entities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7"/>
              </w:rPr>
              <w:t>(2.6)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7"/>
              </w:rPr>
              <w:t>(1.8)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Eastern Region</w:t>
      </w:r>
    </w:p>
    <w:p>
      <w:pPr>
        <w:spacing w:after="0" w:line="112"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Eastern region operating income increased $3.7 million in fiscal year 2022 from the prior year. Excluding the impact of the Southbridge Landfill closure charge, environmental remediation charge and the expense from acquisition activities, our operating performance in fiscal year 2022 improved as a result of revenue growth, inclusive of inter-company revenues, more than offsetting the following cost impacts discussed below.</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Cost of operations increased $68.9 million in fiscal year 2022 from the prior year as a result of the following:</w:t>
      </w:r>
    </w:p>
    <w:p>
      <w:pPr>
        <w:spacing w:after="0" w:line="59" w:lineRule="exact"/>
        <w:rPr>
          <w:sz w:val="20"/>
          <w:szCs w:val="20"/>
          <w:color w:val="auto"/>
        </w:rPr>
      </w:pPr>
    </w:p>
    <w:p>
      <w:pPr>
        <w:ind w:left="480" w:hanging="314"/>
        <w:spacing w:after="0" w:line="278" w:lineRule="auto"/>
        <w:tabs>
          <w:tab w:leader="none" w:pos="4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Direct costs increased in aggregate dollars due primarily to higher hauling and third-party transportation and disposal costs on (i) higher solid waste volumes driven by acquisition-related growth and, to a lesser extent, organic business growth, (ii) higher fuel surcharges from third party haulers due to higher diesel fuel prices and (iii) higher third-party disposal rates due to inflationary pressures;</w:t>
      </w:r>
    </w:p>
    <w:p>
      <w:pPr>
        <w:spacing w:after="0" w:line="12" w:lineRule="exact"/>
        <w:rPr>
          <w:rFonts w:ascii="Arial" w:cs="Arial" w:eastAsia="Arial" w:hAnsi="Arial"/>
          <w:sz w:val="17"/>
          <w:szCs w:val="17"/>
          <w:color w:val="auto"/>
        </w:rPr>
      </w:pPr>
    </w:p>
    <w:p>
      <w:pPr>
        <w:ind w:left="480" w:right="660" w:hanging="314"/>
        <w:spacing w:after="0" w:line="266" w:lineRule="auto"/>
        <w:tabs>
          <w:tab w:leader="none" w:pos="4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labor costs increased in aggregate dollars due primarily to acquisition-related and, to a lesser extent, organic business growth, and wage inflation;</w:t>
      </w:r>
    </w:p>
    <w:p>
      <w:pPr>
        <w:spacing w:after="0" w:line="19" w:lineRule="exact"/>
        <w:rPr>
          <w:rFonts w:ascii="Arial" w:cs="Arial" w:eastAsia="Arial" w:hAnsi="Arial"/>
          <w:sz w:val="18"/>
          <w:szCs w:val="18"/>
          <w:color w:val="auto"/>
        </w:rPr>
      </w:pPr>
    </w:p>
    <w:p>
      <w:pPr>
        <w:ind w:left="480" w:right="280" w:hanging="314"/>
        <w:spacing w:after="0" w:line="256" w:lineRule="auto"/>
        <w:tabs>
          <w:tab w:leader="none" w:pos="4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Fuel costs increased in aggregate dollars due primarily to higher fuel prices and higher volumes driven by acquisition-related and, to a lesser extent, organic business growth.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of this Annual Report on Form 10-K for additional information regarding our fuel costs;</w:t>
      </w:r>
    </w:p>
    <w:p>
      <w:pPr>
        <w:spacing w:after="0" w:line="29" w:lineRule="exact"/>
        <w:rPr>
          <w:rFonts w:ascii="Arial" w:cs="Arial" w:eastAsia="Arial" w:hAnsi="Arial"/>
          <w:sz w:val="18"/>
          <w:szCs w:val="18"/>
          <w:color w:val="auto"/>
        </w:rPr>
      </w:pPr>
    </w:p>
    <w:p>
      <w:pPr>
        <w:ind w:left="480" w:right="140" w:hanging="314"/>
        <w:spacing w:after="0" w:line="266" w:lineRule="auto"/>
        <w:tabs>
          <w:tab w:leader="none" w:pos="4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Maintenance and repair costs increased in aggregate dollars due primarily to higher fleet and container maintenance costs associated with acquisition-related growth and inflationary pressures;</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operational costs increased in aggregate dollars due to increased vehicle insurance costs and inflationary pressures; and</w:t>
      </w:r>
    </w:p>
    <w:p>
      <w:pPr>
        <w:spacing w:after="0" w:line="58" w:lineRule="exact"/>
        <w:rPr>
          <w:rFonts w:ascii="Arial" w:cs="Arial" w:eastAsia="Arial" w:hAnsi="Arial"/>
          <w:sz w:val="18"/>
          <w:szCs w:val="18"/>
          <w:color w:val="auto"/>
        </w:rPr>
      </w:pPr>
    </w:p>
    <w:p>
      <w:pPr>
        <w:ind w:left="480" w:right="540" w:hanging="314"/>
        <w:spacing w:after="0" w:line="266" w:lineRule="auto"/>
        <w:tabs>
          <w:tab w:leader="none" w:pos="4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operational costs increased in aggregate dollars due primarily to higher facility costs driven by acquisition-related growth and inflationary pressures.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w:t>
      </w:r>
    </w:p>
    <w:p>
      <w:pPr>
        <w:spacing w:after="0" w:line="11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General and administration expense increased $7.7 million in fiscal year 2022 from the prior year due primarily to (i) acquisition-related growth, (ii) wage inflation, (iii) higher accrued incentive compensation associated with an increased headcount, (iv) an increase in general overhead costs associated with business growth and inflationary pressures and (v) a higher allocation of shared overhead costs.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p>
    <w:p>
      <w:pPr>
        <w:spacing w:after="0" w:line="11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Depreciation and amortization expense increased $14.1 million in fiscal year 2022 from the prior year due to acquisition-related growth, increased investment in our fleet, and higher landfill amortization expense due to higher landfill volumes and the volume mix at our landfills.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Western Region</w:t>
      </w:r>
    </w:p>
    <w:p>
      <w:pPr>
        <w:spacing w:after="0" w:line="112"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Western region operating income increased $16.5 million in fiscal year 2022 from the prior year. Excluding the impact of the environmental remediation charge and expense from acquisition activities, our operating performance in fiscal year 2022 improved as a result of revenue growth, inclusive of inter-company revenues, more than offsetting the following cost impacts discussed below.</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Cost of operations increased $50.8 million in fiscal year 2022 from the prior year as a result of the following:</w:t>
      </w:r>
    </w:p>
    <w:p>
      <w:pPr>
        <w:spacing w:after="0" w:line="59" w:lineRule="exact"/>
        <w:rPr>
          <w:sz w:val="20"/>
          <w:szCs w:val="20"/>
          <w:color w:val="auto"/>
        </w:rPr>
      </w:pPr>
    </w:p>
    <w:p>
      <w:pPr>
        <w:ind w:left="480" w:right="100" w:hanging="314"/>
        <w:spacing w:after="0" w:line="278" w:lineRule="auto"/>
        <w:tabs>
          <w:tab w:leader="none" w:pos="4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Direct costs increased in aggregate dollars due primarily to higher hauling and third-party transportation and disposal costs on (i) higher solid waste volumes associated with acquisition-related growth, partially offset by lower core operations collection volumes, (ii) higher fuel surcharges from third party haulers due to higher diesel fuel prices and (iii) higher third-party disposal rates due to inflationary pressures;</w:t>
      </w:r>
    </w:p>
    <w:p>
      <w:pPr>
        <w:spacing w:after="0" w:line="12" w:lineRule="exact"/>
        <w:rPr>
          <w:rFonts w:ascii="Arial" w:cs="Arial" w:eastAsia="Arial" w:hAnsi="Arial"/>
          <w:sz w:val="17"/>
          <w:szCs w:val="17"/>
          <w:color w:val="auto"/>
        </w:rPr>
      </w:pPr>
    </w:p>
    <w:p>
      <w:pPr>
        <w:ind w:left="480" w:right="20" w:hanging="314"/>
        <w:spacing w:after="0" w:line="312" w:lineRule="auto"/>
        <w:tabs>
          <w:tab w:leader="none" w:pos="4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Fuel costs increased in aggregate dollars due to higher fuel prices and higher volumes driven by acquisition-related growth. See Item 7A. </w:t>
      </w:r>
      <w:r>
        <w:rPr>
          <w:rFonts w:ascii="Arial" w:cs="Arial" w:eastAsia="Arial" w:hAnsi="Arial"/>
          <w:sz w:val="16"/>
          <w:szCs w:val="16"/>
          <w:i w:val="1"/>
          <w:iCs w:val="1"/>
          <w:color w:val="auto"/>
        </w:rPr>
        <w:t>"Quantitative</w:t>
      </w:r>
      <w:r>
        <w:rPr>
          <w:rFonts w:ascii="Arial" w:cs="Arial" w:eastAsia="Arial" w:hAnsi="Arial"/>
          <w:sz w:val="16"/>
          <w:szCs w:val="16"/>
          <w:color w:val="auto"/>
        </w:rPr>
        <w:t xml:space="preserve"> </w:t>
      </w:r>
      <w:r>
        <w:rPr>
          <w:rFonts w:ascii="Arial" w:cs="Arial" w:eastAsia="Arial" w:hAnsi="Arial"/>
          <w:sz w:val="16"/>
          <w:szCs w:val="16"/>
          <w:i w:val="1"/>
          <w:iCs w:val="1"/>
          <w:color w:val="auto"/>
        </w:rPr>
        <w:t>and Qualitative Disclosures about Market Risk</w:t>
      </w:r>
      <w:r>
        <w:rPr>
          <w:rFonts w:ascii="Arial" w:cs="Arial" w:eastAsia="Arial" w:hAnsi="Arial"/>
          <w:sz w:val="16"/>
          <w:szCs w:val="16"/>
          <w:color w:val="auto"/>
        </w:rPr>
        <w:t>" of this Annual Report on Form 10-K for additional information regarding our fuel costs;</w:t>
      </w:r>
    </w:p>
    <w:p>
      <w:pPr>
        <w:ind w:left="480" w:right="100" w:hanging="314"/>
        <w:spacing w:after="0" w:line="266" w:lineRule="auto"/>
        <w:tabs>
          <w:tab w:leader="none" w:pos="4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Maintenance and repair costs increased in aggregate dollars due primarily to higher fleet maintenance costs associated with acquisition-related growth and inflationary pressures;</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 labor costs increased in aggregate dollars due primarily to acquisition-related growth and wage inflation;</w:t>
      </w:r>
    </w:p>
    <w:p>
      <w:pPr>
        <w:spacing w:after="0" w:line="58" w:lineRule="exact"/>
        <w:rPr>
          <w:rFonts w:ascii="Arial" w:cs="Arial" w:eastAsia="Arial" w:hAnsi="Arial"/>
          <w:sz w:val="18"/>
          <w:szCs w:val="18"/>
          <w:color w:val="auto"/>
        </w:rPr>
      </w:pPr>
    </w:p>
    <w:p>
      <w:pPr>
        <w:ind w:left="480" w:right="320" w:hanging="314"/>
        <w:spacing w:after="0" w:line="256" w:lineRule="auto"/>
        <w:tabs>
          <w:tab w:leader="none" w:pos="4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 operational costs increased in aggregate dollars due to (i) higher landfill operating costs from severe winter weather earlier in the year and construction delays compounded with higher landfill volumes, (ii) higher vehicle insurance costs and (iii) inflationary pressures; partially offset by lower host community and royalty fees; and</w:t>
      </w:r>
    </w:p>
    <w:p>
      <w:pPr>
        <w:spacing w:after="0" w:line="29" w:lineRule="exact"/>
        <w:rPr>
          <w:rFonts w:ascii="Arial" w:cs="Arial" w:eastAsia="Arial" w:hAnsi="Arial"/>
          <w:sz w:val="18"/>
          <w:szCs w:val="18"/>
          <w:color w:val="auto"/>
        </w:rPr>
      </w:pPr>
    </w:p>
    <w:p>
      <w:pPr>
        <w:ind w:left="480" w:right="520" w:hanging="314"/>
        <w:spacing w:after="0" w:line="266" w:lineRule="auto"/>
        <w:tabs>
          <w:tab w:leader="none" w:pos="4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operational costs increased in aggregate dollars due primarily to higher facility costs driven by acquisition-related growth and inflationary pressures.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w:t>
      </w:r>
    </w:p>
    <w:p>
      <w:pPr>
        <w:spacing w:after="0" w:line="112" w:lineRule="exact"/>
        <w:rPr>
          <w:sz w:val="20"/>
          <w:szCs w:val="20"/>
          <w:color w:val="auto"/>
        </w:rPr>
      </w:pPr>
    </w:p>
    <w:p>
      <w:pPr>
        <w:ind w:right="360"/>
        <w:spacing w:after="0" w:line="303" w:lineRule="auto"/>
        <w:rPr>
          <w:sz w:val="20"/>
          <w:szCs w:val="20"/>
          <w:color w:val="auto"/>
        </w:rPr>
      </w:pPr>
      <w:r>
        <w:rPr>
          <w:rFonts w:ascii="Arial" w:cs="Arial" w:eastAsia="Arial" w:hAnsi="Arial"/>
          <w:sz w:val="16"/>
          <w:szCs w:val="16"/>
          <w:color w:val="auto"/>
        </w:rPr>
        <w:t>General and administration expense increased $1.2 million in fiscal year 2022 from the prior year due to increased overhead costs associated with (i) acquisition-related growth, (ii) wage inflation, (iii) higher accrued incentive compensation associated with an increased headcount and (iv) an increase in general overhead costs associated with business growth and inflationary pressures; partially offset by a lower allocation of shared overhead costs.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p>
    <w:p>
      <w:pPr>
        <w:spacing w:after="0" w:line="112" w:lineRule="exact"/>
        <w:rPr>
          <w:sz w:val="20"/>
          <w:szCs w:val="20"/>
          <w:color w:val="auto"/>
        </w:rPr>
      </w:pPr>
    </w:p>
    <w:p>
      <w:pPr>
        <w:ind w:right="680"/>
        <w:spacing w:after="0" w:line="296" w:lineRule="auto"/>
        <w:rPr>
          <w:sz w:val="20"/>
          <w:szCs w:val="20"/>
          <w:color w:val="auto"/>
        </w:rPr>
      </w:pPr>
      <w:r>
        <w:rPr>
          <w:rFonts w:ascii="Arial" w:cs="Arial" w:eastAsia="Arial" w:hAnsi="Arial"/>
          <w:sz w:val="17"/>
          <w:szCs w:val="17"/>
          <w:color w:val="auto"/>
        </w:rPr>
        <w:t>Depreciation and amortization expense increased $3.1 million in fiscal year 2022 from the prior year due primarily to acquisition-related growth and increased investments in our fleet; partially offset by lower landfill amortization due to the volume mix at our landfills.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Solutions</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Operating income decreased $(1.7) million in fiscal year 2022 from the prior year. Excluding the impact of the expense from acquisition activities, our operating performance in fiscal year 2022 was driven by revenue growth, inclusive of inter-company revenues, more than offset by the following cost impacts discussed below.</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Cost of operations increased $59.7 million in fiscal year 2022 from the prior year as a result of the following:</w:t>
      </w:r>
    </w:p>
    <w:p>
      <w:pPr>
        <w:spacing w:after="0" w:line="59" w:lineRule="exact"/>
        <w:rPr>
          <w:sz w:val="20"/>
          <w:szCs w:val="20"/>
          <w:color w:val="auto"/>
        </w:rPr>
      </w:pPr>
    </w:p>
    <w:p>
      <w:pPr>
        <w:ind w:left="440" w:right="220" w:hanging="314"/>
        <w:spacing w:after="0" w:line="278" w:lineRule="auto"/>
        <w:tabs>
          <w:tab w:leader="none" w:pos="4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Direct costs increased in aggregate dollars due primarily to (i) higher hauling and third-party transportation costs on higher volumes in our Customer Solutions business, (ii) higher fuel surcharges from third party haulers due to higher diesel fuel prices, (iii) inflationary pressures, and (iv) higher purchased material costs due to acquisition-related growth, partially offset by lower commodity prices;</w:t>
      </w:r>
    </w:p>
    <w:p>
      <w:pPr>
        <w:spacing w:after="0" w:line="12" w:lineRule="exact"/>
        <w:rPr>
          <w:rFonts w:ascii="Arial" w:cs="Arial" w:eastAsia="Arial" w:hAnsi="Arial"/>
          <w:sz w:val="17"/>
          <w:szCs w:val="17"/>
          <w:color w:val="auto"/>
        </w:rPr>
      </w:pPr>
    </w:p>
    <w:p>
      <w:pPr>
        <w:ind w:left="440" w:right="560" w:hanging="314"/>
        <w:spacing w:after="0" w:line="266" w:lineRule="auto"/>
        <w:tabs>
          <w:tab w:leader="none" w:pos="4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operational costs increased in aggregate dollars due primarily to higher facility costs driven by acquisition-related growth and inflationary pressures;</w:t>
      </w:r>
    </w:p>
    <w:p>
      <w:pPr>
        <w:spacing w:after="0" w:line="19" w:lineRule="exact"/>
        <w:rPr>
          <w:rFonts w:ascii="Arial" w:cs="Arial" w:eastAsia="Arial" w:hAnsi="Arial"/>
          <w:sz w:val="18"/>
          <w:szCs w:val="18"/>
          <w:color w:val="auto"/>
        </w:rPr>
      </w:pPr>
    </w:p>
    <w:p>
      <w:pPr>
        <w:ind w:left="440" w:right="140" w:hanging="314"/>
        <w:spacing w:after="0" w:line="266" w:lineRule="auto"/>
        <w:tabs>
          <w:tab w:leader="none" w:pos="4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labor costs increased in aggregate dollars due primarily to acquisition-related and organic growth in our Customer Solutions business and wage inflation;</w:t>
      </w:r>
    </w:p>
    <w:p>
      <w:pPr>
        <w:spacing w:after="0" w:line="19" w:lineRule="exact"/>
        <w:rPr>
          <w:rFonts w:ascii="Arial" w:cs="Arial" w:eastAsia="Arial" w:hAnsi="Arial"/>
          <w:sz w:val="18"/>
          <w:szCs w:val="18"/>
          <w:color w:val="auto"/>
        </w:rPr>
      </w:pPr>
    </w:p>
    <w:p>
      <w:pPr>
        <w:ind w:left="440" w:right="380" w:hanging="314"/>
        <w:spacing w:after="0" w:line="266" w:lineRule="auto"/>
        <w:tabs>
          <w:tab w:leader="none" w:pos="4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Maintenance and repair costs increased in aggregate dollars due primarily to higher fleet maintenance costs associated with acquisition-related and organic growth in our Customer Solutions business and inflationary pressures;</w:t>
      </w:r>
    </w:p>
    <w:p>
      <w:pPr>
        <w:spacing w:after="0" w:line="19" w:lineRule="exact"/>
        <w:rPr>
          <w:rFonts w:ascii="Arial" w:cs="Arial" w:eastAsia="Arial" w:hAnsi="Arial"/>
          <w:sz w:val="18"/>
          <w:szCs w:val="18"/>
          <w:color w:val="auto"/>
        </w:rPr>
      </w:pPr>
    </w:p>
    <w:p>
      <w:pPr>
        <w:ind w:left="440" w:hanging="31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operational costs increased in aggregate dollars due primarily to acquisition-related growth and inflationary pressures; and</w:t>
      </w:r>
    </w:p>
    <w:p>
      <w:pPr>
        <w:spacing w:after="0" w:line="58" w:lineRule="exact"/>
        <w:rPr>
          <w:rFonts w:ascii="Arial" w:cs="Arial" w:eastAsia="Arial" w:hAnsi="Arial"/>
          <w:sz w:val="18"/>
          <w:szCs w:val="18"/>
          <w:color w:val="auto"/>
        </w:rPr>
      </w:pPr>
    </w:p>
    <w:p>
      <w:pPr>
        <w:ind w:left="440" w:hanging="314"/>
        <w:spacing w:after="0" w:line="256" w:lineRule="auto"/>
        <w:tabs>
          <w:tab w:leader="none" w:pos="4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Fuel costs increased in aggregate dollars due to higher fuel prices and higher volumes driven by acquisition-related and organic growth in our Customer Solutions business.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of this Annual Report on Form 10-K for additional information regarding our fuel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2"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General and administration increased $5.3 million in fiscal year 2022 due primarily to (i) acquisition-related growth, (ii) wage inflation, (iii) higher accrued incentive compensation associated with an increased headcount, (iv) an increase in general overhead costs associated with business growth and inflationary pressures, and (v) a higher allocation of shared overhead costs.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increased $5.0 million in fiscal year 2022 from the prior year due to acquisition-related growth.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continually monitor our actual and forecasted cash flows, our liquidity, and our capital requirements in order to properly manage our liquidity needs as we move forward based on the capital intensive nature of our business and our growth acquisition strategy. We have $266.1 million of undrawn capacity from our $300.0 million revolving credit facility ("Revolving Credit Facility") as of December 31, 2022 to help meet our short-term and long-term liquidity needs. We expect existing cash and cash equivalents combined with cash flows from operations and financing activities to continue to be sufficient to fund our operating activities and cash commitments for investing and financing activities for at least the next 12 months and thereafter for the foreseeable future. Our known current- and long-term uses of cash include, among other possible demands: (1) capital expenditures and leases, (2) acquisitions, (3) repayments to service debt and other long-term obligations and (4) payments for final capping, closure and post-closure asset retirement obligations and environmental remediation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cash and cash equivalents, restricted assets and debt balances, excluding any debt issuance costs, (in millions)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Current assets, excluding cash and cash equivalents</w:t>
            </w:r>
          </w:p>
        </w:tc>
        <w:tc>
          <w:tcPr>
            <w:tcW w:w="900" w:type="dxa"/>
            <w:vAlign w:val="bottom"/>
          </w:tcPr>
          <w:p>
            <w:pPr>
              <w:jc w:val="right"/>
              <w:ind w:right="71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136.3</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112.7</w:t>
            </w: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78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assets</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1"/>
              </w:rPr>
              <w:t>(0.2)</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liabilities, excluding current maturities of debt</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5"/>
        </w:trPr>
        <w:tc>
          <w:tcPr>
            <w:tcW w:w="6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Current maturities of debt</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1"/>
              </w:rPr>
              <w:t>(0.9)</w:t>
            </w:r>
          </w:p>
        </w:tc>
        <w:tc>
          <w:tcPr>
            <w:tcW w:w="0" w:type="dxa"/>
            <w:vAlign w:val="bottom"/>
          </w:tcPr>
          <w:p>
            <w:pPr>
              <w:spacing w:after="0"/>
              <w:rPr>
                <w:sz w:val="1"/>
                <w:szCs w:val="1"/>
                <w:color w:val="auto"/>
              </w:rPr>
            </w:pPr>
          </w:p>
        </w:tc>
      </w:tr>
      <w:tr>
        <w:trPr>
          <w:trHeight w:val="220"/>
        </w:trPr>
        <w:tc>
          <w:tcPr>
            <w:tcW w:w="67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Total current liabilities</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900" w:type="dxa"/>
            <w:vAlign w:val="bottom"/>
          </w:tcPr>
          <w:p>
            <w:pPr>
              <w:jc w:val="right"/>
              <w:ind w:right="71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594.5</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552.7</w:t>
            </w: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78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Current assets, excluding cash and cash equivalents, increased $23.6 million and current liabilities increased $25.4 million in fiscal year 2022 driven primarily by business and revenue growth, resulting in a $(1.8) million decrease in working capital, net (defined as current assets, excluding cash and cash equivalents, minus current liabilities) from $(39.5) million as of December 31, 2021 to $(41.3) million as of December 31, 2022. We strive to maintain a negative working capital cycle driven by shorter days sales outstanding as compared to days payable outstanding in an effort to collect money at a faster rate than paying bills to facilitate business growth.</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increased $37.4 million in fiscal year 2022. A summary of cash flows (in millions)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Fiscal 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0"/>
        </w:trPr>
        <w:tc>
          <w:tcPr>
            <w:tcW w:w="67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98"/>
              <w:spacing w:after="0"/>
              <w:rPr>
                <w:sz w:val="20"/>
                <w:szCs w:val="20"/>
                <w:color w:val="auto"/>
              </w:rPr>
            </w:pPr>
            <w:r>
              <w:rPr>
                <w:rFonts w:ascii="Arial" w:cs="Arial" w:eastAsia="Arial" w:hAnsi="Arial"/>
                <w:sz w:val="14"/>
                <w:szCs w:val="14"/>
                <w:b w:val="1"/>
                <w:bCs w:val="1"/>
                <w:color w:val="auto"/>
              </w:rPr>
              <w:t>$</w:t>
            </w:r>
          </w:p>
        </w:tc>
      </w:tr>
      <w:tr>
        <w:trPr>
          <w:trHeight w:val="193"/>
        </w:trPr>
        <w:tc>
          <w:tcPr>
            <w:tcW w:w="67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Change</w:t>
            </w:r>
          </w:p>
        </w:tc>
      </w:tr>
      <w:tr>
        <w:trPr>
          <w:trHeight w:val="225"/>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(206.9)</w:t>
            </w:r>
          </w:p>
        </w:tc>
        <w:tc>
          <w:tcPr>
            <w:tcW w:w="100" w:type="dxa"/>
            <w:vAlign w:val="bottom"/>
          </w:tcPr>
          <w:p>
            <w:pPr>
              <w:spacing w:after="0"/>
              <w:rPr>
                <w:sz w:val="19"/>
                <w:szCs w:val="19"/>
                <w:color w:val="auto"/>
              </w:rPr>
            </w:pPr>
          </w:p>
        </w:tc>
        <w:tc>
          <w:tcPr>
            <w:tcW w:w="540" w:type="dxa"/>
            <w:vAlign w:val="bottom"/>
          </w:tcPr>
          <w:p>
            <w:pPr>
              <w:jc w:val="right"/>
              <w:ind w:right="35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86.3</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23"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Fiscal Year Ended</w:t>
      </w:r>
    </w:p>
    <w:p>
      <w:pPr>
        <w:jc w:val="center"/>
        <w:ind w:left="8240"/>
        <w:spacing w:after="0"/>
        <w:rPr>
          <w:sz w:val="20"/>
          <w:szCs w:val="20"/>
          <w:color w:val="auto"/>
        </w:rPr>
      </w:pPr>
      <w:r>
        <w:rPr>
          <w:rFonts w:ascii="Arial" w:cs="Arial" w:eastAsia="Arial" w:hAnsi="Arial"/>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7"/>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 on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7"/>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right-of-use assets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Disposition of assets, other items and charges,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6"/>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9"/>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195.8</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9"/>
        </w:trPr>
        <w:tc>
          <w:tcPr>
            <w:tcW w:w="8260" w:type="dxa"/>
            <w:vAlign w:val="bottom"/>
          </w:tcPr>
          <w:p>
            <w:pPr>
              <w:ind w:left="20"/>
              <w:spacing w:after="0" w:line="205" w:lineRule="exact"/>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Net cash provided by operating activities increased $34.6 million in fiscal year 2022 as compared to fiscal year 2021. This was the result of improved operational performance combined with the favorable cash flow impact associated with the changes in our assets and liabilities, net of effects of acquisitions and divestitures. For discussion of our improved operational performance in fiscal year 2022 as compared to fiscal year 2021, see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included in this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of this Annual Report on Form 10-K. The favorable cash flow impact associated with the changes in our assets and liabilities, net of effects of acquisitions and divestitures, which are affected by both cost changes and the timing of payments, in fiscal year 2022 as compared to fiscal year 2021 was due primarily to the following:</w:t>
      </w:r>
    </w:p>
    <w:p>
      <w:pPr>
        <w:spacing w:after="0" w:line="10" w:lineRule="exact"/>
        <w:rPr>
          <w:sz w:val="20"/>
          <w:szCs w:val="20"/>
          <w:color w:val="auto"/>
        </w:rPr>
      </w:pPr>
    </w:p>
    <w:p>
      <w:pPr>
        <w:ind w:left="480" w:right="440" w:hanging="314"/>
        <w:spacing w:after="0" w:line="266" w:lineRule="auto"/>
        <w:tabs>
          <w:tab w:leader="none" w:pos="4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$8.9 million favorable impact to operating cash flows associated with the change in accrued expenses, contract liabilities and other liabilities on higher accrued expenses and lower final capping, closure and post closure payments; partially offset by</w:t>
      </w:r>
    </w:p>
    <w:p>
      <w:pPr>
        <w:spacing w:after="0" w:line="19" w:lineRule="exact"/>
        <w:rPr>
          <w:rFonts w:ascii="Arial" w:cs="Arial" w:eastAsia="Arial" w:hAnsi="Arial"/>
          <w:sz w:val="18"/>
          <w:szCs w:val="18"/>
          <w:color w:val="auto"/>
        </w:rPr>
      </w:pPr>
    </w:p>
    <w:p>
      <w:pPr>
        <w:ind w:left="480" w:right="120" w:hanging="314"/>
        <w:spacing w:after="0" w:line="256" w:lineRule="auto"/>
        <w:tabs>
          <w:tab w:leader="none" w:pos="4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$(2.8) million unfavorable impact to operating cash flows associated with the change in accounts payable on a larger increase in prior years days payable outstanding as compared to a fiscal year 2022, partially offset by increased activity, primarily on acquisitions, and differences in the timing of payments; and</w:t>
      </w:r>
    </w:p>
    <w:p>
      <w:pPr>
        <w:spacing w:after="0" w:line="29" w:lineRule="exact"/>
        <w:rPr>
          <w:rFonts w:ascii="Arial" w:cs="Arial" w:eastAsia="Arial" w:hAnsi="Arial"/>
          <w:sz w:val="18"/>
          <w:szCs w:val="18"/>
          <w:color w:val="auto"/>
        </w:rPr>
      </w:pPr>
    </w:p>
    <w:p>
      <w:pPr>
        <w:ind w:left="480" w:right="20" w:hanging="314"/>
        <w:spacing w:after="0" w:line="266" w:lineRule="auto"/>
        <w:tabs>
          <w:tab w:leader="none" w:pos="4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$(4.7) million unfavorable impact to operating cash flows associated with the change in prepaid expenses, inventories and other assets on higher parts inventory and other non-current assets.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35"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Fiscal Year Ended</w:t>
      </w:r>
    </w:p>
    <w:p>
      <w:pPr>
        <w:spacing w:after="0" w:line="1"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(123.3)</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cost method investment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44"/>
        </w:trPr>
        <w:tc>
          <w:tcPr>
            <w:tcW w:w="826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Net cash used in investing activities</w:t>
            </w: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11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Acquisitions, net of cash acquired</w:t>
      </w:r>
      <w:r>
        <w:rPr>
          <w:rFonts w:ascii="Arial" w:cs="Arial" w:eastAsia="Arial" w:hAnsi="Arial"/>
          <w:sz w:val="18"/>
          <w:szCs w:val="18"/>
          <w:color w:val="auto"/>
        </w:rPr>
        <w:t>. In fiscal year 2022, we acquired fourteen businesses for total consideration of $82.7 million, including $76.6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paid $1.6 million in holdback payments on businesses previously acquired, as compared to fiscal year 2021, during which we acquired ten businesses for total consideration of $171.7 million, including $166.5 million in cash and $1.3 million in cash held in escrow accounts as holdbacks to sellers, and paid $2.9 million in holdback payments on businesses previously acquired.</w:t>
      </w:r>
    </w:p>
    <w:p>
      <w:pPr>
        <w:spacing w:after="0" w:line="8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$7.6 million higher in fiscal year 2022 as compared to fiscal year 2021 primarily due to higher capital spend</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landfill development, investments in newly acquired operations to drive synergies, the retrofitting of a single-stream material recovery facility and inflationary pressures, partially offset by the completion of construction and development of phase VI at our Subtitle D landfill in Coventry, Vermont in fiscal year 2021.</w:t>
      </w:r>
    </w:p>
    <w:p>
      <w:pPr>
        <w:spacing w:after="0" w:line="8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i w:val="1"/>
          <w:iCs w:val="1"/>
          <w:color w:val="auto"/>
        </w:rPr>
        <w:t xml:space="preserve">Proceeds from sale of cost method investment </w:t>
      </w:r>
      <w:r>
        <w:rPr>
          <w:rFonts w:ascii="Arial" w:cs="Arial" w:eastAsia="Arial" w:hAnsi="Arial"/>
          <w:sz w:val="18"/>
          <w:szCs w:val="18"/>
          <w:color w:val="auto"/>
        </w:rPr>
        <w:t>associated with the sale of our minority ownership interest in a subsidiary of Vanguard Renewables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23"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Fiscal Year Ended</w:t>
      </w:r>
    </w:p>
    <w:p>
      <w:pPr>
        <w:ind w:left="9340"/>
        <w:spacing w:after="0"/>
        <w:rPr>
          <w:sz w:val="20"/>
          <w:szCs w:val="20"/>
          <w:color w:val="auto"/>
        </w:rPr>
      </w:pPr>
      <w:r>
        <w:rPr>
          <w:rFonts w:ascii="Arial" w:cs="Arial" w:eastAsia="Arial" w:hAnsi="Arial"/>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debt borrowings</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Principal payments on debt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debt issuance costs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Payments of contingent consideration</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exercise of share-based awards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5"/>
        </w:trPr>
        <w:tc>
          <w:tcPr>
            <w:tcW w:w="8260" w:type="dxa"/>
            <w:vAlign w:val="bottom"/>
          </w:tcPr>
          <w:p>
            <w:pPr>
              <w:ind w:left="20"/>
              <w:spacing w:after="0" w:line="205" w:lineRule="exact"/>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59" w:lineRule="exact"/>
        <w:rPr>
          <w:sz w:val="20"/>
          <w:szCs w:val="20"/>
          <w:color w:val="auto"/>
        </w:rPr>
      </w:pPr>
    </w:p>
    <w:p>
      <w:pPr>
        <w:ind w:right="140"/>
        <w:spacing w:after="0" w:line="329" w:lineRule="auto"/>
        <w:rPr>
          <w:sz w:val="20"/>
          <w:szCs w:val="20"/>
          <w:color w:val="auto"/>
        </w:rPr>
      </w:pPr>
      <w:r>
        <w:rPr>
          <w:rFonts w:ascii="Arial" w:cs="Arial" w:eastAsia="Arial" w:hAnsi="Arial"/>
          <w:sz w:val="16"/>
          <w:szCs w:val="16"/>
          <w:i w:val="1"/>
          <w:iCs w:val="1"/>
          <w:color w:val="auto"/>
        </w:rPr>
        <w:t>Debt activity</w:t>
      </w:r>
      <w:r>
        <w:rPr>
          <w:rFonts w:ascii="Arial" w:cs="Arial" w:eastAsia="Arial" w:hAnsi="Arial"/>
          <w:sz w:val="16"/>
          <w:szCs w:val="16"/>
          <w:color w:val="auto"/>
        </w:rPr>
        <w:t>. Net cash associated with debt activity increased $35.5 million in fiscal year 2022 compared to fiscal year 2021. The increase in financing cash</w:t>
      </w:r>
      <w:r>
        <w:rPr>
          <w:rFonts w:ascii="Arial" w:cs="Arial" w:eastAsia="Arial" w:hAnsi="Arial"/>
          <w:sz w:val="16"/>
          <w:szCs w:val="16"/>
          <w:i w:val="1"/>
          <w:iCs w:val="1"/>
          <w:color w:val="auto"/>
        </w:rPr>
        <w:t xml:space="preserve"> </w:t>
      </w:r>
      <w:r>
        <w:rPr>
          <w:rFonts w:ascii="Arial" w:cs="Arial" w:eastAsia="Arial" w:hAnsi="Arial"/>
          <w:sz w:val="16"/>
          <w:szCs w:val="16"/>
          <w:color w:val="auto"/>
        </w:rPr>
        <w:t>flows for fiscal year 2022 is due primarily to the issuance of $35.0 million aggregate principal amount of Vermont Bonds 2022A-1 in June 2022.</w:t>
      </w:r>
    </w:p>
    <w:p>
      <w:pPr>
        <w:spacing w:after="0" w:line="2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Payments of debt issuance costs. </w:t>
      </w:r>
      <w:r>
        <w:rPr>
          <w:rFonts w:ascii="Arial" w:cs="Arial" w:eastAsia="Arial" w:hAnsi="Arial"/>
          <w:sz w:val="18"/>
          <w:szCs w:val="18"/>
          <w:color w:val="auto"/>
        </w:rPr>
        <w:t>We paid $1.2 million of debt issuance costs in fiscal year 2022 related to the issuance of Vermont Bonds 2022A-1. We paid</w:t>
      </w:r>
      <w:r>
        <w:rPr>
          <w:rFonts w:ascii="Arial" w:cs="Arial" w:eastAsia="Arial" w:hAnsi="Arial"/>
          <w:sz w:val="18"/>
          <w:szCs w:val="18"/>
          <w:i w:val="1"/>
          <w:iCs w:val="1"/>
          <w:color w:val="auto"/>
        </w:rPr>
        <w:t xml:space="preserve"> </w:t>
      </w:r>
      <w:r>
        <w:rPr>
          <w:rFonts w:ascii="Arial" w:cs="Arial" w:eastAsia="Arial" w:hAnsi="Arial"/>
          <w:sz w:val="18"/>
          <w:szCs w:val="18"/>
          <w:color w:val="auto"/>
        </w:rPr>
        <w:t>$3.7 million of debt issuance costs in fiscal year 2021 related to the refinancing of our credit facility.</w:t>
      </w:r>
    </w:p>
    <w:p>
      <w:pPr>
        <w:spacing w:after="0" w:line="73"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i w:val="1"/>
          <w:iCs w:val="1"/>
          <w:color w:val="auto"/>
        </w:rPr>
        <w:t>Payment of contingent consideration</w:t>
      </w:r>
      <w:r>
        <w:rPr>
          <w:rFonts w:ascii="Arial" w:cs="Arial" w:eastAsia="Arial" w:hAnsi="Arial"/>
          <w:sz w:val="18"/>
          <w:szCs w:val="18"/>
          <w:color w:val="auto"/>
        </w:rPr>
        <w:t>. We paid $1.0 million of contingent consideration in fiscal year 2022 associated with an acquisition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a permit expansion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2"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As of December 31, 2022, we are party to an amended and restated credit agreement ("Credit Agreement"), which provides for a $350.0 million aggregate principal amount term loan A facility ("Term Loan Facility") and a $300.0 million Revolving Credit Facility (together with the Term Loan Facility, the "Credit Facility"), with a $75.0 million sublimit for letters of credit. We have the right to request, at our discretion, an increase in the amount of loans under the Credit Facility by an aggregate amount of $125.0 million, subject to the terms and conditions set forth in the Credit Agreement. The Credit Facility has a 5-year term that matures in December 2026 and as of December 31, 2022 bore interest at a rate of LIBOR plus 1.125% per annum based upon us reaching a consolidated net leverage ratio of less than 2.25x. The Credit Facility is guaranteed jointly and severally, fully and unconditionally by all of our significant wholly-owned subsidiaries and secured by substantially all of our assets. As of December 31, 2022, further advances were available under the Credit Facility in the amount of $266.1 million. The available amount is net of outstanding irrevocable letters of credit totaling $27.9 million, and as of December 31, 2022 no amount had been drawn.</w:t>
      </w:r>
    </w:p>
    <w:p>
      <w:pPr>
        <w:spacing w:after="0" w:line="7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On February 9, 2023, we entered into first and second amendments to our amended and restated Credit Agreement (as amended, the "Amended and Restated Credit Agreement"). The first amendment provides, commencing in the fiscal year ending December 31, 2024, the interest rate margin applied for drawn and undrawn amounts under the Amended and Restated Credit Agreement shall be separately adjusted based on our achievement of certain thresholds and targets on two sustainability related key performance indicator metrics during the fiscal year ending December 31, 2023 ("fiscal year 2023"): i) metric tons of solid waste materials reduced, reused or recycled through our direct operations or with third-parties in collaboration with customers; and ii) our total recordable incident rate. The second amendment provides, effective for fiscal year 2023, that loans under the Amended and Restated Credit Agreement shall bear interest, at our election, at the term secured overnight financing rate, including a secured overnight financing rate adjustment of 10 basis points ("Term SOFR"), or a base rate, in each case, plus an applicable interest rate margin based on consolidated net leverage ratio, and plus or minus any sustainability rate adjustment. Unless loans are made as or converted to base rate loans, loans under the Amended and Restated Credit Agreement shall bear interest at Term SOFR, plus a margin based upon our consolidated net leverage ratio in the range of 1.125% to 2.125% per annum, plus a sustainability adjustment of up to positive or negative 4.0 basis point per annum, and a commitment fee on undrawn amounts will be charged on undrawn amounts at a rate of Term SOFR, plus a margin based upon our consolidated net leverage ratio in the range of 0.20% to 0.40% per annum, plus a sustainability adjustment of up to positive or negative 1.0 basis points per annum. We shall also pay a fronting fee for each letter of credit of 0.25% per annum. Interest under the Amended and Restated Credit Agreement shall be subject to increase by 2.00% per annum during the continuance of a payment default and may be subject to increase by 2.00% per annum during the continuance of any other event of default.</w:t>
      </w:r>
    </w:p>
    <w:p>
      <w:pPr>
        <w:spacing w:after="0" w:line="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Credit Agreement required and the Amended and Restated Credit Agreement requires us to maintain a minimum interest coverage ratio and a maximum consolidated net leverage ratio, to be measured at the end of each fiscal quarter. As of December 31, 2022, we were in compliance with all financial covenants contained in the Credit Agreement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Credit Facility Covenant</w:t>
            </w:r>
          </w:p>
        </w:tc>
        <w:tc>
          <w:tcPr>
            <w:tcW w:w="100" w:type="dxa"/>
            <w:vAlign w:val="bottom"/>
            <w:vMerge w:val="restart"/>
          </w:tcPr>
          <w:p>
            <w:pPr>
              <w:spacing w:after="0"/>
              <w:rPr>
                <w:sz w:val="14"/>
                <w:szCs w:val="14"/>
                <w:color w:val="auto"/>
              </w:rPr>
            </w:pPr>
          </w:p>
        </w:tc>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Fiscal Year Ended December</w:t>
            </w:r>
          </w:p>
        </w:tc>
        <w:tc>
          <w:tcPr>
            <w:tcW w:w="2280" w:type="dxa"/>
            <w:vAlign w:val="bottom"/>
          </w:tcPr>
          <w:p>
            <w:pPr>
              <w:jc w:val="right"/>
              <w:ind w:right="260"/>
              <w:spacing w:after="0"/>
              <w:rPr>
                <w:sz w:val="20"/>
                <w:szCs w:val="20"/>
                <w:color w:val="auto"/>
              </w:rPr>
            </w:pPr>
            <w:r>
              <w:rPr>
                <w:rFonts w:ascii="Arial" w:cs="Arial" w:eastAsia="Arial" w:hAnsi="Arial"/>
                <w:sz w:val="14"/>
                <w:szCs w:val="14"/>
                <w:b w:val="1"/>
                <w:bCs w:val="1"/>
                <w:color w:val="auto"/>
              </w:rPr>
              <w:t>Covenant Requirements at</w:t>
            </w:r>
          </w:p>
        </w:tc>
        <w:tc>
          <w:tcPr>
            <w:tcW w:w="0" w:type="dxa"/>
            <w:vAlign w:val="bottom"/>
          </w:tcPr>
          <w:p>
            <w:pPr>
              <w:spacing w:after="0"/>
              <w:rPr>
                <w:sz w:val="1"/>
                <w:szCs w:val="1"/>
                <w:color w:val="auto"/>
              </w:rPr>
            </w:pPr>
          </w:p>
        </w:tc>
      </w:tr>
      <w:tr>
        <w:trPr>
          <w:trHeight w:val="190"/>
        </w:trPr>
        <w:tc>
          <w:tcPr>
            <w:tcW w:w="6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31, 2022</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38"/>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Maximum consolidated net leverage ratio </w:t>
            </w:r>
            <w:r>
              <w:rPr>
                <w:rFonts w:ascii="Arial" w:cs="Arial" w:eastAsia="Arial" w:hAnsi="Arial"/>
                <w:sz w:val="14"/>
                <w:szCs w:val="14"/>
                <w:color w:val="auto"/>
              </w:rPr>
              <w:t>(1)</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5"/>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Minimum interest coverage ratio</w:t>
            </w:r>
          </w:p>
        </w:tc>
        <w:tc>
          <w:tcPr>
            <w:tcW w:w="1840" w:type="dxa"/>
            <w:vAlign w:val="bottom"/>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hanging="314"/>
        <w:spacing w:after="0" w:line="301" w:lineRule="auto"/>
        <w:tabs>
          <w:tab w:leader="none" w:pos="472" w:val="left"/>
        </w:tabs>
        <w:numPr>
          <w:ilvl w:val="0"/>
          <w:numId w:val="24"/>
        </w:numPr>
        <w:rPr>
          <w:rFonts w:ascii="Arial" w:cs="Arial" w:eastAsia="Arial" w:hAnsi="Arial"/>
          <w:sz w:val="12"/>
          <w:szCs w:val="12"/>
          <w:color w:val="auto"/>
        </w:rPr>
      </w:pPr>
      <w:r>
        <w:rPr>
          <w:rFonts w:ascii="Arial" w:cs="Arial" w:eastAsia="Arial" w:hAnsi="Arial"/>
          <w:sz w:val="15"/>
          <w:szCs w:val="15"/>
          <w:color w:val="auto"/>
        </w:rPr>
        <w:t>The maximum consolidated net leverage ratio is calculated as consolidated funded debt, net of unencumbered cash and cash equivalents in excess of $2.0 million and up to $100.0 million (calculated at $534.3 million as of December 31, 2022, or $603.5 million of consolidated funded debt less $69.2 million of cash and cash equivalents in excess of $2.0 million and up to $100.0 million as of December 31, 2022), divided by consolidated EBITDA. Consolidated EBITDA is based on operating results for the twelve months preceding the measurement date of December 31, 2022. Consolidated funded debt, net of unencumbered cash and cash equivalents in excess of $2.0 million and up to $100.0 million, and consolidated EBITDA as defined by the Amended and Restated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Consolidated EBITDA is as follows (in millions):</w:t>
      </w:r>
    </w:p>
    <w:p>
      <w:pPr>
        <w:sectPr>
          <w:pgSz w:w="11900" w:h="16838" w:orient="portrait"/>
          <w:cols w:equalWidth="0" w:num="1">
            <w:col w:w="11220"/>
          </w:cols>
          <w:pgMar w:left="320" w:top="118" w:right="359" w:bottom="1440" w:gutter="0" w:footer="0" w:header="0"/>
        </w:sectPr>
      </w:pPr>
    </w:p>
    <w:p>
      <w:pPr>
        <w:spacing w:after="0" w:line="3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-131445</wp:posOffset>
            </wp:positionV>
            <wp:extent cx="6459220" cy="151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59220" cy="151765"/>
                    </a:xfrm>
                    <a:prstGeom prst="rect">
                      <a:avLst/>
                    </a:prstGeom>
                    <a:noFill/>
                  </pic:spPr>
                </pic:pic>
              </a:graphicData>
            </a:graphic>
          </wp:anchor>
        </w:drawing>
      </w:r>
    </w:p>
    <w:p>
      <w:pPr>
        <w:spacing w:after="0" w:line="12" w:lineRule="exact"/>
        <w:rPr>
          <w:sz w:val="20"/>
          <w:szCs w:val="20"/>
          <w:color w:val="auto"/>
        </w:rPr>
      </w:pPr>
    </w:p>
    <w:p>
      <w:pPr>
        <w:ind w:left="500" w:right="2099"/>
        <w:spacing w:after="0" w:line="262" w:lineRule="auto"/>
        <w:rPr>
          <w:sz w:val="20"/>
          <w:szCs w:val="20"/>
          <w:color w:val="auto"/>
        </w:rPr>
      </w:pPr>
      <w:r>
        <w:rPr>
          <w:rFonts w:ascii="Arial" w:cs="Arial" w:eastAsia="Arial" w:hAnsi="Arial"/>
          <w:sz w:val="18"/>
          <w:szCs w:val="18"/>
          <w:color w:val="auto"/>
        </w:rPr>
        <w:t>Changes in assets and liabilities, net of effects of acquisitions and divestitures 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-143510</wp:posOffset>
            </wp:positionV>
            <wp:extent cx="6459220" cy="143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59220" cy="14351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Operating lease right-of-use assets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9220" cy="143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59220" cy="14351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Disposition of assets, other items and charges, net</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less 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9220" cy="143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59220" cy="14351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Provision for income taxes, net of deferred income taxes</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Adjustments as allowed by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9220" cy="168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59220" cy="16891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Consolidated EBITDA</w:t>
      </w:r>
    </w:p>
    <w:p>
      <w:pPr>
        <w:spacing w:after="0" w:line="20" w:lineRule="exact"/>
        <w:rPr>
          <w:sz w:val="20"/>
          <w:szCs w:val="20"/>
          <w:color w:val="auto"/>
        </w:rPr>
      </w:pPr>
      <w:r>
        <w:rPr>
          <w:sz w:val="20"/>
          <w:szCs w:val="20"/>
          <w:color w:val="auto"/>
        </w:rPr>
        <w:br w:type="column"/>
      </w:r>
    </w:p>
    <w:p>
      <w:pPr>
        <w:jc w:val="center"/>
        <w:ind w:right="579"/>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right="579"/>
        <w:spacing w:after="0"/>
        <w:rPr>
          <w:sz w:val="20"/>
          <w:szCs w:val="20"/>
          <w:color w:val="auto"/>
        </w:rPr>
      </w:pPr>
      <w:r>
        <w:rPr>
          <w:rFonts w:ascii="Arial" w:cs="Arial" w:eastAsia="Arial" w:hAnsi="Arial"/>
          <w:sz w:val="14"/>
          <w:szCs w:val="14"/>
          <w:b w:val="1"/>
          <w:bCs w:val="1"/>
          <w:color w:val="auto"/>
        </w:rPr>
        <w:t>December 31, 2022</w:t>
      </w:r>
    </w:p>
    <w:p>
      <w:pPr>
        <w:spacing w:after="0" w:line="33" w:lineRule="exact"/>
        <w:rPr>
          <w:sz w:val="20"/>
          <w:szCs w:val="20"/>
          <w:color w:val="auto"/>
        </w:rPr>
      </w:pPr>
    </w:p>
    <w:p>
      <w:pPr>
        <w:ind w:left="1341" w:hanging="1341"/>
        <w:spacing w:after="0"/>
        <w:tabs>
          <w:tab w:leader="none" w:pos="13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217.3</w:t>
      </w:r>
    </w:p>
    <w:p>
      <w:pPr>
        <w:spacing w:after="0" w:line="19" w:lineRule="exact"/>
        <w:rPr>
          <w:rFonts w:ascii="Arial" w:cs="Arial" w:eastAsia="Arial" w:hAnsi="Arial"/>
          <w:sz w:val="18"/>
          <w:szCs w:val="18"/>
          <w:color w:val="auto"/>
        </w:rPr>
      </w:pPr>
    </w:p>
    <w:p>
      <w:pPr>
        <w:ind w:left="1441"/>
        <w:spacing w:after="0"/>
        <w:rPr>
          <w:rFonts w:ascii="Arial" w:cs="Arial" w:eastAsia="Arial" w:hAnsi="Arial"/>
          <w:sz w:val="18"/>
          <w:szCs w:val="18"/>
          <w:color w:val="auto"/>
        </w:rPr>
      </w:pPr>
      <w:r>
        <w:rPr>
          <w:rFonts w:ascii="Arial" w:cs="Arial" w:eastAsia="Arial" w:hAnsi="Arial"/>
          <w:sz w:val="18"/>
          <w:szCs w:val="18"/>
          <w:color w:val="auto"/>
        </w:rPr>
        <w:t>11.2</w:t>
      </w:r>
    </w:p>
    <w:p>
      <w:pPr>
        <w:spacing w:after="0" w:line="19" w:lineRule="exact"/>
        <w:rPr>
          <w:rFonts w:ascii="Arial" w:cs="Arial" w:eastAsia="Arial" w:hAnsi="Arial"/>
          <w:sz w:val="18"/>
          <w:szCs w:val="18"/>
          <w:color w:val="auto"/>
        </w:rPr>
      </w:pPr>
    </w:p>
    <w:p>
      <w:pPr>
        <w:ind w:left="1461"/>
        <w:spacing w:after="0"/>
        <w:rPr>
          <w:rFonts w:ascii="Arial" w:cs="Arial" w:eastAsia="Arial" w:hAnsi="Arial"/>
          <w:sz w:val="18"/>
          <w:szCs w:val="18"/>
          <w:color w:val="auto"/>
        </w:rPr>
      </w:pPr>
      <w:r>
        <w:rPr>
          <w:rFonts w:ascii="Arial" w:cs="Arial" w:eastAsia="Arial" w:hAnsi="Arial"/>
          <w:sz w:val="16"/>
          <w:szCs w:val="16"/>
          <w:color w:val="auto"/>
        </w:rPr>
        <w:t>(8.2)</w:t>
      </w:r>
    </w:p>
    <w:p>
      <w:pPr>
        <w:spacing w:after="0" w:line="42" w:lineRule="exact"/>
        <w:rPr>
          <w:rFonts w:ascii="Arial" w:cs="Arial" w:eastAsia="Arial" w:hAnsi="Arial"/>
          <w:sz w:val="18"/>
          <w:szCs w:val="18"/>
          <w:color w:val="auto"/>
        </w:rPr>
      </w:pPr>
    </w:p>
    <w:p>
      <w:pPr>
        <w:ind w:left="1461"/>
        <w:spacing w:after="0"/>
        <w:rPr>
          <w:rFonts w:ascii="Arial" w:cs="Arial" w:eastAsia="Arial" w:hAnsi="Arial"/>
          <w:sz w:val="18"/>
          <w:szCs w:val="18"/>
          <w:color w:val="auto"/>
        </w:rPr>
      </w:pPr>
      <w:r>
        <w:rPr>
          <w:rFonts w:ascii="Arial" w:cs="Arial" w:eastAsia="Arial" w:hAnsi="Arial"/>
          <w:sz w:val="16"/>
          <w:szCs w:val="16"/>
          <w:color w:val="auto"/>
        </w:rPr>
        <w:t>(5.1)</w:t>
      </w:r>
    </w:p>
    <w:p>
      <w:pPr>
        <w:spacing w:after="0" w:line="42" w:lineRule="exact"/>
        <w:rPr>
          <w:rFonts w:ascii="Arial" w:cs="Arial" w:eastAsia="Arial" w:hAnsi="Arial"/>
          <w:sz w:val="18"/>
          <w:szCs w:val="18"/>
          <w:color w:val="auto"/>
        </w:rPr>
      </w:pPr>
    </w:p>
    <w:p>
      <w:pPr>
        <w:ind w:left="1461"/>
        <w:spacing w:after="0"/>
        <w:rPr>
          <w:rFonts w:ascii="Arial" w:cs="Arial" w:eastAsia="Arial" w:hAnsi="Arial"/>
          <w:sz w:val="18"/>
          <w:szCs w:val="18"/>
          <w:color w:val="auto"/>
        </w:rPr>
      </w:pPr>
      <w:r>
        <w:rPr>
          <w:rFonts w:ascii="Arial" w:cs="Arial" w:eastAsia="Arial" w:hAnsi="Arial"/>
          <w:sz w:val="16"/>
          <w:szCs w:val="16"/>
          <w:color w:val="auto"/>
        </w:rPr>
        <w:t>(0.7)</w:t>
      </w:r>
    </w:p>
    <w:p>
      <w:pPr>
        <w:spacing w:after="0" w:line="42" w:lineRule="exact"/>
        <w:rPr>
          <w:rFonts w:ascii="Arial" w:cs="Arial" w:eastAsia="Arial" w:hAnsi="Arial"/>
          <w:sz w:val="18"/>
          <w:szCs w:val="18"/>
          <w:color w:val="auto"/>
        </w:rPr>
      </w:pPr>
    </w:p>
    <w:p>
      <w:pPr>
        <w:ind w:left="1441"/>
        <w:spacing w:after="0"/>
        <w:rPr>
          <w:rFonts w:ascii="Arial" w:cs="Arial" w:eastAsia="Arial" w:hAnsi="Arial"/>
          <w:sz w:val="18"/>
          <w:szCs w:val="18"/>
          <w:color w:val="auto"/>
        </w:rPr>
      </w:pPr>
      <w:r>
        <w:rPr>
          <w:rFonts w:ascii="Arial" w:cs="Arial" w:eastAsia="Arial" w:hAnsi="Arial"/>
          <w:sz w:val="18"/>
          <w:szCs w:val="18"/>
          <w:color w:val="auto"/>
        </w:rPr>
        <w:t>21.8</w:t>
      </w:r>
    </w:p>
    <w:p>
      <w:pPr>
        <w:spacing w:after="0" w:line="19" w:lineRule="exact"/>
        <w:rPr>
          <w:rFonts w:ascii="Arial" w:cs="Arial" w:eastAsia="Arial" w:hAnsi="Arial"/>
          <w:sz w:val="18"/>
          <w:szCs w:val="18"/>
          <w:color w:val="auto"/>
        </w:rPr>
      </w:pPr>
    </w:p>
    <w:p>
      <w:pPr>
        <w:ind w:left="1521"/>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19" w:lineRule="exact"/>
        <w:rPr>
          <w:rFonts w:ascii="Arial" w:cs="Arial" w:eastAsia="Arial" w:hAnsi="Arial"/>
          <w:sz w:val="18"/>
          <w:szCs w:val="18"/>
          <w:color w:val="auto"/>
        </w:rPr>
      </w:pPr>
    </w:p>
    <w:p>
      <w:pPr>
        <w:ind w:left="1441"/>
        <w:spacing w:after="0"/>
        <w:rPr>
          <w:rFonts w:ascii="Arial" w:cs="Arial" w:eastAsia="Arial" w:hAnsi="Arial"/>
          <w:sz w:val="18"/>
          <w:szCs w:val="18"/>
          <w:color w:val="auto"/>
        </w:rPr>
      </w:pPr>
      <w:r>
        <w:rPr>
          <w:rFonts w:ascii="Arial" w:cs="Arial" w:eastAsia="Arial" w:hAnsi="Arial"/>
          <w:sz w:val="18"/>
          <w:szCs w:val="18"/>
          <w:color w:val="auto"/>
        </w:rPr>
        <w:t>15.4</w:t>
      </w:r>
    </w:p>
    <w:p>
      <w:pPr>
        <w:spacing w:after="0" w:line="32" w:lineRule="exact"/>
        <w:rPr>
          <w:sz w:val="20"/>
          <w:szCs w:val="20"/>
          <w:color w:val="auto"/>
        </w:rPr>
      </w:pPr>
    </w:p>
    <w:p>
      <w:pPr>
        <w:ind w:left="1341" w:hanging="1341"/>
        <w:spacing w:after="0"/>
        <w:tabs>
          <w:tab w:leader="none" w:pos="1341" w:val="left"/>
        </w:tabs>
        <w:numPr>
          <w:ilvl w:val="0"/>
          <w:numId w:val="26"/>
        </w:numPr>
        <w:rPr>
          <w:rFonts w:ascii="Arial" w:cs="Arial" w:eastAsia="Arial" w:hAnsi="Arial"/>
          <w:sz w:val="18"/>
          <w:szCs w:val="18"/>
          <w:color w:val="auto"/>
        </w:rPr>
      </w:pPr>
      <w:r>
        <w:rPr>
          <w:rFonts w:ascii="Arial" w:cs="Arial" w:eastAsia="Arial" w:hAnsi="Arial"/>
          <w:sz w:val="18"/>
          <w:szCs w:val="18"/>
          <w:color w:val="auto"/>
        </w:rPr>
        <w:t>257.1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1165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19" w:space="720"/>
            <w:col w:w="2381"/>
          </w:cols>
          <w:pgMar w:left="320" w:top="118" w:right="359" w:bottom="1440" w:gutter="0" w:footer="0" w:header="0"/>
          <w:type w:val="continuous"/>
        </w:sectPr>
      </w:pPr>
    </w:p>
    <w:p>
      <w:pPr>
        <w:spacing w:after="0" w:line="16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to the financial covenants, the Credit Agreement contained and the Amended and Restated Credit Agreement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As of December 31, 2022, we were in compliance with all covenants contained in the Credit Agreement.</w:t>
      </w:r>
    </w:p>
    <w:p>
      <w:pPr>
        <w:spacing w:after="0" w:line="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8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capital-intensive nature of our business and the timing of debt payments has on our business, we typically incur higher debt borrowings in order to meet our liquidity needs during these times. Consequently, our availability and performance against our financial covenants tighten during these times as well.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 and Other Debt</w:t>
      </w:r>
    </w:p>
    <w:p>
      <w:pPr>
        <w:spacing w:after="0" w:line="112"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 xml:space="preserve">As of December 31, 2022, we had outstanding $197.0 million aggregate principal amount of tax-exempt bonds, $49.8 million aggregate principal amount of finance leases and $0.7 million aggregate principal amount of notes payable. See Note 12, </w:t>
      </w:r>
      <w:r>
        <w:rPr>
          <w:rFonts w:ascii="Arial" w:cs="Arial" w:eastAsia="Arial" w:hAnsi="Arial"/>
          <w:sz w:val="17"/>
          <w:szCs w:val="17"/>
          <w:i w:val="1"/>
          <w:iCs w:val="1"/>
          <w:color w:val="auto"/>
        </w:rPr>
        <w:t>Debt</w:t>
      </w:r>
      <w:r>
        <w:rPr>
          <w:rFonts w:ascii="Arial" w:cs="Arial" w:eastAsia="Arial" w:hAnsi="Arial"/>
          <w:sz w:val="17"/>
          <w:szCs w:val="17"/>
          <w:color w:val="auto"/>
        </w:rPr>
        <w:t xml:space="preserve"> to our consolidated financial statements included under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 for disclosure regarding our debt.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table sets forth a summary of our significant contractual cash obligations (in thousands) as of December 31, 2022. These obligations are reflected in our balance sheet and include obligations with scheduled maturities, as well as significant obligations pertaining to accrued environmental remediation liabilities and final capping, closure and post-closure asset retirement obligations at our landfills. Accordingly, this table is not meant to represent a forecast of our total cash expenditures for any of the periods presented.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Less than</w:t>
            </w: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1 - 3 years</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3 - 5 years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More than 5</w:t>
            </w: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one year</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years</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56,015</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357,659</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180,835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603,477</w:t>
            </w: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4"/>
                <w:szCs w:val="14"/>
                <w:color w:val="auto"/>
              </w:rPr>
              <w:t>(1)</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57,169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109,479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229,081</w:t>
            </w:r>
          </w:p>
        </w:tc>
        <w:tc>
          <w:tcPr>
            <w:tcW w:w="0" w:type="dxa"/>
            <w:vAlign w:val="bottom"/>
          </w:tcPr>
          <w:p>
            <w:pPr>
              <w:spacing w:after="0"/>
              <w:rPr>
                <w:sz w:val="1"/>
                <w:szCs w:val="1"/>
                <w:color w:val="auto"/>
              </w:rPr>
            </w:pPr>
          </w:p>
        </w:tc>
      </w:tr>
      <w:tr>
        <w:trPr>
          <w:trHeight w:val="22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Non-cancellable operating leases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20,701</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Arial" w:cs="Arial" w:eastAsia="Arial" w:hAnsi="Arial"/>
                <w:sz w:val="18"/>
                <w:szCs w:val="18"/>
                <w:color w:val="auto"/>
              </w:rPr>
              <w:t>Landfill operating lease contracts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59,420</w:t>
            </w:r>
          </w:p>
        </w:tc>
        <w:tc>
          <w:tcPr>
            <w:tcW w:w="0" w:type="dxa"/>
            <w:vAlign w:val="bottom"/>
          </w:tcPr>
          <w:p>
            <w:pPr>
              <w:spacing w:after="0"/>
              <w:rPr>
                <w:sz w:val="1"/>
                <w:szCs w:val="1"/>
                <w:color w:val="auto"/>
              </w:rPr>
            </w:pPr>
          </w:p>
        </w:tc>
      </w:tr>
      <w:tr>
        <w:trPr>
          <w:trHeight w:val="22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 contributions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Arial" w:cs="Arial" w:eastAsia="Arial" w:hAnsi="Arial"/>
                <w:sz w:val="18"/>
                <w:szCs w:val="18"/>
                <w:color w:val="auto"/>
              </w:rPr>
              <w:t>Environmental remediation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2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Final capping, closure and post-closure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286,461</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line="205" w:lineRule="exact"/>
              <w:rPr>
                <w:sz w:val="20"/>
                <w:szCs w:val="20"/>
                <w:color w:val="auto"/>
              </w:rPr>
            </w:pPr>
            <w:r>
              <w:rPr>
                <w:rFonts w:ascii="Arial" w:cs="Arial" w:eastAsia="Arial" w:hAnsi="Arial"/>
                <w:sz w:val="18"/>
                <w:szCs w:val="18"/>
                <w:color w:val="auto"/>
              </w:rPr>
              <w:t xml:space="preserve">Total contractual cash obligations </w:t>
            </w:r>
            <w:r>
              <w:rPr>
                <w:rFonts w:ascii="Arial" w:cs="Arial" w:eastAsia="Arial" w:hAnsi="Arial"/>
                <w:sz w:val="14"/>
                <w:szCs w:val="14"/>
                <w:color w:val="auto"/>
              </w:rPr>
              <w:t>(2)</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148,937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443,305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559,181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1,208,159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480" w:right="460" w:hanging="314"/>
        <w:spacing w:after="0" w:line="266" w:lineRule="auto"/>
        <w:tabs>
          <w:tab w:leader="none" w:pos="4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debt balances as of December 31, 2022. Interest obligations related to variable rate debt were calculated using variable rates in effect at December 31, 2022.</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Contractual cash obligations do not include accounts payable or accrued liabilities, which will be paid in the fiscal year ending December 31, 2023.</w:t>
      </w:r>
    </w:p>
    <w:p>
      <w:pPr>
        <w:spacing w:after="0" w:line="135"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 xml:space="preserve">We have no contractual obligations related to unrecognized tax benefits at December 31, 2022. For further description regarding contractual obligations, see Note 8, </w:t>
      </w:r>
      <w:r>
        <w:rPr>
          <w:rFonts w:ascii="Arial" w:cs="Arial" w:eastAsia="Arial" w:hAnsi="Arial"/>
          <w:sz w:val="16"/>
          <w:szCs w:val="16"/>
          <w:i w:val="1"/>
          <w:iCs w:val="1"/>
          <w:color w:val="auto"/>
        </w:rPr>
        <w:t>Leases</w:t>
      </w:r>
      <w:r>
        <w:rPr>
          <w:rFonts w:ascii="Arial" w:cs="Arial" w:eastAsia="Arial" w:hAnsi="Arial"/>
          <w:sz w:val="16"/>
          <w:szCs w:val="16"/>
          <w:color w:val="auto"/>
        </w:rPr>
        <w:t xml:space="preserve">, Note 10, </w:t>
      </w:r>
      <w:r>
        <w:rPr>
          <w:rFonts w:ascii="Arial" w:cs="Arial" w:eastAsia="Arial" w:hAnsi="Arial"/>
          <w:sz w:val="16"/>
          <w:szCs w:val="16"/>
          <w:i w:val="1"/>
          <w:iCs w:val="1"/>
          <w:color w:val="auto"/>
        </w:rPr>
        <w:t>Final Capping, Closure and Post-Closure Costs,</w:t>
      </w:r>
      <w:r>
        <w:rPr>
          <w:rFonts w:ascii="Arial" w:cs="Arial" w:eastAsia="Arial" w:hAnsi="Arial"/>
          <w:sz w:val="16"/>
          <w:szCs w:val="16"/>
          <w:color w:val="auto"/>
        </w:rPr>
        <w:t xml:space="preserve">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and Note 17,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 our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1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 xml:space="preserve">Inflationary increases in costs, including current inflationary pressures associated primarily with fuel, labor and certain other cost categories and capital items, have materially affected, and may continue to materially affect, our operating margins and cash flows. While rapid inflation negatively impacted operating results and margins during fiscal year 2022, we believe that our flexible pricing structures and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our fuel cost recovery program, which is the energy component of our E&amp;E Fee, is designed to recover escalating fuel price fluctuations above a periodically reset floor. Despite these programs, competitive factors may require us to absorb at least a portion of these cost increases. 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of this Annual Report on Form 10-K for additional information regarding our fuel cost recovery program. Additionally, management’s estimates associated with inflation have had, and will continue to have, an impact on our accounting for landfill and environmental remediation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11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business is primarily located in the northeastern United States. Therefore, our business, financial condition and operational results are susceptible to downturns in the general economy in this geographic region and other factors affecting the region, such as state regulations, labor availability and severe weather conditions. We are unable to forecast or determine the timing and/or the future impact of a sustained economic slowdown or other factors affecting the region.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consolidated financial statements have been prepared in accordance with generally accepted accounting principles in the United States (“GAAP”)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However, even under optimal circumstances, estimates routinely require adjustments based on changing assumptions and circumstances, or new or better information becoming available. Accordingly, actual results may differ from these estimates under different assumptions and circumstances.</w:t>
      </w:r>
    </w:p>
    <w:p>
      <w:pPr>
        <w:spacing w:after="0" w:line="73"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 xml:space="preserve">The following is a list of accounting policies that we believe are the most critical in understanding our consolidated financial position, results of operations and cash flows and that may require management to make subjective or complex judgments about matters that are inherently uncertain. Our significant accounting policies are more fully discussed in Note 3,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of our consolidated financial statements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11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 xml:space="preserve">Landfill Development Costs. </w:t>
      </w:r>
      <w:r>
        <w:rPr>
          <w:rFonts w:ascii="Arial" w:cs="Arial" w:eastAsia="Arial" w:hAnsi="Arial"/>
          <w:sz w:val="17"/>
          <w:szCs w:val="17"/>
          <w:color w:val="auto"/>
        </w:rPr>
        <w:t>We estimate the total cost to develop each of our landfill sites to its remaining permitted and expansion capacity (see landfill</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costs discussed within the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accounting policy more fully discussed in Note 3,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of our consolidated financial statements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w:t>
      </w:r>
      <w:r>
        <w:rPr>
          <w:rFonts w:ascii="Arial" w:cs="Arial" w:eastAsia="Arial" w:hAnsi="Arial"/>
          <w:sz w:val="17"/>
          <w:szCs w:val="17"/>
          <w:i w:val="1"/>
          <w:iCs w:val="1"/>
          <w:color w:val="auto"/>
        </w:rPr>
        <w:t xml:space="preserve"> </w:t>
      </w:r>
      <w:r>
        <w:rPr>
          <w:rFonts w:ascii="Arial" w:cs="Arial" w:eastAsia="Arial" w:hAnsi="Arial"/>
          <w:sz w:val="17"/>
          <w:szCs w:val="17"/>
          <w:color w:val="auto"/>
        </w:rPr>
        <w:t>Form 10-K).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w:t>
      </w:r>
    </w:p>
    <w:p>
      <w:pPr>
        <w:spacing w:after="0" w:line="7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 The average amortization rate per ton for our landfills during fiscal year 2022 and 2021 was $7.03 and $7.03, respectively.</w:t>
      </w:r>
    </w:p>
    <w:p>
      <w:pPr>
        <w:spacing w:after="0" w:line="56" w:lineRule="exact"/>
        <w:rPr>
          <w:sz w:val="20"/>
          <w:szCs w:val="20"/>
          <w:color w:val="auto"/>
        </w:rPr>
      </w:pPr>
    </w:p>
    <w:p>
      <w:pPr>
        <w:ind w:right="400"/>
        <w:spacing w:after="0" w:line="303" w:lineRule="auto"/>
        <w:rPr>
          <w:sz w:val="20"/>
          <w:szCs w:val="20"/>
          <w:color w:val="auto"/>
        </w:rPr>
      </w:pPr>
      <w:r>
        <w:rPr>
          <w:rFonts w:ascii="Arial" w:cs="Arial" w:eastAsia="Arial" w:hAnsi="Arial"/>
          <w:sz w:val="16"/>
          <w:szCs w:val="16"/>
          <w:i w:val="1"/>
          <w:iCs w:val="1"/>
          <w:color w:val="auto"/>
        </w:rPr>
        <w:t xml:space="preserve">Final Capping, Closure and Post-Closure Costs. </w:t>
      </w:r>
      <w:r>
        <w:rPr>
          <w:rFonts w:ascii="Arial" w:cs="Arial" w:eastAsia="Arial" w:hAnsi="Arial"/>
          <w:sz w:val="16"/>
          <w:szCs w:val="16"/>
          <w:color w:val="auto"/>
        </w:rPr>
        <w:t>The cost estimates for final capping, closure and post-closure activities at landfills for which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responsibility are estimated based on our interpretations of current requirements and proposed or anticipated regulatory changes. Our investment in final capping, closure and post-closure activities is focused on meeting these regulations, therefore, reducing emissions of air pollutants from our landfills.</w:t>
      </w:r>
    </w:p>
    <w:p>
      <w:pPr>
        <w:spacing w:after="0" w:line="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also estimate additional costs based on the amount a third-party would charge us to perform such activities even when we expect to perform these activities internally. We estimate the airspace to be consumed related to each final capping event and the timing of construction related to each final capping event and of closure and post-closure activities. Because landfill final capping, closure and post-closure obligations are measured at estimated fair value using present value techniques, changes in the estimated timing of construction of future landfill final capping and closure and post-closure activities would have an effect on these liabilities, related assets and results of operations.</w:t>
      </w:r>
    </w:p>
    <w:p>
      <w:pPr>
        <w:spacing w:after="0" w:line="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Final capping activities include the installation of liners, drainage, compacted soil layers and topsoil over areas of a landfill where total 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spacing w:after="0" w:line="7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Closure and post-closure costs represent future estimated costs related to monitoring and maintenance of a solid waste 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airspace. See Note 10, </w:t>
      </w:r>
      <w:r>
        <w:rPr>
          <w:rFonts w:ascii="Arial" w:cs="Arial" w:eastAsia="Arial" w:hAnsi="Arial"/>
          <w:sz w:val="16"/>
          <w:szCs w:val="16"/>
          <w:i w:val="1"/>
          <w:iCs w:val="1"/>
          <w:color w:val="auto"/>
        </w:rPr>
        <w:t>Final Capping, Closure and Post-Closure Costs</w:t>
      </w:r>
      <w:r>
        <w:rPr>
          <w:rFonts w:ascii="Arial" w:cs="Arial" w:eastAsia="Arial" w:hAnsi="Arial"/>
          <w:sz w:val="16"/>
          <w:szCs w:val="16"/>
          <w:color w:val="auto"/>
        </w:rPr>
        <w:t xml:space="preserve"> to our consolidated financial statements included under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 for further disclosure about final capping, closure and post-closure asset retirement costs, including revisions in estimates.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Our engineers, in consultation with third-party engineering consultants and surveyors, are responsible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permitted airspace at our landfills. The remaining permitted airspace is determined by an annual survey, which is then used to compare the existing landfill topography to the expected final landfill topography.</w:t>
      </w:r>
    </w:p>
    <w:p>
      <w:pPr>
        <w:spacing w:after="0" w:line="82" w:lineRule="exact"/>
        <w:rPr>
          <w:sz w:val="20"/>
          <w:szCs w:val="20"/>
          <w:color w:val="auto"/>
        </w:rPr>
      </w:pPr>
    </w:p>
    <w:p>
      <w:pPr>
        <w:ind w:right="780"/>
        <w:spacing w:after="0" w:line="266" w:lineRule="auto"/>
        <w:rPr>
          <w:sz w:val="20"/>
          <w:szCs w:val="20"/>
          <w:color w:val="auto"/>
        </w:rPr>
      </w:pPr>
      <w:r>
        <w:rPr>
          <w:rFonts w:ascii="Arial" w:cs="Arial" w:eastAsia="Arial" w:hAnsi="Arial"/>
          <w:sz w:val="18"/>
          <w:szCs w:val="18"/>
          <w:i w:val="1"/>
          <w:iCs w:val="1"/>
          <w:color w:val="auto"/>
        </w:rPr>
        <w:t xml:space="preserve">Expansion Airspace. </w:t>
      </w:r>
      <w:r>
        <w:rPr>
          <w:rFonts w:ascii="Arial" w:cs="Arial" w:eastAsia="Arial" w:hAnsi="Arial"/>
          <w:sz w:val="18"/>
          <w:szCs w:val="18"/>
          <w:color w:val="auto"/>
        </w:rPr>
        <w:t>We currently include unpermitted expansion airspace in our estimate of remaining permitted and expansion airspace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To be considered expansion airspace all of the following criteria must be met:</w:t>
      </w:r>
    </w:p>
    <w:p>
      <w:pPr>
        <w:spacing w:after="0" w:line="73" w:lineRule="exact"/>
        <w:rPr>
          <w:sz w:val="20"/>
          <w:szCs w:val="20"/>
          <w:color w:val="auto"/>
        </w:rPr>
      </w:pPr>
    </w:p>
    <w:p>
      <w:pPr>
        <w:ind w:left="480" w:hanging="314"/>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control the land on which the expansion is sought;</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technical siting criteria have been met or a variance has been obtained or is reasonably expected to be obtained;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not identified any legal or political impediments which we believe will not be resolved in our favor;</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actively working on obtaining any necessary permits and we expect that all required permits will be received; and</w:t>
      </w:r>
    </w:p>
    <w:p>
      <w:pPr>
        <w:spacing w:after="0" w:line="58" w:lineRule="exact"/>
        <w:rPr>
          <w:rFonts w:ascii="Arial" w:cs="Arial" w:eastAsia="Arial" w:hAnsi="Arial"/>
          <w:sz w:val="18"/>
          <w:szCs w:val="18"/>
          <w:color w:val="auto"/>
        </w:rPr>
      </w:pPr>
    </w:p>
    <w:p>
      <w:pPr>
        <w:ind w:left="480" w:right="160" w:hanging="314"/>
        <w:spacing w:after="0" w:line="266" w:lineRule="auto"/>
        <w:tabs>
          <w:tab w:leader="none" w:pos="4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senior management has approved the project based on a review of the engineering design and determination that the financial return profile meets our investment criteria.</w:t>
      </w:r>
    </w:p>
    <w:p>
      <w:pPr>
        <w:spacing w:after="0" w:line="7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 See Part I. Item 1. “</w:t>
      </w:r>
      <w:r>
        <w:rPr>
          <w:rFonts w:ascii="Arial" w:cs="Arial" w:eastAsia="Arial" w:hAnsi="Arial"/>
          <w:sz w:val="18"/>
          <w:szCs w:val="18"/>
          <w:i w:val="1"/>
          <w:iCs w:val="1"/>
          <w:color w:val="auto"/>
        </w:rPr>
        <w:t>Business</w:t>
      </w:r>
      <w:r>
        <w:rPr>
          <w:rFonts w:ascii="Arial" w:cs="Arial" w:eastAsia="Arial" w:hAnsi="Arial"/>
          <w:sz w:val="18"/>
          <w:szCs w:val="18"/>
          <w:color w:val="auto"/>
        </w:rPr>
        <w:t>” of this Annual Report on Form 10-K for more disclosure about permitted and permittable capacity at our landfills.</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spacing w:after="0" w:line="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We have recorded environmental remediation liabilities representing our estimate of the most likely outcome of the matters for which we have determined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that a liability is probable. These liabilities include potentially responsible party investigations, settlements, certain legal and consultant fees, as well as costs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directly associated with site investigation and clean up, such as materials and incremental internal costs directly related to the remedy. We provide for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expenses associated with environmental remediation obligations when such amounts are probable and can be reasonably estimated. We estimate costs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required to remediate sites where it is probable that a liability has been incurred based on site-specific facts and circumstances. Estimates of the cost for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likely remedy are developed using third-party environmental engineers or other service providers. Where we believe that both the amount of a particular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environmental remediation liability and timing of payments are reliably determinable, we inflate the cost in current dollars until the expected time of payment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discount the cost to present value. See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our consolidated financial statements included under Item 8.</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 for further disclosure about environmental remediation liabilities,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including revisions in estimates.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of Allowance for Credit Losses</w:t>
      </w:r>
    </w:p>
    <w:p>
      <w:pPr>
        <w:spacing w:after="0" w:line="11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Accounts receivable represent receivables from customers for collection, transfer, recycling, disposal and other services. Our accounts receivable are recorded when billed or when related revenue is earned, if earlier, and represent claims against third-parties that will be settled in cash. The carrying value of our accounts receivable, net of allowance for credit losses represents its estimated net realizable value. Estimates are used in determining our allowance for credit losses based on, among other things, our historical loss trends, the age of outstanding accounts receivable, and current and expected economic conditions. Additions charged to expense in fiscal year 2022 consider the current economic conditions and the potential impact to our customers’ ability to pay for services that we have provided. Our reserve is evaluated and revised on a monthly basis. Past due accounts receivable are written off when deemed to be uncollectible. See Note 6, </w:t>
      </w:r>
      <w:r>
        <w:rPr>
          <w:rFonts w:ascii="Arial" w:cs="Arial" w:eastAsia="Arial" w:hAnsi="Arial"/>
          <w:sz w:val="16"/>
          <w:szCs w:val="16"/>
          <w:i w:val="1"/>
          <w:iCs w:val="1"/>
          <w:color w:val="auto"/>
        </w:rPr>
        <w:t>Accounts Receivable, Net of Allowance for Credit Losses</w:t>
      </w:r>
      <w:r>
        <w:rPr>
          <w:rFonts w:ascii="Arial" w:cs="Arial" w:eastAsia="Arial" w:hAnsi="Arial"/>
          <w:sz w:val="16"/>
          <w:szCs w:val="16"/>
          <w:color w:val="auto"/>
        </w:rPr>
        <w:t xml:space="preserve"> to our consolidated financial statements under Item 8.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and Supplementary Data</w:t>
      </w:r>
      <w:r>
        <w:rPr>
          <w:rFonts w:ascii="Arial" w:cs="Arial" w:eastAsia="Arial" w:hAnsi="Arial"/>
          <w:sz w:val="16"/>
          <w:szCs w:val="16"/>
          <w:color w:val="auto"/>
        </w:rPr>
        <w:t>" of this Annual Report on Form 10-K for further disclosure about changes to the allowance for credit losses.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11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testing for goodwill impairment, we estimate the fair value of each reporting unit, which we have determined to be our geographic operating segments and our Resource Solutions operating segment, and compare the fair value with the carrying value of the net assets of each reporting unit. If the fair value is less than its carrying value, then we would recognize an impairment charge for the amount by which the carrying amount exceeds the reporting unit's fair value, noting that the amount is not to exceed the total amount of goodwill allocated to that reporting unit.</w:t>
      </w:r>
    </w:p>
    <w:p>
      <w:pPr>
        <w:spacing w:after="0" w:line="7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spacing w:after="0" w:line="8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elected to perform a quantitative analysis as part of our annual goodwill impairment test for fiscal year 2022. As of October 1, 2022, our Eastern, Western, and Resource Solutions reporting units indicated that the fair value of each reporting unit exceeded its carrying amount, including goodwill. Furthermore, in each case the fair value of our Eastern, Western, and Resource Solutions reporting units exceeded its carrying value by in excess of 67.0%. We incurred no impairment of goodwill as a result of our annual goodwill impairment tests in fiscal years 2022 or 2021. However, there can be no assurance that goodwill will not be impaired at any time in the future.</w:t>
      </w:r>
    </w:p>
    <w:p>
      <w:pPr>
        <w:spacing w:after="0" w:line="88" w:lineRule="exact"/>
        <w:rPr>
          <w:sz w:val="20"/>
          <w:szCs w:val="20"/>
          <w:color w:val="auto"/>
        </w:rPr>
      </w:pPr>
    </w:p>
    <w:p>
      <w:pPr>
        <w:jc w:val="both"/>
        <w:ind w:right="180"/>
        <w:spacing w:after="0" w:line="251" w:lineRule="auto"/>
        <w:rPr>
          <w:sz w:val="20"/>
          <w:szCs w:val="20"/>
          <w:color w:val="auto"/>
        </w:rPr>
      </w:pPr>
      <w:r>
        <w:rPr>
          <w:rFonts w:ascii="Arial" w:cs="Arial" w:eastAsia="Arial" w:hAnsi="Arial"/>
          <w:sz w:val="18"/>
          <w:szCs w:val="18"/>
          <w:color w:val="auto"/>
        </w:rPr>
        <w:t xml:space="preserve">Intangible assets consist primarily of covenants not-to-compete, customer relationships and trade names. Intangible assets are recorded at fair value and are amortized based on the economic benefit provided or using the sum of years digits or straight-line methods over their estimated useful lives. Covenants not-to-compete, customer relationships, and trade names are typically amortized over a term of no more than 10 years. See Note 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to our consolidated financial statements included under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 for further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Recovery of Long-Lived Assets</w:t>
      </w:r>
    </w:p>
    <w:p>
      <w:pPr>
        <w:spacing w:after="0" w:line="11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We continually assess whether events or changes in circumstances have occurred that may warrant revision of the estimated useful lives of our long-lived assets (other than goodwill) or whether the remaining balances of those assets should be evaluated for possible impairment. Long-lived assets include, for example, capitalized landfill costs, other property and equipment, identifiable intangible assets, and operating lease right-of-use assets. Events or changes in circumstances that may indicate that an asset may be impaired include the following:</w:t>
      </w:r>
    </w:p>
    <w:p>
      <w:pPr>
        <w:spacing w:after="0" w:line="18" w:lineRule="exact"/>
        <w:rPr>
          <w:sz w:val="20"/>
          <w:szCs w:val="20"/>
          <w:color w:val="auto"/>
        </w:rPr>
      </w:pPr>
    </w:p>
    <w:p>
      <w:pPr>
        <w:ind w:left="480" w:hanging="314"/>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58" w:lineRule="exact"/>
        <w:rPr>
          <w:rFonts w:ascii="Arial" w:cs="Arial" w:eastAsia="Arial" w:hAnsi="Arial"/>
          <w:sz w:val="18"/>
          <w:szCs w:val="18"/>
          <w:color w:val="auto"/>
        </w:rPr>
      </w:pPr>
    </w:p>
    <w:p>
      <w:pPr>
        <w:ind w:left="480" w:right="60" w:hanging="314"/>
        <w:spacing w:after="0" w:line="266" w:lineRule="auto"/>
        <w:tabs>
          <w:tab w:leader="none" w:pos="4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accumulation of costs significantly in excess of the amount originally expected for the acquisition or construction of a long-lived asset;</w:t>
      </w:r>
    </w:p>
    <w:p>
      <w:pPr>
        <w:spacing w:after="0" w:line="70" w:lineRule="exact"/>
        <w:rPr>
          <w:rFonts w:ascii="Arial" w:cs="Arial" w:eastAsia="Arial" w:hAnsi="Arial"/>
          <w:sz w:val="17"/>
          <w:szCs w:val="17"/>
          <w:color w:val="auto"/>
        </w:rPr>
      </w:pPr>
    </w:p>
    <w:p>
      <w:pPr>
        <w:ind w:left="480" w:right="460" w:hanging="314"/>
        <w:spacing w:after="0" w:line="266" w:lineRule="auto"/>
        <w:tabs>
          <w:tab w:leader="none" w:pos="4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0" w:hanging="314"/>
        <w:spacing w:after="0" w:line="266" w:lineRule="auto"/>
        <w:tabs>
          <w:tab w:leader="none" w:pos="4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 or</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impairment of goodwill at a reporting unit.</w:t>
      </w:r>
    </w:p>
    <w:p>
      <w:pPr>
        <w:spacing w:after="0" w:line="11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spacing w:after="0" w:line="8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spacing w:after="0" w:line="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 We incurred no impairment of long-lived assets in fiscal years 2022 or 2021. However, there can be no assurance that long-lived assets will not be impaired at any time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 and Related Costs</w:t>
      </w:r>
    </w:p>
    <w:p>
      <w:pPr>
        <w:spacing w:after="0" w:line="11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We are self-insured for vehicles and workers’ compensation with reinsurance coverage limiting our maximum exposure. In fiscal year 2022, our maximum exposure per individual event under the workers’ compensation plan was $1.25 million. In fiscal year 2022, our minimum and maximum exposure per individual event under the automobile plan were up to $1.50 million and $3.65 million, respectively. The liability for unpaid claims and associated expenses, including incurred but not reported losses, is determined by management with the assistance of a third-party actuary and reflected in our consolidated balance sheets as an accrued liability. We use a third-party to track and evaluate actual claims experience for consistency with the data used in the annual actuarial valuation. The actuarial-determined liability is calculated based on historical data, which considers both the frequency and settlement amount of claims. Our estimated accruals for these liabilities could be significantly different than our ultimate obligations if variables such as the frequency or severity of future events differ significantly from our assumptions. Our self-insurance reserves totaled $22.2 million and $19.8 million as of December 31, 2022 and December 31, 2021, respectively. Our estimated accruals for these liabilities could be significantly different than our ultimate obligations if variables such as the frequency or severity of future events differ significantly from our assumptions.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spacing w:after="0" w:line="75" w:lineRule="exact"/>
        <w:rPr>
          <w:sz w:val="20"/>
          <w:szCs w:val="20"/>
          <w:color w:val="auto"/>
        </w:rPr>
      </w:pPr>
    </w:p>
    <w:p>
      <w:pPr>
        <w:ind w:right="200"/>
        <w:spacing w:after="0" w:line="296" w:lineRule="auto"/>
        <w:rPr>
          <w:sz w:val="20"/>
          <w:szCs w:val="20"/>
          <w:color w:val="auto"/>
        </w:rPr>
      </w:pPr>
      <w:r>
        <w:rPr>
          <w:rFonts w:ascii="Arial" w:cs="Arial" w:eastAsia="Arial" w:hAnsi="Arial"/>
          <w:sz w:val="17"/>
          <w:szCs w:val="17"/>
          <w:color w:val="auto"/>
        </w:rPr>
        <w:t>We account for income tax uncertainties according to guidance on the recognition, derecognition and measurement of potential tax benefits associated with tax positions. We recognize interest and penalties relating to income tax matters as a component of income tax expense.</w:t>
      </w:r>
    </w:p>
    <w:p>
      <w:pPr>
        <w:spacing w:after="0" w:line="50"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 xml:space="preserve">See Note 17,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our consolidated financial statements included under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 for further disclosure, including the effect of the valuation allowance release.</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2"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 xml:space="preserve">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 See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disclosure about loss contingencies, as applicable. Contingent liabilities accounted for under purchase accounting are recorded at their fair values. These fair values may be different from the values we would have otherwise recorded, had the contingent liability not been assumed as part of an acquisition of a business. See Note 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Note 15, </w:t>
      </w: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to our consolidated financial statements included under Item 8. "</w:t>
      </w:r>
      <w:r>
        <w:rPr>
          <w:rFonts w:ascii="Arial" w:cs="Arial" w:eastAsia="Arial" w:hAnsi="Arial"/>
          <w:sz w:val="16"/>
          <w:szCs w:val="16"/>
          <w:i w:val="1"/>
          <w:iCs w:val="1"/>
          <w:color w:val="auto"/>
        </w:rPr>
        <w:t>Financial Statement and Supplementary Data</w:t>
      </w:r>
      <w:r>
        <w:rPr>
          <w:rFonts w:ascii="Arial" w:cs="Arial" w:eastAsia="Arial" w:hAnsi="Arial"/>
          <w:sz w:val="16"/>
          <w:szCs w:val="16"/>
          <w:color w:val="auto"/>
        </w:rPr>
        <w:t>"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 on Form 10-K for disclosure about contingent consideration accounted for under purchase accounting.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All share-based compensation cost is measured at the grant date, based on the estimated fair value of the award, and is recognized as expense-in general and administration expense over the employee’s requisite service period. For purposes of calculating stock-based compensation expense, forfeitures are accounted for as they occur. Our equity awards granted generally consist of stock options, restricted stock, restricted stock units and market-based performance stock units.</w:t>
      </w:r>
    </w:p>
    <w:p>
      <w:pPr>
        <w:spacing w:after="0" w:line="8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 xml:space="preserve">The fair value of each stock option grant is estimated using a Black-Scholes option-pricing model. The fair value of restricted stock and restricted stock unit grants is at a price equal to the fair market value of our Class A common stock at the date of grant. The fair value of market-based performance stock unit grants is valued using a Monte Carlo pricing model. See Note 14, </w:t>
      </w:r>
      <w:r>
        <w:rPr>
          <w:rFonts w:ascii="Arial" w:cs="Arial" w:eastAsia="Arial" w:hAnsi="Arial"/>
          <w:sz w:val="17"/>
          <w:szCs w:val="17"/>
          <w:i w:val="1"/>
          <w:iCs w:val="1"/>
          <w:color w:val="auto"/>
        </w:rPr>
        <w:t>Stockholders' Equity</w:t>
      </w:r>
      <w:r>
        <w:rPr>
          <w:rFonts w:ascii="Arial" w:cs="Arial" w:eastAsia="Arial" w:hAnsi="Arial"/>
          <w:sz w:val="17"/>
          <w:szCs w:val="17"/>
          <w:color w:val="auto"/>
        </w:rPr>
        <w:t xml:space="preserve"> to our consolidated financial statements included under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 for further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18"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8"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In the normal course of business we are exposed to market risks, including changes in diesel fuel prices, interest rates and certain commodity prices. We have a variety of strategies to mitigate these market risks, including those discussed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Price Risk</w:t>
      </w:r>
    </w:p>
    <w:p>
      <w:pPr>
        <w:spacing w:after="0" w:line="11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price and supply of fuel are unpredictable and fluctuate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and price escalations for fuel increase our operating expenses. We have a fuel cost recovery program, which is the energy component of our E&amp;E Fee that is designed to offset some or all of the impact of diesel fuel price increases above a periodically reset floor and contemplates a minimum customer participation level to cover changes in our fuel costs. The energy component of the E&amp;E Fee floats on a monthly basis based upon changes in a published diesel fuel price index and is tied to a price escalation index with a look-back provision, which results in a timing lag in our ability to match the changes in the fuel cost component of the fee to diesel fuel price fluctuations during periods of rapid price changes. In certain circumstances, a substantial rise or drop in fuel costs could materially affect our revenue and costs of operations. However, a substantial rise or drop in fuel costs should not have a material impact on our results of operations. In addition, we are susceptible to increases in fuel surcharges from our vendors.</w:t>
      </w:r>
    </w:p>
    <w:p>
      <w:pPr>
        <w:spacing w:after="0" w:line="6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Based on our consumption levels in the last twelve months ended December 31, 2022, after considering physically settled fuel contracts we believe a $0.50 cent per gallon change in the price of diesel fuel would change our direct fuel costs by approximately $4.8 million per year. Offsetting these changes in direct fuel expense would be changes in the energy component of the E&amp;E Fees charged to our customers. Based on participation rates as of December 31, 2022, we believe a $0.50 cent per gallon change in the price of diesel fuel would change the energy component of the E&amp;E Fee by approximately $5.3 million per year. In addition to direct fuel costs related to our consumption levels, we are also subject to fuel surcharge expense from third party transportation providers. Other operational costs and capital expenditures may also be impacted by fuel prices.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Our fuel costs were $48.3 million in 2022, or 4.4% of revenue, compared to $26.9 million in 2021, or 3.0% of revenue.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18"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We market a variety of materials, including fibers such as old corrugated cardboard and old newsprint, plastics, glass, ferrous and aluminum metals. We may use a number of strategies to mitigate impacts from these recycled material commodity price fluctuations including: (1) charging collection customers a floating SRA fee to reduce recycling commodity risks; (2) providing in-bound MRF customers with a revenue share or indexed materials purchases in higher commodity price markets, or charging these same customers a processing cost or tipping fee per ton in lower commodity price markets; (3) selling recycled commodities to out-bound MRF customers through floor price or fixed price agreements; or (4)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December 31, 2022, we were not party to any commodity hedging agreements.</w:t>
      </w:r>
    </w:p>
    <w:p>
      <w:pPr>
        <w:spacing w:after="0" w:line="75"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Should recycled material commodity prices change by $10 per ton, we estimate that our annual operating income margin would change by approximately $0.9 million annually.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58" w:lineRule="exact"/>
        <w:rPr>
          <w:sz w:val="20"/>
          <w:szCs w:val="20"/>
          <w:color w:val="auto"/>
        </w:rPr>
      </w:pPr>
    </w:p>
    <w:p>
      <w:pPr>
        <w:jc w:val="both"/>
        <w:ind w:right="300"/>
        <w:spacing w:after="0" w:line="303" w:lineRule="auto"/>
        <w:rPr>
          <w:sz w:val="20"/>
          <w:szCs w:val="20"/>
          <w:color w:val="auto"/>
        </w:rPr>
      </w:pPr>
      <w:r>
        <w:rPr>
          <w:rFonts w:ascii="Arial" w:cs="Arial" w:eastAsia="Arial" w:hAnsi="Arial"/>
          <w:sz w:val="16"/>
          <w:szCs w:val="16"/>
          <w:color w:val="auto"/>
        </w:rPr>
        <w:t>As of December 31, 2022 and December 31, 2021, our active interest rate derivative agreements had a total notional amount of $190.0 million and $195.0 million, respectively. According to the terms of the agreements, we receive interest based on the 1-month LIBOR index, in some instances restricted by a 0.0% floor, and pay interest at a weighted average rate of approximately 2.20%. The agreements mature between May 2023 and June 2027.</w:t>
      </w:r>
    </w:p>
    <w:p>
      <w:pPr>
        <w:spacing w:after="0" w:line="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December 31, 2021, we had forward starting interest rate derivative agreements with a total notional amount of $85.0 million outstanding. As of December 31, 2022, we have a forward starting interest rate derivative agreement with a total notional amount of $20.0 million. According to the terms of this agreement, we will receive interest based on the 1-month LIBOR index, restricted by a 0.0% floor, and will pay interest at a rate of 1.29%. The agreement matures in May 2028.</w:t>
      </w:r>
    </w:p>
    <w:p>
      <w:pPr>
        <w:spacing w:after="0" w:line="8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As of December 31, 2022, we have $247.5 million of fixed rate debt in addition to the $190.0 million fixed through our interest rate derivative agreements. We had interest rate risk relating to approximately $166.0 million of long-term debt as of December 31, 2022. The weighted average interest rate on the variable rate portion of long-term debt was approximately 5.4% at December 31, 2022. Should the average interest rate on the variable rate portion of long-term debt change by 100 basis points, we estimate that our annual interest expense would change by up to approximately $1.7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4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19"/>
                <w:szCs w:val="19"/>
                <w:color w:val="auto"/>
              </w:rPr>
            </w:pPr>
          </w:p>
        </w:tc>
      </w:tr>
      <w:tr>
        <w:trPr>
          <w:trHeight w:val="427"/>
        </w:trPr>
        <w:tc>
          <w:tcPr>
            <w:tcW w:w="1104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 (PCAOB ID: 49)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55</w:t>
            </w:r>
          </w:p>
        </w:tc>
      </w:tr>
      <w:tr>
        <w:trPr>
          <w:trHeight w:val="206"/>
        </w:trPr>
        <w:tc>
          <w:tcPr>
            <w:tcW w:w="11040" w:type="dxa"/>
            <w:vAlign w:val="bottom"/>
          </w:tcPr>
          <w:p>
            <w:pPr>
              <w:ind w:left="20"/>
              <w:spacing w:after="0"/>
              <w:rPr>
                <w:sz w:val="20"/>
                <w:szCs w:val="20"/>
                <w:color w:val="auto"/>
              </w:rPr>
            </w:pPr>
            <w:r>
              <w:rPr>
                <w:rFonts w:ascii="Arial" w:cs="Arial" w:eastAsia="Arial" w:hAnsi="Arial"/>
                <w:sz w:val="18"/>
                <w:szCs w:val="18"/>
                <w:color w:val="auto"/>
              </w:rPr>
              <w:t>Consolidated Balance Sheets as of December 31, 2022 and December 31, 2021.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58</w:t>
            </w:r>
          </w:p>
        </w:tc>
      </w:tr>
      <w:tr>
        <w:trPr>
          <w:trHeight w:val="206"/>
        </w:trPr>
        <w:tc>
          <w:tcPr>
            <w:tcW w:w="11040" w:type="dxa"/>
            <w:vAlign w:val="bottom"/>
          </w:tcPr>
          <w:p>
            <w:pPr>
              <w:ind w:left="20"/>
              <w:spacing w:after="0"/>
              <w:rPr>
                <w:sz w:val="20"/>
                <w:szCs w:val="20"/>
                <w:color w:val="auto"/>
              </w:rPr>
            </w:pPr>
            <w:r>
              <w:rPr>
                <w:rFonts w:ascii="Arial" w:cs="Arial" w:eastAsia="Arial" w:hAnsi="Arial"/>
                <w:sz w:val="18"/>
                <w:szCs w:val="18"/>
                <w:color w:val="auto"/>
              </w:rPr>
              <w:t>Consolidated Statements of Operations for the Fiscal Years Ended December 31, 2022, 2021 and 2020.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60</w:t>
            </w:r>
          </w:p>
        </w:tc>
      </w:tr>
      <w:tr>
        <w:trPr>
          <w:trHeight w:val="206"/>
        </w:trPr>
        <w:tc>
          <w:tcPr>
            <w:tcW w:w="11040" w:type="dxa"/>
            <w:vAlign w:val="bottom"/>
          </w:tcPr>
          <w:p>
            <w:pPr>
              <w:ind w:left="20"/>
              <w:spacing w:after="0"/>
              <w:rPr>
                <w:sz w:val="20"/>
                <w:szCs w:val="20"/>
                <w:color w:val="auto"/>
              </w:rPr>
            </w:pPr>
            <w:r>
              <w:rPr>
                <w:rFonts w:ascii="Arial" w:cs="Arial" w:eastAsia="Arial" w:hAnsi="Arial"/>
                <w:sz w:val="18"/>
                <w:szCs w:val="18"/>
                <w:color w:val="auto"/>
              </w:rPr>
              <w:t>Consolidated Statements of Comprehensive Income for the Fiscal Years Ended December 31, 2022, 2021 and 2020.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61</w:t>
            </w:r>
          </w:p>
        </w:tc>
      </w:tr>
      <w:tr>
        <w:trPr>
          <w:trHeight w:val="206"/>
        </w:trPr>
        <w:tc>
          <w:tcPr>
            <w:tcW w:w="11040" w:type="dxa"/>
            <w:vAlign w:val="bottom"/>
          </w:tcPr>
          <w:p>
            <w:pPr>
              <w:ind w:left="20"/>
              <w:spacing w:after="0"/>
              <w:rPr>
                <w:sz w:val="20"/>
                <w:szCs w:val="20"/>
                <w:color w:val="auto"/>
              </w:rPr>
            </w:pPr>
            <w:r>
              <w:rPr>
                <w:rFonts w:ascii="Arial" w:cs="Arial" w:eastAsia="Arial" w:hAnsi="Arial"/>
                <w:sz w:val="18"/>
                <w:szCs w:val="18"/>
                <w:color w:val="auto"/>
              </w:rPr>
              <w:t>Consolidated Statement of Stockholders’ Equity for the Fiscal Years Ended December 31, 2022, 2021 and 2020.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62</w:t>
            </w:r>
          </w:p>
        </w:tc>
      </w:tr>
      <w:tr>
        <w:trPr>
          <w:trHeight w:val="206"/>
        </w:trPr>
        <w:tc>
          <w:tcPr>
            <w:tcW w:w="11040" w:type="dxa"/>
            <w:vAlign w:val="bottom"/>
          </w:tcPr>
          <w:p>
            <w:pPr>
              <w:ind w:left="20"/>
              <w:spacing w:after="0"/>
              <w:rPr>
                <w:sz w:val="20"/>
                <w:szCs w:val="20"/>
                <w:color w:val="auto"/>
              </w:rPr>
            </w:pPr>
            <w:r>
              <w:rPr>
                <w:rFonts w:ascii="Arial" w:cs="Arial" w:eastAsia="Arial" w:hAnsi="Arial"/>
                <w:sz w:val="18"/>
                <w:szCs w:val="18"/>
                <w:color w:val="auto"/>
              </w:rPr>
              <w:t>Consolidated Statements of Cash Flows for the Fiscal Years Ended December 31, 2022, 2021 and 2020.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63</w:t>
            </w:r>
          </w:p>
        </w:tc>
      </w:tr>
      <w:tr>
        <w:trPr>
          <w:trHeight w:val="206"/>
        </w:trPr>
        <w:tc>
          <w:tcPr>
            <w:tcW w:w="11040" w:type="dxa"/>
            <w:vAlign w:val="bottom"/>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64</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Casella Waste Systems, Inc.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1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audited the accompanying consolidated balance sheets of Casella Waste Systems, Inc. and subsidiaries (the Company) as of December 31, 2022 and 2021, and the related consolidated statements of operations, comprehensive income, stockholders' equity and cash flows for each of the three years in the period ended December 31, 2022, and the related notes (collectively, the financial statements). We also have audited the Company’s internal control over financial reporting as of December 31, 2022, based on criteria established in Internal Control — Integrated Framework issued by the Committee of Sponsoring Organizations of the Treadway Commission in 2013.</w:t>
      </w:r>
    </w:p>
    <w:p>
      <w:pPr>
        <w:spacing w:after="0" w:line="8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the Company as of December 31, 2022 and 2021, and the results of their operations and their cash flows for each of the years in the three-year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issued by the Committee of Sponsoring Organizations of the Treadway Commission in 2013.</w:t>
      </w:r>
    </w:p>
    <w:p>
      <w:pPr>
        <w:spacing w:after="0" w:line="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discussed in Management’s Report on Internal Control Over Financial Reporting, management has excluded from its assessment of the effectiveness of internal control over financial reporting as of December 31, 2022: Dickson's Environmental Services, Inc. (Dickson), Northstar Pulp &amp; Paper, Co. Inc. and Northstar Disposal Corp. (collectively, Northstar), and Shanks Enterprises, Inc. (Shanks), because they were acquired by the Company during 2022 and have not yet been fully incorporated into the Company’s internal controls over financial reporting. We have also excluded Dickson, Northstar, and Shanks from our report of internal controls over financial reporting as of December 31, 2022. Collectively, Dickson, Northstar, and Shanks represent total assets and revenues of approximately 3% and 3%, respectively, of the related consolidated financial statement amounts as of and for the year ended December 31, 2022.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73"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60"/>
        <w:spacing w:after="0" w:line="362" w:lineRule="auto"/>
        <w:rPr>
          <w:sz w:val="20"/>
          <w:szCs w:val="20"/>
          <w:color w:val="auto"/>
        </w:rPr>
      </w:pPr>
      <w:r>
        <w:rPr>
          <w:rFonts w:ascii="Arial" w:cs="Arial" w:eastAsia="Arial" w:hAnsi="Arial"/>
          <w:sz w:val="18"/>
          <w:szCs w:val="18"/>
          <w:color w:val="auto"/>
        </w:rPr>
        <w:t xml:space="preserve">performing such other procedures as we considered necessary in the circumstances. We believe that our audits provide a reasonable basis for our opinions. </w:t>
      </w:r>
      <w:r>
        <w:rPr>
          <w:rFonts w:ascii="Arial" w:cs="Arial" w:eastAsia="Arial" w:hAnsi="Arial"/>
          <w:sz w:val="18"/>
          <w:szCs w:val="18"/>
          <w:b w:val="1"/>
          <w:bCs w:val="1"/>
          <w:color w:val="auto"/>
        </w:rPr>
        <w:t>Definition and Limitations of Internal Control Over Financial Reporting</w:t>
      </w:r>
    </w:p>
    <w:p>
      <w:pPr>
        <w:spacing w:after="0" w:line="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18"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Landfill Accounting</w:t>
      </w:r>
    </w:p>
    <w:p>
      <w:pPr>
        <w:spacing w:after="0" w:line="11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described in Note 3 of the consolidated financial statements, the Company capitalizes landfill acquisition and development costs and charges those costs to expense on a units-of-consumption method as landfill airspace is consumed. In addition, the Company accrues an asset retirement obligation for estimated capping, closure and post-closure costs related to its landfills. As described in Note 7 of the consolidated financial statements, as of December 31, 2022, the Company’s landfill assets totaled $730.9 million, and the associated amortization expense for the year ended December 31, 2022 was $31.6 million. As described in Note 10 of the consolidated financial statements, as of December 31, 2022, the Company estimated its accrued capping, closure and post-closure costs at $113.7 million. The landfill asset amortization and accrued capping, closure and post-closure costs are based on estimates of future cash flows, which require significant assumptions and estimates about the future operations and retirement of each landfill. Management estimates the costs and timing of expected future cash flows based on various assumptions at each individual landfill including:</w:t>
      </w:r>
    </w:p>
    <w:p>
      <w:pPr>
        <w:spacing w:after="0" w:line="13" w:lineRule="exact"/>
        <w:rPr>
          <w:sz w:val="20"/>
          <w:szCs w:val="20"/>
          <w:color w:val="auto"/>
        </w:rPr>
      </w:pPr>
    </w:p>
    <w:p>
      <w:pPr>
        <w:ind w:left="640" w:hanging="315"/>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future landfill development costs, as well as costs associated with the final capping, closure and post closure activities.</w:t>
      </w:r>
    </w:p>
    <w:p>
      <w:pPr>
        <w:spacing w:after="0" w:line="58" w:lineRule="exact"/>
        <w:rPr>
          <w:rFonts w:ascii="Arial" w:cs="Arial" w:eastAsia="Arial" w:hAnsi="Arial"/>
          <w:sz w:val="18"/>
          <w:szCs w:val="18"/>
          <w:color w:val="auto"/>
        </w:rPr>
      </w:pPr>
    </w:p>
    <w:p>
      <w:pPr>
        <w:ind w:left="640" w:right="80" w:hanging="315"/>
        <w:spacing w:after="0" w:line="266"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Remaining permitted and unpermitted expansion airspace, which is estimated by Company engineers, in consultation with third-party engineers and surveyors, who utilize annual aerial surveys.</w:t>
      </w:r>
    </w:p>
    <w:p>
      <w:pPr>
        <w:spacing w:after="0" w:line="19" w:lineRule="exact"/>
        <w:rPr>
          <w:rFonts w:ascii="Arial" w:cs="Arial" w:eastAsia="Arial" w:hAnsi="Arial"/>
          <w:sz w:val="18"/>
          <w:szCs w:val="18"/>
          <w:color w:val="auto"/>
        </w:rPr>
      </w:pPr>
    </w:p>
    <w:p>
      <w:pPr>
        <w:ind w:left="640" w:right="280" w:hanging="315"/>
        <w:spacing w:after="0" w:line="266"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Compaction factors, or airspace utilization factors (AUF), which are estimated using a process that considers the measured density obtained from annual aerial surveys.</w:t>
      </w:r>
    </w:p>
    <w:p>
      <w:pPr>
        <w:spacing w:after="0" w:line="19" w:lineRule="exact"/>
        <w:rPr>
          <w:rFonts w:ascii="Arial" w:cs="Arial" w:eastAsia="Arial" w:hAnsi="Arial"/>
          <w:sz w:val="18"/>
          <w:szCs w:val="18"/>
          <w:color w:val="auto"/>
        </w:rPr>
      </w:pPr>
    </w:p>
    <w:p>
      <w:pPr>
        <w:ind w:left="640" w:hanging="315"/>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Inflation rates and the credit adjusted risk-free rate</w:t>
      </w:r>
    </w:p>
    <w:p>
      <w:pPr>
        <w:spacing w:after="0" w:line="112"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We identified the Company’s landfill asset amortization expense and accrued capping, closure and post-closure costs as a critical audit matter because of the significant assumptions and judgments made by management. Auditing management’s assumptions and judgements involved a high degree of auditor judgment and increased audit effort due to the impact these assumptions have on the amounts recorded by the Company.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landfill asset amortization expense and accrued capping, closure and post-closure costs included the following, among others:</w:t>
      </w:r>
    </w:p>
    <w:p>
      <w:pPr>
        <w:spacing w:after="0" w:line="82" w:lineRule="exact"/>
        <w:rPr>
          <w:sz w:val="20"/>
          <w:szCs w:val="20"/>
          <w:color w:val="auto"/>
        </w:rPr>
      </w:pPr>
    </w:p>
    <w:p>
      <w:pPr>
        <w:ind w:left="640" w:right="160" w:hanging="315"/>
        <w:spacing w:after="0" w:line="300" w:lineRule="auto"/>
        <w:tabs>
          <w:tab w:leader="none" w:pos="6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obtained an understanding of the relevant controls related to landfill asset amortization expense and accrued capping, closure and post-closure costs and tested such controls for design and operating effectiveness, including those over the determination of the appropriate credit adjusted risk-free and inflation rates, compaction factors, the amount and timing of expected future cash flows, and permitted and unpermitted airspace.</w:t>
      </w:r>
    </w:p>
    <w:p>
      <w:pPr>
        <w:spacing w:after="0" w:line="1" w:lineRule="exact"/>
        <w:rPr>
          <w:rFonts w:ascii="Arial" w:cs="Arial" w:eastAsia="Arial" w:hAnsi="Arial"/>
          <w:sz w:val="16"/>
          <w:szCs w:val="16"/>
          <w:color w:val="auto"/>
        </w:rPr>
      </w:pPr>
    </w:p>
    <w:p>
      <w:pPr>
        <w:ind w:left="640" w:right="180" w:hanging="315"/>
        <w:spacing w:after="0" w:line="266"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tested internal and external data used by management in the future cost estimates for both the calculation of landfill asset amortization expense rates and capping, closure and post-closure activities, by evaluating the reasons for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0" w:right="20"/>
        <w:spacing w:after="0" w:line="266" w:lineRule="auto"/>
        <w:rPr>
          <w:sz w:val="20"/>
          <w:szCs w:val="20"/>
          <w:color w:val="auto"/>
        </w:rPr>
      </w:pPr>
      <w:r>
        <w:rPr>
          <w:rFonts w:ascii="Arial" w:cs="Arial" w:eastAsia="Arial" w:hAnsi="Arial"/>
          <w:sz w:val="18"/>
          <w:szCs w:val="18"/>
          <w:color w:val="auto"/>
        </w:rPr>
        <w:t>significant changes in assumptions from historical trends and determined whether the change from the historical trend was appropriate and identified in the proper period.</w:t>
      </w:r>
    </w:p>
    <w:p>
      <w:pPr>
        <w:spacing w:after="0" w:line="20" w:lineRule="exact"/>
        <w:rPr>
          <w:sz w:val="20"/>
          <w:szCs w:val="20"/>
          <w:color w:val="auto"/>
        </w:rPr>
      </w:pPr>
    </w:p>
    <w:p>
      <w:pPr>
        <w:ind w:left="640" w:right="100" w:hanging="315"/>
        <w:spacing w:after="0" w:line="256"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confirmed the landfill topography drawings and results of aerial surveys directly with the third-party engineers. We agreed relevant data outputs from the topography drawings, such as permitted and unpermitted expansion airspace, to the relevant data inputs in management’s estimates of future cash flows.</w:t>
      </w:r>
    </w:p>
    <w:p>
      <w:pPr>
        <w:spacing w:after="0" w:line="29" w:lineRule="exact"/>
        <w:rPr>
          <w:rFonts w:ascii="Arial" w:cs="Arial" w:eastAsia="Arial" w:hAnsi="Arial"/>
          <w:sz w:val="18"/>
          <w:szCs w:val="18"/>
          <w:color w:val="auto"/>
        </w:rPr>
      </w:pPr>
    </w:p>
    <w:p>
      <w:pPr>
        <w:ind w:left="640" w:right="60" w:hanging="315"/>
        <w:spacing w:after="0" w:line="266"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compared remaining permitted airspace to issued permits and evaluated management’s determination of unpermitted expansion airspace through a comparison of airspace and annual aerial surveys.</w:t>
      </w:r>
    </w:p>
    <w:p>
      <w:pPr>
        <w:spacing w:after="0" w:line="19" w:lineRule="exact"/>
        <w:rPr>
          <w:rFonts w:ascii="Arial" w:cs="Arial" w:eastAsia="Arial" w:hAnsi="Arial"/>
          <w:sz w:val="18"/>
          <w:szCs w:val="18"/>
          <w:color w:val="auto"/>
        </w:rPr>
      </w:pPr>
    </w:p>
    <w:p>
      <w:pPr>
        <w:ind w:left="640" w:right="100" w:hanging="315"/>
        <w:spacing w:after="0" w:line="266"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compared the results of the compaction factors calculated by aerial surveys to the factors utilized by management in the estimates of future cash flows.</w:t>
      </w:r>
    </w:p>
    <w:p>
      <w:pPr>
        <w:spacing w:after="0" w:line="19" w:lineRule="exact"/>
        <w:rPr>
          <w:rFonts w:ascii="Arial" w:cs="Arial" w:eastAsia="Arial" w:hAnsi="Arial"/>
          <w:sz w:val="18"/>
          <w:szCs w:val="18"/>
          <w:color w:val="auto"/>
        </w:rPr>
      </w:pPr>
    </w:p>
    <w:p>
      <w:pPr>
        <w:ind w:left="640" w:right="480" w:hanging="315"/>
        <w:spacing w:after="0" w:line="266"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assessed the appropriateness of the methodology used by management in developing the inflation rate, and we tested the completeness and accuracy of the underlying data utilized by management.</w:t>
      </w:r>
    </w:p>
    <w:p>
      <w:pPr>
        <w:spacing w:after="0" w:line="1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evaluated the appropriateness of the methodology used by management in developing the credit adjusted risk-free rate and tested it by comparing the Company’s credit adjusted risk-free rate to an independent data source.</w:t>
      </w:r>
    </w:p>
    <w:p>
      <w:pPr>
        <w:spacing w:after="0" w:line="19" w:lineRule="exact"/>
        <w:rPr>
          <w:rFonts w:ascii="Arial" w:cs="Arial" w:eastAsia="Arial" w:hAnsi="Arial"/>
          <w:sz w:val="18"/>
          <w:szCs w:val="18"/>
          <w:color w:val="auto"/>
        </w:rPr>
      </w:pPr>
    </w:p>
    <w:p>
      <w:pPr>
        <w:ind w:left="640" w:hanging="315"/>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assessed the qualifications, reputation, and objectivity of management’s third-party engineering specialists.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60" w:type="dxa"/>
            <w:vAlign w:val="bottom"/>
          </w:tcPr>
          <w:p>
            <w:pPr>
              <w:jc w:val="right"/>
              <w:ind w:right="313"/>
              <w:spacing w:after="0"/>
              <w:rPr>
                <w:sz w:val="20"/>
                <w:szCs w:val="20"/>
                <w:color w:val="auto"/>
              </w:rPr>
            </w:pPr>
            <w:r>
              <w:rPr>
                <w:rFonts w:ascii="Arial" w:cs="Arial" w:eastAsia="Arial" w:hAnsi="Arial"/>
                <w:sz w:val="14"/>
                <w:szCs w:val="14"/>
                <w:b w:val="1"/>
                <w:bCs w:val="1"/>
                <w:color w:val="auto"/>
              </w:rPr>
              <w:t>December 31,</w:t>
            </w:r>
          </w:p>
        </w:tc>
      </w:tr>
      <w:tr>
        <w:trPr>
          <w:trHeight w:val="190"/>
        </w:trPr>
        <w:tc>
          <w:tcPr>
            <w:tcW w:w="78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r>
      <w:tr>
        <w:trPr>
          <w:trHeight w:val="212"/>
        </w:trPr>
        <w:tc>
          <w:tcPr>
            <w:tcW w:w="7880" w:type="dxa"/>
            <w:vAlign w:val="bottom"/>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33,809</w:t>
            </w:r>
          </w:p>
        </w:tc>
      </w:tr>
      <w:tr>
        <w:trPr>
          <w:trHeight w:val="225"/>
        </w:trPr>
        <w:tc>
          <w:tcPr>
            <w:tcW w:w="7880" w:type="dxa"/>
            <w:vAlign w:val="bottom"/>
          </w:tcPr>
          <w:p>
            <w:pPr>
              <w:ind w:left="660"/>
              <w:spacing w:after="0"/>
              <w:rPr>
                <w:sz w:val="20"/>
                <w:szCs w:val="20"/>
                <w:color w:val="auto"/>
              </w:rPr>
            </w:pPr>
            <w:r>
              <w:rPr>
                <w:rFonts w:ascii="Arial" w:cs="Arial" w:eastAsia="Arial" w:hAnsi="Arial"/>
                <w:sz w:val="18"/>
                <w:szCs w:val="18"/>
                <w:color w:val="auto"/>
              </w:rPr>
              <w:t>Accounts receivable, net of allowance for credit losses of $3,016 and $3,276, respectively</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100,886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86,979</w:t>
            </w: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12,766</w:t>
            </w:r>
          </w:p>
        </w:tc>
      </w:tr>
      <w:tr>
        <w:trPr>
          <w:trHeight w:val="225"/>
        </w:trPr>
        <w:tc>
          <w:tcPr>
            <w:tcW w:w="7880" w:type="dxa"/>
            <w:vAlign w:val="bottom"/>
          </w:tcPr>
          <w:p>
            <w:pPr>
              <w:ind w:left="66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9,729</w:t>
            </w: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r>
      <w:tr>
        <w:trPr>
          <w:trHeight w:val="219"/>
        </w:trPr>
        <w:tc>
          <w:tcPr>
            <w:tcW w:w="7880" w:type="dxa"/>
            <w:vAlign w:val="bottom"/>
          </w:tcPr>
          <w:p>
            <w:pPr>
              <w:ind w:left="20"/>
              <w:spacing w:after="0" w:line="205"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207,479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146,479</w:t>
            </w:r>
          </w:p>
        </w:tc>
      </w:tr>
      <w:tr>
        <w:trPr>
          <w:trHeight w:val="188"/>
        </w:trPr>
        <w:tc>
          <w:tcPr>
            <w:tcW w:w="788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w w:val="89"/>
              </w:rPr>
              <w:t>Property, plant and equipment, net of accumulated depreciation and amortization of $1,064,756 and $973,094,</w:t>
            </w: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644,604</w:t>
            </w: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92,063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93,799</w:t>
            </w:r>
          </w:p>
        </w:tc>
      </w:tr>
      <w:tr>
        <w:trPr>
          <w:trHeight w:val="227"/>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232,860</w:t>
            </w: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91,783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93,723</w:t>
            </w:r>
          </w:p>
        </w:tc>
      </w:tr>
      <w:tr>
        <w:trPr>
          <w:trHeight w:val="227"/>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assets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Cost method investments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11,264</w:t>
            </w:r>
          </w:p>
        </w:tc>
      </w:tr>
      <w:tr>
        <w:trPr>
          <w:trHeight w:val="227"/>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43,957</w:t>
            </w:r>
          </w:p>
        </w:tc>
      </w:tr>
      <w:tr>
        <w:trPr>
          <w:trHeight w:val="225"/>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14,772</w:t>
            </w:r>
          </w:p>
        </w:tc>
      </w:tr>
      <w:tr>
        <w:trPr>
          <w:trHeight w:val="244"/>
        </w:trPr>
        <w:tc>
          <w:tcPr>
            <w:tcW w:w="7880" w:type="dxa"/>
            <w:vAlign w:val="bottom"/>
            <w:tcBorders>
              <w:bottom w:val="single" w:sz="8" w:color="CCEEFF"/>
            </w:tcBorders>
            <w:shd w:val="clear" w:color="auto" w:fill="CCEEFF"/>
          </w:tcPr>
          <w:p>
            <w:pPr>
              <w:ind w:left="340"/>
              <w:spacing w:after="0" w:line="206"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1,449,215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1,283,580</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60" w:type="dxa"/>
            <w:vAlign w:val="bottom"/>
          </w:tcPr>
          <w:p>
            <w:pPr>
              <w:jc w:val="right"/>
              <w:ind w:right="313"/>
              <w:spacing w:after="0"/>
              <w:rPr>
                <w:sz w:val="20"/>
                <w:szCs w:val="20"/>
                <w:color w:val="auto"/>
              </w:rPr>
            </w:pPr>
            <w:r>
              <w:rPr>
                <w:rFonts w:ascii="Arial" w:cs="Arial" w:eastAsia="Arial" w:hAnsi="Arial"/>
                <w:sz w:val="14"/>
                <w:szCs w:val="14"/>
                <w:b w:val="1"/>
                <w:bCs w:val="1"/>
                <w:color w:val="auto"/>
              </w:rPr>
              <w:t>December 31,</w:t>
            </w:r>
          </w:p>
        </w:tc>
      </w:tr>
      <w:tr>
        <w:trPr>
          <w:trHeight w:val="190"/>
        </w:trPr>
        <w:tc>
          <w:tcPr>
            <w:tcW w:w="78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r>
      <w:tr>
        <w:trPr>
          <w:trHeight w:val="212"/>
        </w:trPr>
        <w:tc>
          <w:tcPr>
            <w:tcW w:w="7880" w:type="dxa"/>
            <w:vAlign w:val="bottom"/>
            <w:shd w:val="clear" w:color="auto" w:fill="CCEEFF"/>
          </w:tcPr>
          <w:p>
            <w:pPr>
              <w:ind w:left="20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maturities of debt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r>
      <w:tr>
        <w:trPr>
          <w:trHeight w:val="225"/>
        </w:trPr>
        <w:tc>
          <w:tcPr>
            <w:tcW w:w="7880" w:type="dxa"/>
            <w:vAlign w:val="bottom"/>
          </w:tcPr>
          <w:p>
            <w:pPr>
              <w:ind w:left="66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7,307</w:t>
            </w: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63,086</w:t>
            </w:r>
          </w:p>
        </w:tc>
      </w:tr>
      <w:tr>
        <w:trPr>
          <w:trHeight w:val="225"/>
        </w:trPr>
        <w:tc>
          <w:tcPr>
            <w:tcW w:w="7880" w:type="dxa"/>
            <w:vAlign w:val="bottom"/>
          </w:tcPr>
          <w:p>
            <w:pPr>
              <w:ind w:left="660"/>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22,210</w:t>
            </w: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r>
      <w:tr>
        <w:trPr>
          <w:trHeight w:val="225"/>
        </w:trPr>
        <w:tc>
          <w:tcPr>
            <w:tcW w:w="7880" w:type="dxa"/>
            <w:vAlign w:val="bottom"/>
          </w:tcPr>
          <w:p>
            <w:pPr>
              <w:ind w:left="66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3,404</w:t>
            </w: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accrued capping, closure and post-closure costs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w:t>
            </w:r>
          </w:p>
        </w:tc>
      </w:tr>
      <w:tr>
        <w:trPr>
          <w:trHeight w:val="225"/>
        </w:trPr>
        <w:tc>
          <w:tcPr>
            <w:tcW w:w="78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36,328</w:t>
            </w:r>
          </w:p>
        </w:tc>
      </w:tr>
      <w:tr>
        <w:trPr>
          <w:trHeight w:val="220"/>
        </w:trPr>
        <w:tc>
          <w:tcPr>
            <w:tcW w:w="78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152,193</w:t>
            </w: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585,015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542,503</w:t>
            </w:r>
          </w:p>
        </w:tc>
      </w:tr>
      <w:tr>
        <w:trPr>
          <w:trHeight w:val="227"/>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56,375</w:t>
            </w: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102,642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78,999</w:t>
            </w:r>
          </w:p>
        </w:tc>
      </w:tr>
      <w:tr>
        <w:trPr>
          <w:trHeight w:val="227"/>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30,185</w:t>
            </w:r>
          </w:p>
        </w:tc>
      </w:tr>
      <w:tr>
        <w:trPr>
          <w:trHeight w:val="227"/>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88"/>
        </w:trPr>
        <w:tc>
          <w:tcPr>
            <w:tcW w:w="7880" w:type="dxa"/>
            <w:vAlign w:val="bottom"/>
            <w:shd w:val="clear" w:color="auto" w:fill="CCEEFF"/>
          </w:tcPr>
          <w:p>
            <w:pPr>
              <w:ind w:left="660"/>
              <w:spacing w:after="0" w:line="188" w:lineRule="exact"/>
              <w:rPr>
                <w:sz w:val="20"/>
                <w:szCs w:val="20"/>
                <w:color w:val="auto"/>
              </w:rPr>
            </w:pPr>
            <w:r>
              <w:rPr>
                <w:rFonts w:ascii="Arial" w:cs="Arial" w:eastAsia="Arial" w:hAnsi="Arial"/>
                <w:sz w:val="18"/>
                <w:szCs w:val="18"/>
                <w:color w:val="auto"/>
                <w:w w:val="90"/>
              </w:rPr>
              <w:t>Class A common stock, $0.01 par value per share; 100,000,000 shares authorized; 50,704,000 and</w:t>
            </w: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25"/>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50,423,000 shares issued and outstanding, respectively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187"/>
        </w:trPr>
        <w:tc>
          <w:tcPr>
            <w:tcW w:w="7880" w:type="dxa"/>
            <w:vAlign w:val="bottom"/>
          </w:tcPr>
          <w:p>
            <w:pPr>
              <w:ind w:left="660"/>
              <w:spacing w:after="0" w:line="187" w:lineRule="exact"/>
              <w:rPr>
                <w:sz w:val="20"/>
                <w:szCs w:val="20"/>
                <w:color w:val="auto"/>
              </w:rPr>
            </w:pPr>
            <w:r>
              <w:rPr>
                <w:rFonts w:ascii="Arial" w:cs="Arial" w:eastAsia="Arial" w:hAnsi="Arial"/>
                <w:sz w:val="18"/>
                <w:szCs w:val="18"/>
                <w:color w:val="auto"/>
                <w:w w:val="93"/>
              </w:rPr>
              <w:t>Class B common stock, $0.01 par value per share; 1,000,000 shares authorized; 988,000 shares</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5"/>
        </w:trPr>
        <w:tc>
          <w:tcPr>
            <w:tcW w:w="7880" w:type="dxa"/>
            <w:vAlign w:val="bottom"/>
          </w:tcPr>
          <w:p>
            <w:pPr>
              <w:ind w:left="660"/>
              <w:spacing w:after="0"/>
              <w:rPr>
                <w:sz w:val="20"/>
                <w:szCs w:val="20"/>
                <w:color w:val="auto"/>
              </w:rPr>
            </w:pPr>
            <w:r>
              <w:rPr>
                <w:rFonts w:ascii="Arial" w:cs="Arial" w:eastAsia="Arial" w:hAnsi="Arial"/>
                <w:sz w:val="18"/>
                <w:szCs w:val="18"/>
                <w:color w:val="auto"/>
              </w:rPr>
              <w:t>issued and outstanding; 10 votes per share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652,045</w:t>
            </w:r>
          </w:p>
        </w:tc>
      </w:tr>
      <w:tr>
        <w:trPr>
          <w:trHeight w:val="225"/>
        </w:trPr>
        <w:tc>
          <w:tcPr>
            <w:tcW w:w="7880" w:type="dxa"/>
            <w:vAlign w:val="bottom"/>
          </w:tcPr>
          <w:p>
            <w:pPr>
              <w:ind w:left="6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(171,920)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(224,999)</w:t>
            </w: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Accumulated 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r>
      <w:tr>
        <w:trPr>
          <w:trHeight w:val="219"/>
        </w:trPr>
        <w:tc>
          <w:tcPr>
            <w:tcW w:w="788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422,457</w:t>
            </w:r>
          </w:p>
        </w:tc>
      </w:tr>
      <w:tr>
        <w:trPr>
          <w:trHeight w:val="244"/>
        </w:trPr>
        <w:tc>
          <w:tcPr>
            <w:tcW w:w="7880" w:type="dxa"/>
            <w:vAlign w:val="bottom"/>
            <w:tcBorders>
              <w:bottom w:val="single" w:sz="8" w:color="CCEEFF"/>
            </w:tcBorders>
            <w:shd w:val="clear" w:color="auto" w:fill="CCEEFF"/>
          </w:tcPr>
          <w:p>
            <w:pPr>
              <w:ind w:left="340"/>
              <w:spacing w:after="0" w:line="206" w:lineRule="exact"/>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1,449,215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1,283,580</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77"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Fiscal Year Ended</w:t>
      </w:r>
    </w:p>
    <w:p>
      <w:pPr>
        <w:spacing w:after="0" w:line="1"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774,584</w:t>
            </w:r>
          </w:p>
        </w:tc>
        <w:tc>
          <w:tcPr>
            <w:tcW w:w="0" w:type="dxa"/>
            <w:vAlign w:val="bottom"/>
          </w:tcPr>
          <w:p>
            <w:pPr>
              <w:spacing w:after="0"/>
              <w:rPr>
                <w:sz w:val="1"/>
                <w:szCs w:val="1"/>
                <w:color w:val="auto"/>
              </w:rPr>
            </w:pPr>
          </w:p>
        </w:tc>
      </w:tr>
      <w:tr>
        <w:trPr>
          <w:trHeight w:val="225"/>
        </w:trPr>
        <w:tc>
          <w:tcPr>
            <w:tcW w:w="7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515,646</w:t>
            </w:r>
          </w:p>
        </w:tc>
        <w:tc>
          <w:tcPr>
            <w:tcW w:w="0" w:type="dxa"/>
            <w:vAlign w:val="bottom"/>
          </w:tcPr>
          <w:p>
            <w:pPr>
              <w:spacing w:after="0"/>
              <w:rPr>
                <w:sz w:val="1"/>
                <w:szCs w:val="1"/>
                <w:color w:val="auto"/>
              </w:rPr>
            </w:pPr>
          </w:p>
        </w:tc>
      </w:tr>
      <w:tr>
        <w:trPr>
          <w:trHeight w:val="225"/>
        </w:trPr>
        <w:tc>
          <w:tcPr>
            <w:tcW w:w="7040" w:type="dxa"/>
            <w:vAlign w:val="bottom"/>
          </w:tcPr>
          <w:p>
            <w:pPr>
              <w:ind w:left="340"/>
              <w:spacing w:after="0"/>
              <w:rPr>
                <w:sz w:val="20"/>
                <w:szCs w:val="20"/>
                <w:color w:val="auto"/>
              </w:rPr>
            </w:pPr>
            <w:r>
              <w:rPr>
                <w:rFonts w:ascii="Arial" w:cs="Arial" w:eastAsia="Arial" w:hAnsi="Arial"/>
                <w:sz w:val="18"/>
                <w:szCs w:val="18"/>
                <w:color w:val="auto"/>
              </w:rPr>
              <w:t>General and administration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133,419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118,834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102,410</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90,782</w:t>
            </w:r>
          </w:p>
        </w:tc>
        <w:tc>
          <w:tcPr>
            <w:tcW w:w="0" w:type="dxa"/>
            <w:vAlign w:val="bottom"/>
          </w:tcPr>
          <w:p>
            <w:pPr>
              <w:spacing w:after="0"/>
              <w:rPr>
                <w:sz w:val="1"/>
                <w:szCs w:val="1"/>
                <w:color w:val="auto"/>
              </w:rPr>
            </w:pPr>
          </w:p>
        </w:tc>
      </w:tr>
      <w:tr>
        <w:trPr>
          <w:trHeight w:val="225"/>
        </w:trPr>
        <w:tc>
          <w:tcPr>
            <w:tcW w:w="7040" w:type="dxa"/>
            <w:vAlign w:val="bottom"/>
          </w:tcPr>
          <w:p>
            <w:pPr>
              <w:ind w:left="340"/>
              <w:spacing w:after="0"/>
              <w:rPr>
                <w:sz w:val="20"/>
                <w:szCs w:val="20"/>
                <w:color w:val="auto"/>
              </w:rPr>
            </w:pPr>
            <w:r>
              <w:rPr>
                <w:rFonts w:ascii="Arial" w:cs="Arial" w:eastAsia="Arial" w:hAnsi="Arial"/>
                <w:sz w:val="18"/>
                <w:szCs w:val="18"/>
                <w:color w:val="auto"/>
              </w:rPr>
              <w:t>Expense from acquisition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Southbridge Landfill closure charge,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25"/>
        </w:trPr>
        <w:tc>
          <w:tcPr>
            <w:tcW w:w="7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Environmental remediation charge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0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989,695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811,551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715,287</w:t>
            </w:r>
          </w:p>
        </w:tc>
        <w:tc>
          <w:tcPr>
            <w:tcW w:w="0" w:type="dxa"/>
            <w:vAlign w:val="bottom"/>
          </w:tcPr>
          <w:p>
            <w:pPr>
              <w:spacing w:after="0"/>
              <w:rPr>
                <w:sz w:val="1"/>
                <w:szCs w:val="1"/>
                <w:color w:val="auto"/>
              </w:rPr>
            </w:pPr>
          </w:p>
        </w:tc>
      </w:tr>
      <w:tr>
        <w:trPr>
          <w:trHeight w:val="219"/>
        </w:trPr>
        <w:tc>
          <w:tcPr>
            <w:tcW w:w="704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59,297</w:t>
            </w: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Other expense (income):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22,371</w:t>
            </w:r>
          </w:p>
        </w:tc>
        <w:tc>
          <w:tcPr>
            <w:tcW w:w="0" w:type="dxa"/>
            <w:vAlign w:val="bottom"/>
          </w:tcPr>
          <w:p>
            <w:pPr>
              <w:spacing w:after="0"/>
              <w:rPr>
                <w:sz w:val="1"/>
                <w:szCs w:val="1"/>
                <w:color w:val="auto"/>
              </w:rPr>
            </w:pPr>
          </w:p>
        </w:tc>
      </w:tr>
      <w:tr>
        <w:trPr>
          <w:trHeight w:val="225"/>
        </w:trPr>
        <w:tc>
          <w:tcPr>
            <w:tcW w:w="7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20"/>
        </w:trPr>
        <w:tc>
          <w:tcPr>
            <w:tcW w:w="7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19"/>
        </w:trPr>
        <w:tc>
          <w:tcPr>
            <w:tcW w:w="7040" w:type="dxa"/>
            <w:vAlign w:val="bottom"/>
          </w:tcPr>
          <w:p>
            <w:pPr>
              <w:ind w:left="20"/>
              <w:spacing w:after="0" w:line="205" w:lineRule="exact"/>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58,046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38,302</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(52,804)</w:t>
            </w:r>
          </w:p>
        </w:tc>
        <w:tc>
          <w:tcPr>
            <w:tcW w:w="0" w:type="dxa"/>
            <w:vAlign w:val="bottom"/>
          </w:tcPr>
          <w:p>
            <w:pPr>
              <w:spacing w:after="0"/>
              <w:rPr>
                <w:sz w:val="1"/>
                <w:szCs w:val="1"/>
                <w:color w:val="auto"/>
              </w:rPr>
            </w:pPr>
          </w:p>
        </w:tc>
      </w:tr>
      <w:tr>
        <w:trPr>
          <w:trHeight w:val="193"/>
        </w:trPr>
        <w:tc>
          <w:tcPr>
            <w:tcW w:w="7040" w:type="dxa"/>
            <w:vAlign w:val="bottom"/>
          </w:tcPr>
          <w:p>
            <w:pPr>
              <w:ind w:left="20"/>
              <w:spacing w:after="0" w:line="193" w:lineRule="exact"/>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31"/>
              <w:spacing w:after="0" w:line="19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53,079</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1"/>
              <w:spacing w:after="0" w:line="19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41,100</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11"/>
              <w:spacing w:after="0" w:line="19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91,106</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4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color w:val="auto"/>
              </w:rPr>
              <w:t>Basic earnings per share attributable to common stockholders: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04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48,793</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7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49,045</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0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1"/>
              <w:spacing w:after="0" w:line="199"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1"/>
              <w:spacing w:after="0" w:line="199"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0.80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1"/>
              <w:spacing w:after="0" w:line="199"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COMPREHENSIVE INCOME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77"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Fiscal Year Ended</w:t>
      </w:r>
    </w:p>
    <w:p>
      <w:pPr>
        <w:spacing w:after="0" w:line="1"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91,106</w:t>
            </w:r>
          </w:p>
        </w:tc>
      </w:tr>
      <w:tr>
        <w:trPr>
          <w:trHeight w:val="205"/>
        </w:trPr>
        <w:tc>
          <w:tcPr>
            <w:tcW w:w="7040" w:type="dxa"/>
            <w:vAlign w:val="bottom"/>
          </w:tcPr>
          <w:p>
            <w:pPr>
              <w:ind w:left="20"/>
              <w:spacing w:after="0" w:line="205" w:lineRule="exact"/>
              <w:rPr>
                <w:sz w:val="20"/>
                <w:szCs w:val="20"/>
                <w:color w:val="auto"/>
              </w:rPr>
            </w:pPr>
            <w:r>
              <w:rPr>
                <w:rFonts w:ascii="Arial" w:cs="Arial" w:eastAsia="Arial" w:hAnsi="Arial"/>
                <w:sz w:val="18"/>
                <w:szCs w:val="18"/>
                <w:color w:val="auto"/>
              </w:rPr>
              <w:t>Other comprehensive income (loss), before tax:</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7"/>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Hedging activity: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7040" w:type="dxa"/>
            <w:vAlign w:val="bottom"/>
          </w:tcPr>
          <w:p>
            <w:pPr>
              <w:ind w:left="540"/>
              <w:spacing w:after="0"/>
              <w:rPr>
                <w:sz w:val="20"/>
                <w:szCs w:val="20"/>
                <w:color w:val="auto"/>
              </w:rPr>
            </w:pPr>
            <w:r>
              <w:rPr>
                <w:rFonts w:ascii="Arial" w:cs="Arial" w:eastAsia="Arial" w:hAnsi="Arial"/>
                <w:sz w:val="18"/>
                <w:szCs w:val="18"/>
                <w:color w:val="auto"/>
              </w:rPr>
              <w:t>Interest rate swap settlements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(3,644)</w:t>
            </w:r>
          </w:p>
        </w:tc>
      </w:tr>
      <w:tr>
        <w:trPr>
          <w:trHeight w:val="227"/>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 rate swap amounts reclassified into 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r>
      <w:tr>
        <w:trPr>
          <w:trHeight w:val="225"/>
        </w:trPr>
        <w:tc>
          <w:tcPr>
            <w:tcW w:w="70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w w:val="98"/>
              </w:rPr>
              <w:t>Unrealized gain (loss) resulting from changes in fair value of derivative instruments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w:t>
            </w:r>
          </w:p>
        </w:tc>
      </w:tr>
      <w:tr>
        <w:trPr>
          <w:trHeight w:val="220"/>
        </w:trPr>
        <w:tc>
          <w:tcPr>
            <w:tcW w:w="7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Other comprehensive income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r>
      <w:tr>
        <w:trPr>
          <w:trHeight w:val="225"/>
        </w:trPr>
        <w:tc>
          <w:tcPr>
            <w:tcW w:w="7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Tax effect related to items of other comprehensive income (loss)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r>
      <w:tr>
        <w:trPr>
          <w:trHeight w:val="220"/>
        </w:trPr>
        <w:tc>
          <w:tcPr>
            <w:tcW w:w="7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w:t>
            </w:r>
          </w:p>
        </w:tc>
      </w:tr>
      <w:tr>
        <w:trPr>
          <w:trHeight w:val="219"/>
        </w:trPr>
        <w:tc>
          <w:tcPr>
            <w:tcW w:w="7040" w:type="dxa"/>
            <w:vAlign w:val="bottom"/>
          </w:tcPr>
          <w:p>
            <w:pPr>
              <w:ind w:left="20"/>
              <w:spacing w:after="0" w:line="205" w:lineRule="exact"/>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85,630</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0" w:type="dxa"/>
            <w:vAlign w:val="bottom"/>
            <w:gridSpan w:val="10"/>
          </w:tcPr>
          <w:p>
            <w:pPr>
              <w:ind w:left="420"/>
              <w:spacing w:after="0"/>
              <w:rPr>
                <w:sz w:val="20"/>
                <w:szCs w:val="20"/>
                <w:color w:val="auto"/>
              </w:rPr>
            </w:pPr>
            <w:r>
              <w:rPr>
                <w:rFonts w:ascii="Arial" w:cs="Arial" w:eastAsia="Arial" w:hAnsi="Arial"/>
                <w:sz w:val="14"/>
                <w:szCs w:val="14"/>
                <w:b w:val="1"/>
                <w:bCs w:val="1"/>
                <w:color w:val="auto"/>
              </w:rPr>
              <w:t>Casella Waste Systems, Inc. Stockholders' Equity</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left="649"/>
              <w:spacing w:after="0" w:line="153" w:lineRule="exact"/>
              <w:rPr>
                <w:sz w:val="20"/>
                <w:szCs w:val="20"/>
                <w:color w:val="auto"/>
              </w:rPr>
            </w:pPr>
            <w:r>
              <w:rPr>
                <w:rFonts w:ascii="Arial" w:cs="Arial" w:eastAsia="Arial" w:hAnsi="Arial"/>
                <w:sz w:val="14"/>
                <w:szCs w:val="14"/>
                <w:b w:val="1"/>
                <w:bCs w:val="1"/>
                <w:color w:val="auto"/>
                <w:w w:val="85"/>
              </w:rPr>
              <w:t>Class A</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3"/>
          </w:tcPr>
          <w:p>
            <w:pPr>
              <w:jc w:val="right"/>
              <w:ind w:right="449"/>
              <w:spacing w:after="0" w:line="153" w:lineRule="exact"/>
              <w:rPr>
                <w:sz w:val="20"/>
                <w:szCs w:val="20"/>
                <w:color w:val="auto"/>
              </w:rPr>
            </w:pPr>
            <w:r>
              <w:rPr>
                <w:rFonts w:ascii="Arial" w:cs="Arial" w:eastAsia="Arial" w:hAnsi="Arial"/>
                <w:sz w:val="14"/>
                <w:szCs w:val="14"/>
                <w:b w:val="1"/>
                <w:bCs w:val="1"/>
                <w:color w:val="auto"/>
              </w:rPr>
              <w:t>Class B</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29"/>
              <w:spacing w:after="0" w:line="153"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center"/>
              <w:ind w:right="80"/>
              <w:spacing w:after="0" w:line="147" w:lineRule="exact"/>
              <w:rPr>
                <w:sz w:val="20"/>
                <w:szCs w:val="20"/>
                <w:color w:val="auto"/>
              </w:rPr>
            </w:pPr>
            <w:r>
              <w:rPr>
                <w:rFonts w:ascii="Arial" w:cs="Arial" w:eastAsia="Arial" w:hAnsi="Arial"/>
                <w:sz w:val="14"/>
                <w:szCs w:val="14"/>
                <w:b w:val="1"/>
                <w:bCs w:val="1"/>
                <w:color w:val="auto"/>
                <w:w w:val="89"/>
              </w:rPr>
              <w:t>Common Stock</w:t>
            </w:r>
          </w:p>
        </w:tc>
        <w:tc>
          <w:tcPr>
            <w:tcW w:w="1700" w:type="dxa"/>
            <w:vAlign w:val="bottom"/>
            <w:gridSpan w:val="3"/>
          </w:tcPr>
          <w:p>
            <w:pPr>
              <w:jc w:val="right"/>
              <w:ind w:right="209"/>
              <w:spacing w:after="0" w:line="147" w:lineRule="exact"/>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9"/>
              <w:spacing w:after="0" w:line="147"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53"/>
        </w:trPr>
        <w:tc>
          <w:tcPr>
            <w:tcW w:w="3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200"/>
              <w:spacing w:after="0" w:line="120" w:lineRule="exact"/>
              <w:rPr>
                <w:sz w:val="20"/>
                <w:szCs w:val="20"/>
                <w:color w:val="auto"/>
              </w:rPr>
            </w:pPr>
            <w:r>
              <w:rPr>
                <w:rFonts w:ascii="Arial" w:cs="Arial" w:eastAsia="Arial" w:hAnsi="Arial"/>
                <w:sz w:val="13"/>
                <w:szCs w:val="13"/>
                <w:b w:val="1"/>
                <w:bCs w:val="1"/>
                <w:color w:val="auto"/>
              </w:rPr>
              <w:t>Paid-In</w:t>
            </w:r>
          </w:p>
        </w:tc>
        <w:tc>
          <w:tcPr>
            <w:tcW w:w="1020" w:type="dxa"/>
            <w:vAlign w:val="bottom"/>
            <w:gridSpan w:val="3"/>
            <w:vMerge w:val="restart"/>
          </w:tcPr>
          <w:p>
            <w:pPr>
              <w:jc w:val="center"/>
              <w:ind w:right="100"/>
              <w:spacing w:after="0" w:line="120" w:lineRule="exact"/>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4"/>
                <w:szCs w:val="4"/>
                <w:color w:val="auto"/>
              </w:rPr>
            </w:pPr>
          </w:p>
        </w:tc>
        <w:tc>
          <w:tcPr>
            <w:tcW w:w="1100" w:type="dxa"/>
            <w:vAlign w:val="bottom"/>
            <w:vMerge w:val="restart"/>
          </w:tcPr>
          <w:p>
            <w:pPr>
              <w:jc w:val="center"/>
              <w:ind w:right="49"/>
              <w:spacing w:after="0" w:line="120"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46"/>
        </w:trPr>
        <w:tc>
          <w:tcPr>
            <w:tcW w:w="3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4"/>
                <w:szCs w:val="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10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Income ( Loss)</w:t>
            </w:r>
          </w:p>
        </w:tc>
        <w:tc>
          <w:tcPr>
            <w:tcW w:w="0" w:type="dxa"/>
            <w:vAlign w:val="bottom"/>
          </w:tcPr>
          <w:p>
            <w:pPr>
              <w:spacing w:after="0"/>
              <w:rPr>
                <w:sz w:val="1"/>
                <w:szCs w:val="1"/>
                <w:color w:val="auto"/>
              </w:rPr>
            </w:pPr>
          </w:p>
        </w:tc>
      </w:tr>
      <w:tr>
        <w:trPr>
          <w:trHeight w:val="198"/>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122,753</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46,803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10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485,332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(357,016)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(6,041)</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Arial" w:cs="Arial" w:eastAsia="Arial" w:hAnsi="Arial"/>
                <w:sz w:val="14"/>
                <w:szCs w:val="14"/>
                <w:color w:val="auto"/>
              </w:rPr>
              <w:t>Cumulative effect of new accounting principle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Issuance of Class A common stock - equity offering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144,790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Arial" w:cs="Arial" w:eastAsia="Arial" w:hAnsi="Arial"/>
                <w:sz w:val="14"/>
                <w:szCs w:val="14"/>
                <w:color w:val="auto"/>
              </w:rPr>
              <w:t>Issuances of Class A common stock</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939</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Class A common stock - acquisition</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8,219</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02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91,106</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91,106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20" w:type="dxa"/>
            <w:vAlign w:val="bottom"/>
          </w:tcPr>
          <w:p>
            <w:pPr>
              <w:ind w:left="440"/>
              <w:spacing w:after="0"/>
              <w:rPr>
                <w:sz w:val="20"/>
                <w:szCs w:val="20"/>
                <w:color w:val="auto"/>
              </w:rPr>
            </w:pPr>
            <w:r>
              <w:rPr>
                <w:rFonts w:ascii="Arial" w:cs="Arial" w:eastAsia="Arial" w:hAnsi="Arial"/>
                <w:sz w:val="14"/>
                <w:szCs w:val="14"/>
                <w:color w:val="auto"/>
              </w:rPr>
              <w:t>Hedging activity</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(5,476)</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(5,476)</w:t>
            </w:r>
          </w:p>
        </w:tc>
        <w:tc>
          <w:tcPr>
            <w:tcW w:w="0" w:type="dxa"/>
            <w:vAlign w:val="bottom"/>
          </w:tcPr>
          <w:p>
            <w:pPr>
              <w:spacing w:after="0"/>
              <w:rPr>
                <w:sz w:val="1"/>
                <w:szCs w:val="1"/>
                <w:color w:val="auto"/>
              </w:rPr>
            </w:pPr>
          </w:p>
        </w:tc>
      </w:tr>
      <w:tr>
        <w:trPr>
          <w:trHeight w:val="199"/>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362,142</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50,101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10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639,247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(266,099)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(11,517)</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Arial" w:cs="Arial" w:eastAsia="Arial" w:hAnsi="Arial"/>
                <w:sz w:val="14"/>
                <w:szCs w:val="14"/>
                <w:color w:val="auto"/>
              </w:rPr>
              <w:t>Issuances of Class A common stock</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1,250</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20" w:type="dxa"/>
            <w:vAlign w:val="bottom"/>
          </w:tcPr>
          <w:p>
            <w:pPr>
              <w:ind w:left="240"/>
              <w:spacing w:after="0"/>
              <w:rPr>
                <w:sz w:val="20"/>
                <w:szCs w:val="20"/>
                <w:color w:val="auto"/>
              </w:rPr>
            </w:pPr>
            <w:r>
              <w:rPr>
                <w:rFonts w:ascii="Arial" w:cs="Arial" w:eastAsia="Arial" w:hAnsi="Arial"/>
                <w:sz w:val="14"/>
                <w:szCs w:val="14"/>
                <w:color w:val="auto"/>
              </w:rPr>
              <w:t>Other comprehensive income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Hedging activity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6,414</w:t>
            </w:r>
          </w:p>
        </w:tc>
        <w:tc>
          <w:tcPr>
            <w:tcW w:w="0" w:type="dxa"/>
            <w:vAlign w:val="bottom"/>
          </w:tcPr>
          <w:p>
            <w:pPr>
              <w:spacing w:after="0"/>
              <w:rPr>
                <w:sz w:val="1"/>
                <w:szCs w:val="1"/>
                <w:color w:val="auto"/>
              </w:rPr>
            </w:pPr>
          </w:p>
        </w:tc>
      </w:tr>
      <w:tr>
        <w:trPr>
          <w:trHeight w:val="183"/>
        </w:trPr>
        <w:tc>
          <w:tcPr>
            <w:tcW w:w="3020" w:type="dxa"/>
            <w:vAlign w:val="bottom"/>
          </w:tcPr>
          <w:p>
            <w:pPr>
              <w:ind w:left="20"/>
              <w:spacing w:after="0"/>
              <w:rPr>
                <w:sz w:val="20"/>
                <w:szCs w:val="20"/>
                <w:color w:val="auto"/>
              </w:rPr>
            </w:pPr>
            <w:r>
              <w:rPr>
                <w:rFonts w:ascii="Arial" w:cs="Arial" w:eastAsia="Arial" w:hAnsi="Arial"/>
                <w:sz w:val="14"/>
                <w:szCs w:val="14"/>
                <w:color w:val="auto"/>
              </w:rPr>
              <w:t>Balance, December 31, 2021</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422,457</w:t>
            </w:r>
          </w:p>
        </w:tc>
        <w:tc>
          <w:tcPr>
            <w:tcW w:w="8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50,423</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8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10</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652,045</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(224,999)</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(5,103)</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Issuances of Class A common stock</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8,155</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8,155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02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53,079</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53,079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income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20" w:type="dxa"/>
            <w:vAlign w:val="bottom"/>
          </w:tcPr>
          <w:p>
            <w:pPr>
              <w:ind w:left="440"/>
              <w:spacing w:after="0"/>
              <w:rPr>
                <w:sz w:val="20"/>
                <w:szCs w:val="20"/>
                <w:color w:val="auto"/>
              </w:rPr>
            </w:pPr>
            <w:r>
              <w:rPr>
                <w:rFonts w:ascii="Arial" w:cs="Arial" w:eastAsia="Arial" w:hAnsi="Arial"/>
                <w:sz w:val="14"/>
                <w:szCs w:val="14"/>
                <w:color w:val="auto"/>
              </w:rPr>
              <w:t>Hedging activity</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12,645</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12,645</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2022</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497,900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661,761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(171,920)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4"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Fiscal Year Ended</w:t>
      </w:r>
    </w:p>
    <w:p>
      <w:pPr>
        <w:spacing w:after="0" w:line="1"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19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53,079</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41,100</w:t>
            </w:r>
          </w:p>
        </w:tc>
        <w:tc>
          <w:tcPr>
            <w:tcW w:w="12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91,106</w:t>
            </w:r>
          </w:p>
        </w:tc>
      </w:tr>
      <w:tr>
        <w:trPr>
          <w:trHeight w:val="215"/>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126,351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103,590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90,782</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accretion on landfill and environmental remediation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7,090</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Amortization of debt issuance costs on long-term debt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2,169</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8,219</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Operating lease right-of-use assets expense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16,257</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Disposition of assets, other items and charges,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(52,288)</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 net of effects of acquisitions and divestitures: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7040" w:type="dxa"/>
            <w:vAlign w:val="bottom"/>
          </w:tcPr>
          <w:p>
            <w:pPr>
              <w:ind w:left="5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5,815</w:t>
            </w:r>
          </w:p>
        </w:tc>
      </w:tr>
      <w:tr>
        <w:trPr>
          <w:trHeight w:val="215"/>
        </w:trPr>
        <w:tc>
          <w:tcPr>
            <w:tcW w:w="7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Landfill operating lease contract expenditures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(5,386)</w:t>
            </w:r>
          </w:p>
        </w:tc>
      </w:tr>
      <w:tr>
        <w:trPr>
          <w:trHeight w:val="210"/>
        </w:trPr>
        <w:tc>
          <w:tcPr>
            <w:tcW w:w="7040" w:type="dxa"/>
            <w:vAlign w:val="bottom"/>
          </w:tcPr>
          <w:p>
            <w:pPr>
              <w:ind w:left="54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(15,226)</w:t>
            </w:r>
          </w:p>
        </w:tc>
      </w:tr>
      <w:tr>
        <w:trPr>
          <w:trHeight w:val="215"/>
        </w:trPr>
        <w:tc>
          <w:tcPr>
            <w:tcW w:w="7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Prepaid expenses, inventories and other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r>
      <w:tr>
        <w:trPr>
          <w:trHeight w:val="210"/>
        </w:trPr>
        <w:tc>
          <w:tcPr>
            <w:tcW w:w="70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Accrued expenses, contract liabilities and other liabilities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(9,158)</w:t>
            </w: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182,737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139,922</w:t>
            </w:r>
          </w:p>
        </w:tc>
      </w:tr>
      <w:tr>
        <w:trPr>
          <w:trHeight w:val="190"/>
        </w:trPr>
        <w:tc>
          <w:tcPr>
            <w:tcW w:w="70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(32,457)</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Additions to property, plant and equipment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(130,960)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(123,295)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(108,108)</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cost method investment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Proceeds from sale of property and equipment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(206,920)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(293,154)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(140,032)</w:t>
            </w:r>
          </w:p>
        </w:tc>
      </w:tr>
      <w:tr>
        <w:trPr>
          <w:trHeight w:val="190"/>
        </w:trPr>
        <w:tc>
          <w:tcPr>
            <w:tcW w:w="70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debt borrowings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157,000</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Principal payments on debt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(59,211)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(149,378)</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Payments of contingent consideration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the exercise of share based awards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Proceeds from the public offering of Class A Common Stock</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144,790</w:t>
            </w:r>
          </w:p>
        </w:tc>
      </w:tr>
      <w:tr>
        <w:trPr>
          <w:trHeight w:val="209"/>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26,949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150,981</w:t>
            </w:r>
          </w:p>
        </w:tc>
      </w:tr>
      <w:tr>
        <w:trPr>
          <w:trHeight w:val="203"/>
        </w:trPr>
        <w:tc>
          <w:tcPr>
            <w:tcW w:w="70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37,343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(120,533)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150,871</w:t>
            </w:r>
          </w:p>
        </w:tc>
      </w:tr>
      <w:tr>
        <w:trPr>
          <w:trHeight w:val="215"/>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154,342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3,471</w:t>
            </w:r>
          </w:p>
        </w:tc>
      </w:tr>
      <w:tr>
        <w:trPr>
          <w:trHeight w:val="203"/>
        </w:trPr>
        <w:tc>
          <w:tcPr>
            <w:tcW w:w="704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71,152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154,342</w:t>
            </w:r>
          </w:p>
        </w:tc>
      </w:tr>
      <w:tr>
        <w:trPr>
          <w:trHeight w:val="22"/>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ind w:left="340" w:right="2500"/>
        <w:spacing w:after="0" w:line="253" w:lineRule="auto"/>
        <w:rPr>
          <w:sz w:val="20"/>
          <w:szCs w:val="20"/>
          <w:color w:val="auto"/>
        </w:rPr>
      </w:pPr>
      <w:r>
        <w:rPr>
          <w:rFonts w:ascii="Arial" w:cs="Arial" w:eastAsia="Arial" w:hAnsi="Arial"/>
          <w:sz w:val="18"/>
          <w:szCs w:val="18"/>
          <w:color w:val="auto"/>
        </w:rPr>
        <w:t xml:space="preserve">The accompanying notes are an integral part of these consolidated financial statements. </w:t>
      </w:r>
      <w:r>
        <w:rPr>
          <w:rFonts w:ascii="Arial" w:cs="Arial" w:eastAsia="Arial" w:hAnsi="Arial"/>
          <w:sz w:val="18"/>
          <w:szCs w:val="18"/>
          <w:b w:val="1"/>
          <w:bCs w:val="1"/>
          <w:color w:val="auto"/>
        </w:rPr>
        <w:t>CASELLA WASTE SYSTEMS, INC. AND SUBSIDIARIES CONSOLIDATED STATEMENTS OF CASH FLOWS (Continued) (in thousands)</w:t>
      </w:r>
    </w:p>
    <w:p>
      <w:pPr>
        <w:spacing w:after="0" w:line="260"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Fiscal Year Ended</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r>
      <w:tr>
        <w:trPr>
          <w:trHeight w:val="19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0"/>
        </w:trPr>
        <w:tc>
          <w:tcPr>
            <w:tcW w:w="7060" w:type="dxa"/>
            <w:vAlign w:val="bottom"/>
          </w:tcPr>
          <w:p>
            <w:pPr>
              <w:ind w:left="340"/>
              <w:spacing w:after="0"/>
              <w:rPr>
                <w:sz w:val="20"/>
                <w:szCs w:val="20"/>
                <w:color w:val="auto"/>
              </w:rPr>
            </w:pPr>
            <w:r>
              <w:rPr>
                <w:rFonts w:ascii="Arial" w:cs="Arial" w:eastAsia="Arial" w:hAnsi="Arial"/>
                <w:sz w:val="16"/>
                <w:szCs w:val="16"/>
                <w:color w:val="auto"/>
              </w:rPr>
              <w:t>Cash paid during the period for:</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7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Interest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19,025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ind w:left="520"/>
              <w:spacing w:after="0"/>
              <w:rPr>
                <w:sz w:val="20"/>
                <w:szCs w:val="20"/>
                <w:color w:val="auto"/>
              </w:rPr>
            </w:pPr>
            <w:r>
              <w:rPr>
                <w:rFonts w:ascii="Arial" w:cs="Arial" w:eastAsia="Arial" w:hAnsi="Arial"/>
                <w:sz w:val="16"/>
                <w:szCs w:val="16"/>
                <w:color w:val="auto"/>
                <w:w w:val="98"/>
              </w:rPr>
              <w:t>20,117</w:t>
            </w:r>
          </w:p>
        </w:tc>
      </w:tr>
      <w:tr>
        <w:trPr>
          <w:trHeight w:val="210"/>
        </w:trPr>
        <w:tc>
          <w:tcPr>
            <w:tcW w:w="7060" w:type="dxa"/>
            <w:vAlign w:val="bottom"/>
          </w:tcPr>
          <w:p>
            <w:pPr>
              <w:ind w:left="660"/>
              <w:spacing w:after="0"/>
              <w:rPr>
                <w:sz w:val="20"/>
                <w:szCs w:val="20"/>
                <w:color w:val="auto"/>
              </w:rPr>
            </w:pPr>
            <w:r>
              <w:rPr>
                <w:rFonts w:ascii="Arial" w:cs="Arial" w:eastAsia="Arial" w:hAnsi="Arial"/>
                <w:sz w:val="16"/>
                <w:szCs w:val="16"/>
                <w:color w:val="auto"/>
              </w:rPr>
              <w:t>Income tax payments (refunds), net</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2,798</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1,438</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520"/>
              <w:spacing w:after="0"/>
              <w:rPr>
                <w:sz w:val="20"/>
                <w:szCs w:val="20"/>
                <w:color w:val="auto"/>
              </w:rPr>
            </w:pPr>
            <w:r>
              <w:rPr>
                <w:rFonts w:ascii="Arial" w:cs="Arial" w:eastAsia="Arial" w:hAnsi="Arial"/>
                <w:sz w:val="16"/>
                <w:szCs w:val="16"/>
                <w:color w:val="auto"/>
                <w:w w:val="94"/>
              </w:rPr>
              <w:t>(1,534)</w:t>
            </w:r>
          </w:p>
        </w:tc>
      </w:tr>
      <w:tr>
        <w:trPr>
          <w:trHeight w:val="215"/>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8"/>
        </w:trPr>
        <w:tc>
          <w:tcPr>
            <w:tcW w:w="7060" w:type="dxa"/>
            <w:vAlign w:val="bottom"/>
          </w:tcPr>
          <w:p>
            <w:pPr>
              <w:ind w:left="660"/>
              <w:spacing w:after="0"/>
              <w:rPr>
                <w:sz w:val="20"/>
                <w:szCs w:val="20"/>
                <w:color w:val="auto"/>
              </w:rPr>
            </w:pPr>
            <w:r>
              <w:rPr>
                <w:rFonts w:ascii="Arial" w:cs="Arial" w:eastAsia="Arial" w:hAnsi="Arial"/>
                <w:sz w:val="16"/>
                <w:szCs w:val="16"/>
                <w:color w:val="auto"/>
              </w:rPr>
              <w:t>Non-current assets acquired through long-term financing obligations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11,919</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20,753</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500"/>
              <w:spacing w:after="0"/>
              <w:rPr>
                <w:sz w:val="20"/>
                <w:szCs w:val="20"/>
                <w:color w:val="auto"/>
              </w:rPr>
            </w:pPr>
            <w:r>
              <w:rPr>
                <w:rFonts w:ascii="Arial" w:cs="Arial" w:eastAsia="Arial" w:hAnsi="Arial"/>
                <w:sz w:val="16"/>
                <w:szCs w:val="16"/>
                <w:color w:val="auto"/>
              </w:rPr>
              <w:t>18,069</w:t>
            </w:r>
          </w:p>
        </w:tc>
      </w:tr>
    </w:tbl>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0" w:lineRule="exact"/>
        <w:rPr>
          <w:sz w:val="20"/>
          <w:szCs w:val="20"/>
          <w:color w:val="auto"/>
        </w:rPr>
      </w:pPr>
    </w:p>
    <w:p>
      <w:pPr>
        <w:spacing w:after="0" w:line="241" w:lineRule="exact"/>
        <w:rPr>
          <w:sz w:val="20"/>
          <w:szCs w:val="20"/>
          <w:color w:val="auto"/>
        </w:rPr>
      </w:pPr>
    </w:p>
    <w:p>
      <w:pPr>
        <w:ind w:left="360" w:hanging="354"/>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Casella Waste Systems, Inc. (“Parent”) and its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We provide integrated solid waste services in seven states: Vermont, New Hampshire, New York, Massachusetts, Connecticut, Maine and Pennsylvania, with our headquarters located in Rutland, Vermont.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6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accompanying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w:t>
      </w:r>
    </w:p>
    <w:p>
      <w:pPr>
        <w:spacing w:after="0" w:line="5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When necessary, certain prior period amounts in the consolidated financial statements have been conformed to current period presentation, including the presentation of certain adjustments to reconcile net income to net cash provided by operating activities, which have been reclassified within cash flows from operating activities, and the presentation of the purchase price allocation for acquisitions.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ACCOUNTING CHANGES</w:t>
      </w:r>
    </w:p>
    <w:p>
      <w:pPr>
        <w:spacing w:after="0" w:line="185"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A table providing a brief description of recent Accounting Standards Updates ("ASUs") to the Accounting Standards Codification (“ASC”) issued by the Financial Accounting Standards Board (“FASB”) that are pending adoption and deemed to have a possible material impact on our consolidated financial statements based on current account balances and activity follows:</w:t>
      </w:r>
    </w:p>
    <w:tbl>
      <w:tblPr>
        <w:tblLayout w:type="fixed"/>
        <w:tblInd w:w="20" w:type="dxa"/>
        <w:tblCellMar>
          <w:top w:w="0" w:type="dxa"/>
          <w:left w:w="0" w:type="dxa"/>
          <w:bottom w:w="0" w:type="dxa"/>
          <w:right w:w="0" w:type="dxa"/>
        </w:tblCellMar>
      </w:tblPr>
      <w:tr>
        <w:trPr>
          <w:trHeight w:val="148"/>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Standard</w:t>
            </w:r>
          </w:p>
        </w:tc>
        <w:tc>
          <w:tcPr>
            <w:tcW w:w="39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780" w:type="dxa"/>
            <w:vAlign w:val="bottom"/>
          </w:tcPr>
          <w:p>
            <w:pPr>
              <w:jc w:val="center"/>
              <w:ind w:left="1069"/>
              <w:spacing w:after="0" w:line="148" w:lineRule="exact"/>
              <w:rPr>
                <w:sz w:val="20"/>
                <w:szCs w:val="20"/>
                <w:color w:val="auto"/>
              </w:rPr>
            </w:pPr>
            <w:r>
              <w:rPr>
                <w:rFonts w:ascii="Arial" w:cs="Arial" w:eastAsia="Arial" w:hAnsi="Arial"/>
                <w:sz w:val="14"/>
                <w:szCs w:val="14"/>
                <w:b w:val="1"/>
                <w:bCs w:val="1"/>
                <w:color w:val="auto"/>
                <w:w w:val="91"/>
              </w:rPr>
              <w:t>Effect on the Financial Statements or Other</w:t>
            </w:r>
          </w:p>
        </w:tc>
        <w:tc>
          <w:tcPr>
            <w:tcW w:w="0" w:type="dxa"/>
            <w:vAlign w:val="bottom"/>
          </w:tcPr>
          <w:p>
            <w:pPr>
              <w:spacing w:after="0"/>
              <w:rPr>
                <w:sz w:val="1"/>
                <w:szCs w:val="1"/>
                <w:color w:val="auto"/>
              </w:rPr>
            </w:pPr>
          </w:p>
        </w:tc>
      </w:tr>
      <w:tr>
        <w:trPr>
          <w:trHeight w:val="184"/>
        </w:trPr>
        <w:tc>
          <w:tcPr>
            <w:tcW w:w="2660" w:type="dxa"/>
            <w:vAlign w:val="bottom"/>
            <w:vMerge w:val="continue"/>
          </w:tcPr>
          <w:p>
            <w:pPr>
              <w:spacing w:after="0"/>
              <w:rPr>
                <w:sz w:val="16"/>
                <w:szCs w:val="16"/>
                <w:color w:val="auto"/>
              </w:rPr>
            </w:pPr>
          </w:p>
        </w:tc>
        <w:tc>
          <w:tcPr>
            <w:tcW w:w="3960" w:type="dxa"/>
            <w:vAlign w:val="bottom"/>
            <w:vMerge w:val="continue"/>
          </w:tcPr>
          <w:p>
            <w:pPr>
              <w:spacing w:after="0"/>
              <w:rPr>
                <w:sz w:val="16"/>
                <w:szCs w:val="16"/>
                <w:color w:val="auto"/>
              </w:rPr>
            </w:pPr>
          </w:p>
        </w:tc>
        <w:tc>
          <w:tcPr>
            <w:tcW w:w="3780" w:type="dxa"/>
            <w:vAlign w:val="bottom"/>
          </w:tcPr>
          <w:p>
            <w:pPr>
              <w:jc w:val="center"/>
              <w:ind w:left="1089"/>
              <w:spacing w:after="0"/>
              <w:rPr>
                <w:sz w:val="20"/>
                <w:szCs w:val="20"/>
                <w:color w:val="auto"/>
              </w:rPr>
            </w:pPr>
            <w:r>
              <w:rPr>
                <w:rFonts w:ascii="Arial" w:cs="Arial" w:eastAsia="Arial" w:hAnsi="Arial"/>
                <w:sz w:val="14"/>
                <w:szCs w:val="14"/>
                <w:b w:val="1"/>
                <w:bCs w:val="1"/>
                <w:color w:val="auto"/>
                <w:w w:val="94"/>
              </w:rPr>
              <w:t>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088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8825" cy="8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Accounting standards issued pending adoption as of December 31, 2022</w:t>
      </w:r>
    </w:p>
    <w:p>
      <w:pPr>
        <w:sectPr>
          <w:pgSz w:w="11900" w:h="16838" w:orient="portrait"/>
          <w:cols w:equalWidth="0" w:num="1">
            <w:col w:w="11180"/>
          </w:cols>
          <w:pgMar w:left="320" w:top="118" w:right="399" w:bottom="1440" w:gutter="0" w:footer="0" w:header="0"/>
        </w:sectPr>
      </w:pPr>
    </w:p>
    <w:p>
      <w:pPr>
        <w:spacing w:after="0" w:line="72" w:lineRule="exact"/>
        <w:rPr>
          <w:sz w:val="20"/>
          <w:szCs w:val="20"/>
          <w:color w:val="auto"/>
        </w:rPr>
      </w:pPr>
    </w:p>
    <w:p>
      <w:pPr>
        <w:jc w:val="both"/>
        <w:ind w:left="20"/>
        <w:spacing w:after="0" w:line="220" w:lineRule="auto"/>
        <w:rPr>
          <w:sz w:val="20"/>
          <w:szCs w:val="20"/>
          <w:color w:val="auto"/>
        </w:rPr>
      </w:pPr>
      <w:r>
        <w:rPr>
          <w:rFonts w:ascii="Arial" w:cs="Arial" w:eastAsia="Arial" w:hAnsi="Arial"/>
          <w:sz w:val="18"/>
          <w:szCs w:val="18"/>
          <w:color w:val="auto"/>
        </w:rPr>
        <w:t>ASU No. 2020-04: Reference Rate Reform (Topic 848), as amended through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line="251" w:lineRule="auto"/>
        <w:rPr>
          <w:sz w:val="20"/>
          <w:szCs w:val="20"/>
          <w:color w:val="auto"/>
        </w:rPr>
      </w:pPr>
      <w:r>
        <w:rPr>
          <w:rFonts w:ascii="Arial" w:cs="Arial" w:eastAsia="Arial" w:hAnsi="Arial"/>
          <w:sz w:val="16"/>
          <w:szCs w:val="16"/>
          <w:color w:val="auto"/>
        </w:rPr>
        <w:t>ASU No. 2021-08: Accounting for Contract Assets and Contract Liabilities from Contracts with Customers (Topic 805)</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Provides temporary optional guidance to ease the potential burden in applying GAAP to contract modifications and hedging</w:t>
      </w:r>
    </w:p>
    <w:p>
      <w:pPr>
        <w:spacing w:after="0" w:line="213" w:lineRule="auto"/>
        <w:rPr>
          <w:sz w:val="20"/>
          <w:szCs w:val="20"/>
          <w:color w:val="auto"/>
        </w:rPr>
      </w:pPr>
      <w:r>
        <w:rPr>
          <w:rFonts w:ascii="Arial" w:cs="Arial" w:eastAsia="Arial" w:hAnsi="Arial"/>
          <w:sz w:val="17"/>
          <w:szCs w:val="17"/>
          <w:color w:val="auto"/>
        </w:rPr>
        <w:t>relationships that reference London Inter-</w:t>
      </w:r>
    </w:p>
    <w:p>
      <w:pPr>
        <w:spacing w:after="0" w:line="200" w:lineRule="auto"/>
        <w:rPr>
          <w:sz w:val="20"/>
          <w:szCs w:val="20"/>
          <w:color w:val="auto"/>
        </w:rPr>
      </w:pPr>
      <w:r>
        <w:rPr>
          <w:rFonts w:ascii="Arial" w:cs="Arial" w:eastAsia="Arial" w:hAnsi="Arial"/>
          <w:sz w:val="18"/>
          <w:szCs w:val="18"/>
          <w:color w:val="auto"/>
        </w:rPr>
        <w:t>Bank Offered Rate ("LIBOR") or another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reference rate expected to be discontinued,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subject to meeting certain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Requires entities to apply ASC 606 to recognize and measure contract assets and contract liabilities in a business combination.</w:t>
      </w:r>
    </w:p>
    <w:p>
      <w:pPr>
        <w:spacing w:after="0" w:line="1" w:lineRule="exact"/>
        <w:rPr>
          <w:sz w:val="20"/>
          <w:szCs w:val="20"/>
          <w:color w:val="auto"/>
        </w:rPr>
      </w:pPr>
    </w:p>
    <w:p>
      <w:pPr>
        <w:ind w:right="140"/>
        <w:spacing w:after="0" w:line="231" w:lineRule="auto"/>
        <w:rPr>
          <w:sz w:val="20"/>
          <w:szCs w:val="20"/>
          <w:color w:val="auto"/>
        </w:rPr>
      </w:pPr>
      <w:r>
        <w:rPr>
          <w:rFonts w:ascii="Arial" w:cs="Arial" w:eastAsia="Arial" w:hAnsi="Arial"/>
          <w:sz w:val="16"/>
          <w:szCs w:val="16"/>
          <w:color w:val="auto"/>
        </w:rPr>
        <w:t>This guidance improves comparability after the business combination by providing consistent recognition and measurement</w:t>
      </w:r>
    </w:p>
    <w:p>
      <w:pPr>
        <w:spacing w:after="0" w:line="1" w:lineRule="exact"/>
        <w:rPr>
          <w:sz w:val="20"/>
          <w:szCs w:val="20"/>
          <w:color w:val="auto"/>
        </w:rPr>
      </w:pPr>
    </w:p>
    <w:p>
      <w:pPr>
        <w:ind w:right="400"/>
        <w:spacing w:after="0" w:line="231" w:lineRule="auto"/>
        <w:rPr>
          <w:sz w:val="20"/>
          <w:szCs w:val="20"/>
          <w:color w:val="auto"/>
        </w:rPr>
      </w:pPr>
      <w:r>
        <w:rPr>
          <w:rFonts w:ascii="Arial" w:cs="Arial" w:eastAsia="Arial" w:hAnsi="Arial"/>
          <w:sz w:val="16"/>
          <w:szCs w:val="16"/>
          <w:color w:val="auto"/>
        </w:rPr>
        <w:t>guidance for revenue contracts with customers acquired in a business combination and revenue contracts with</w:t>
      </w:r>
    </w:p>
    <w:p>
      <w:pPr>
        <w:spacing w:after="0" w:line="1" w:lineRule="exact"/>
        <w:rPr>
          <w:sz w:val="20"/>
          <w:szCs w:val="20"/>
          <w:color w:val="auto"/>
        </w:rPr>
      </w:pPr>
    </w:p>
    <w:p>
      <w:pPr>
        <w:ind w:right="640"/>
        <w:spacing w:after="0" w:line="221" w:lineRule="auto"/>
        <w:rPr>
          <w:sz w:val="20"/>
          <w:szCs w:val="20"/>
          <w:color w:val="auto"/>
        </w:rPr>
      </w:pPr>
      <w:r>
        <w:rPr>
          <w:rFonts w:ascii="Arial" w:cs="Arial" w:eastAsia="Arial" w:hAnsi="Arial"/>
          <w:sz w:val="18"/>
          <w:szCs w:val="18"/>
          <w:color w:val="auto"/>
        </w:rPr>
        <w:t>customers not acquired in a business combination.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We currently have interest rate derivative agreements with hedging relationships that reference LIBOR, which is going to be discontinued effective July 1, 2023. This</w:t>
      </w:r>
    </w:p>
    <w:p>
      <w:pPr>
        <w:spacing w:after="0" w:line="1"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guidance provides optional expedients and exceptions for applying GAAP to contracts, hedging relationships and other transactions affected by reference rate reform if</w:t>
      </w:r>
    </w:p>
    <w:p>
      <w:pPr>
        <w:spacing w:after="0" w:line="1" w:lineRule="exact"/>
        <w:rPr>
          <w:sz w:val="20"/>
          <w:szCs w:val="20"/>
          <w:color w:val="auto"/>
        </w:rPr>
      </w:pPr>
    </w:p>
    <w:p>
      <w:pPr>
        <w:ind w:right="120"/>
        <w:spacing w:after="0" w:line="231" w:lineRule="auto"/>
        <w:rPr>
          <w:sz w:val="20"/>
          <w:szCs w:val="20"/>
          <w:color w:val="auto"/>
        </w:rPr>
      </w:pPr>
      <w:r>
        <w:rPr>
          <w:rFonts w:ascii="Arial" w:cs="Arial" w:eastAsia="Arial" w:hAnsi="Arial"/>
          <w:sz w:val="16"/>
          <w:szCs w:val="16"/>
          <w:color w:val="auto"/>
        </w:rPr>
        <w:t>certain criteria are met. Effective February 9, 2023, we elected optional expedients under this guidance that provide temporary relief over contract modifications and</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hedge accounting in order to maintain hedge effectiveness upon modifying contract terms related to reference rate reform in our amended and restated credit agreement and</w:t>
      </w:r>
    </w:p>
    <w:p>
      <w:pPr>
        <w:spacing w:after="0" w:line="1"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 xml:space="preserve">transition our interest rate derivative agreements from LIBOR to another reference rate. See Note 12, </w:t>
      </w:r>
      <w:r>
        <w:rPr>
          <w:rFonts w:ascii="Arial" w:cs="Arial" w:eastAsia="Arial" w:hAnsi="Arial"/>
          <w:sz w:val="14"/>
          <w:szCs w:val="14"/>
          <w:i w:val="1"/>
          <w:iCs w:val="1"/>
          <w:color w:val="auto"/>
        </w:rPr>
        <w:t>Debt</w:t>
      </w:r>
      <w:r>
        <w:rPr>
          <w:rFonts w:ascii="Arial" w:cs="Arial" w:eastAsia="Arial" w:hAnsi="Arial"/>
          <w:sz w:val="14"/>
          <w:szCs w:val="14"/>
          <w:color w:val="auto"/>
        </w:rPr>
        <w:t>. The adoption of this guidance did not have a material impact</w:t>
      </w:r>
    </w:p>
    <w:p>
      <w:pPr>
        <w:spacing w:after="0" w:line="1" w:lineRule="exact"/>
        <w:rPr>
          <w:sz w:val="20"/>
          <w:szCs w:val="20"/>
          <w:color w:val="auto"/>
        </w:rPr>
      </w:pPr>
    </w:p>
    <w:p>
      <w:pPr>
        <w:jc w:val="both"/>
        <w:ind w:right="460"/>
        <w:spacing w:after="0" w:line="214" w:lineRule="auto"/>
        <w:rPr>
          <w:sz w:val="20"/>
          <w:szCs w:val="20"/>
          <w:color w:val="auto"/>
        </w:rPr>
      </w:pPr>
      <w:r>
        <w:rPr>
          <w:rFonts w:ascii="Arial" w:cs="Arial" w:eastAsia="Arial" w:hAnsi="Arial"/>
          <w:sz w:val="18"/>
          <w:szCs w:val="18"/>
          <w:color w:val="auto"/>
        </w:rPr>
        <w:t>on our consolidated financial statements and related disclosures. This guidance will be in effect through December 31, 2024.</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made in the past, and we may make in the future, acquisitions to densify existing operations, expand service areas, and grow services for our customers and these</w:t>
      </w:r>
    </w:p>
    <w:p>
      <w:pPr>
        <w:ind w:right="140"/>
        <w:spacing w:after="0" w:line="231" w:lineRule="auto"/>
        <w:rPr>
          <w:sz w:val="20"/>
          <w:szCs w:val="20"/>
          <w:color w:val="auto"/>
        </w:rPr>
      </w:pPr>
      <w:r>
        <w:rPr>
          <w:rFonts w:ascii="Arial" w:cs="Arial" w:eastAsia="Arial" w:hAnsi="Arial"/>
          <w:sz w:val="16"/>
          <w:szCs w:val="16"/>
          <w:color w:val="auto"/>
        </w:rPr>
        <w:t>acquisitions may include contract assets or contract liabilities. The adoption of this guidance did not have a material impact on our consolidated financial statements</w:t>
      </w:r>
    </w:p>
    <w:p>
      <w:pPr>
        <w:spacing w:after="0" w:line="1" w:lineRule="exact"/>
        <w:rPr>
          <w:sz w:val="20"/>
          <w:szCs w:val="20"/>
          <w:color w:val="auto"/>
        </w:rPr>
      </w:pPr>
    </w:p>
    <w:p>
      <w:pPr>
        <w:ind w:right="620"/>
        <w:spacing w:after="0" w:line="221" w:lineRule="auto"/>
        <w:rPr>
          <w:sz w:val="20"/>
          <w:szCs w:val="20"/>
          <w:color w:val="auto"/>
        </w:rPr>
      </w:pPr>
      <w:r>
        <w:rPr>
          <w:rFonts w:ascii="Arial" w:cs="Arial" w:eastAsia="Arial" w:hAnsi="Arial"/>
          <w:sz w:val="18"/>
          <w:szCs w:val="18"/>
          <w:color w:val="auto"/>
        </w:rPr>
        <w:t>and related disclosures. We adopted this guidance effective January 1, 2023.</w:t>
      </w:r>
    </w:p>
    <w:p>
      <w:pPr>
        <w:spacing w:after="0" w:line="731" w:lineRule="exact"/>
        <w:rPr>
          <w:sz w:val="20"/>
          <w:szCs w:val="20"/>
          <w:color w:val="auto"/>
        </w:rPr>
      </w:pPr>
    </w:p>
    <w:p>
      <w:pPr>
        <w:sectPr>
          <w:pgSz w:w="11900" w:h="16838" w:orient="portrait"/>
          <w:cols w:equalWidth="0" w:num="3">
            <w:col w:w="3140" w:space="380"/>
            <w:col w:w="3240" w:space="280"/>
            <w:col w:w="4140"/>
          </w:cols>
          <w:pgMar w:left="320" w:top="118" w:right="399" w:bottom="1440" w:gutter="0" w:footer="0" w:header="0"/>
          <w:type w:val="continuous"/>
        </w:sectPr>
      </w:pPr>
    </w:p>
    <w:p>
      <w:pPr>
        <w:spacing w:after="0" w:line="330" w:lineRule="exact"/>
        <w:rPr>
          <w:sz w:val="20"/>
          <w:szCs w:val="20"/>
          <w:color w:val="auto"/>
        </w:rPr>
      </w:pPr>
    </w:p>
    <w:p>
      <w:pPr>
        <w:ind w:left="360" w:hanging="354"/>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Estimates and Assumptions</w:t>
      </w:r>
    </w:p>
    <w:p>
      <w:pPr>
        <w:spacing w:after="0" w:line="11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some cases, these estimates are difficult to determine, and we must exercise significant judgment. In preparing our consolidated financial statements, the estimates and assumptions that we consider to be significant and that present the greatest amount of uncertainty relate to our accounting for landfills, environmental remediation liabilities, asset impairments, if applicable, accounts receivable valuation allowance for credit losses, self-insurance reserves, deferred taxes and uncertain tax positions, estimates of the fair values of assets acquired and liabilities assumed in any acquisition, contingent liabilities and stock-based compensation. Each of these items is discussed in more detail elsewhere in these notes to the consolidated financial statements, as applicable. Actual results may differ materially from the estimates and assumptions that we use in the preparation of our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investments purchased with original maturities of three months or less to be cash equivalents.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1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Financial instruments that potentially subject us to concentrations of credit risk consist of cash and cash equivalents, restricted investment securities, accounts receivable and derivative instruments. We maintain cash and cash equivalents and restricted investment securities with banks that at times exceed applicable insurance limits. We reduce our exposure to credit risk by maintaining such deposits with high quality financial institutions. Our concentration of credit risk with respect to accounts receivable is limited because of the large number and diversity of customers we serve, thus reducing the credit risk associated with any one customer group. As of December 31, 2022, no single customer or customer group represented greater than 5% of total accounts receivable. We manage credit risk through credit evaluations, credit limits, and monitoring procedures, but generally do not require collateral to support accounts receivable. We reduce our exposure to credit risk associated with derivative instruments by entering into agreements with high quality financial institutions and by evaluating and regularly monitoring their creditworthiness.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 of Allowance for Credit Losses</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Accounts receivable represent receivables from customers for collection, transfer, recycling, disposal and other services. Our accounts receivable are recorded when billed or when related revenue is earned, if earlier, and represent claims against third-parties that will be settled in cash. The carrying value of our accounts receivable, net of allowance for credit losses represents its estimated net realizable value. Estimates are used in determining our allowance for credit losses based on, among other things, our historical loss trends, the age of outstanding accounts receivable, and current and expected economic conditions. Our reserve is evaluated and revised on a monthly basis. Past due accounts receivable are written off when deemed to be uncollectible. See Note 6, </w:t>
      </w:r>
      <w:r>
        <w:rPr>
          <w:rFonts w:ascii="Arial" w:cs="Arial" w:eastAsia="Arial" w:hAnsi="Arial"/>
          <w:sz w:val="16"/>
          <w:szCs w:val="16"/>
          <w:i w:val="1"/>
          <w:iCs w:val="1"/>
          <w:color w:val="auto"/>
        </w:rPr>
        <w:t>Accounts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Receivable, Net of Allowance for Credit Losses </w:t>
      </w:r>
      <w:r>
        <w:rPr>
          <w:rFonts w:ascii="Arial" w:cs="Arial" w:eastAsia="Arial" w:hAnsi="Arial"/>
          <w:sz w:val="16"/>
          <w:szCs w:val="16"/>
          <w:color w:val="auto"/>
        </w:rPr>
        <w:t>for disclosure over allowance for credit losses.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Inventory includes secondary fibers, recyclables ready for sale, and parts and supplies. Inventory is stated at the lower of cost (first-in, first-out) or market.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1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Property, plant and equipment is recorded at cost, less accumulated depreciation and amortization. We provide for depreciation and amortization using the straight-line method by charges to operations in amounts that allocate the cost of the assets over their estimated useful lives as follows:</w:t>
      </w:r>
    </w:p>
    <w:tbl>
      <w:tblPr>
        <w:tblLayout w:type="fixed"/>
        <w:tblInd w:w="0" w:type="dxa"/>
        <w:tblCellMar>
          <w:top w:w="0" w:type="dxa"/>
          <w:left w:w="0" w:type="dxa"/>
          <w:bottom w:w="0" w:type="dxa"/>
          <w:right w:w="0" w:type="dxa"/>
        </w:tblCellMar>
      </w:tblPr>
      <w:tr>
        <w:trPr>
          <w:trHeight w:val="147"/>
        </w:trPr>
        <w:tc>
          <w:tcPr>
            <w:tcW w:w="8180" w:type="dxa"/>
            <w:vAlign w:val="bottom"/>
            <w:vMerge w:val="restart"/>
          </w:tcPr>
          <w:p>
            <w:pPr>
              <w:ind w:left="3500"/>
              <w:spacing w:after="0"/>
              <w:rPr>
                <w:sz w:val="20"/>
                <w:szCs w:val="20"/>
                <w:color w:val="auto"/>
              </w:rPr>
            </w:pPr>
            <w:r>
              <w:rPr>
                <w:rFonts w:ascii="Arial" w:cs="Arial" w:eastAsia="Arial" w:hAnsi="Arial"/>
                <w:sz w:val="14"/>
                <w:szCs w:val="14"/>
                <w:b w:val="1"/>
                <w:bCs w:val="1"/>
                <w:color w:val="auto"/>
              </w:rPr>
              <w:t>Asset Classification</w:t>
            </w:r>
          </w:p>
        </w:tc>
        <w:tc>
          <w:tcPr>
            <w:tcW w:w="100" w:type="dxa"/>
            <w:vAlign w:val="bottom"/>
            <w:vMerge w:val="restart"/>
          </w:tcPr>
          <w:p>
            <w:pPr>
              <w:spacing w:after="0"/>
              <w:rPr>
                <w:sz w:val="12"/>
                <w:szCs w:val="12"/>
                <w:color w:val="auto"/>
              </w:rPr>
            </w:pPr>
          </w:p>
        </w:tc>
        <w:tc>
          <w:tcPr>
            <w:tcW w:w="25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10-30 years</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Machinery and equipment</w:t>
            </w:r>
          </w:p>
        </w:tc>
        <w:tc>
          <w:tcPr>
            <w:tcW w:w="2580" w:type="dxa"/>
            <w:vAlign w:val="bottom"/>
          </w:tcPr>
          <w:p>
            <w:pPr>
              <w:jc w:val="center"/>
              <w:spacing w:after="0"/>
              <w:rPr>
                <w:sz w:val="20"/>
                <w:szCs w:val="20"/>
                <w:color w:val="auto"/>
              </w:rPr>
            </w:pPr>
            <w:r>
              <w:rPr>
                <w:rFonts w:ascii="Arial" w:cs="Arial" w:eastAsia="Arial" w:hAnsi="Arial"/>
                <w:sz w:val="18"/>
                <w:szCs w:val="18"/>
                <w:color w:val="auto"/>
                <w:w w:val="86"/>
              </w:rPr>
              <w:t>5-10 years</w:t>
            </w:r>
          </w:p>
        </w:tc>
        <w:tc>
          <w:tcPr>
            <w:tcW w:w="0" w:type="dxa"/>
            <w:vAlign w:val="bottom"/>
          </w:tcPr>
          <w:p>
            <w:pPr>
              <w:spacing w:after="0"/>
              <w:rPr>
                <w:sz w:val="1"/>
                <w:szCs w:val="1"/>
                <w:color w:val="auto"/>
              </w:rPr>
            </w:pPr>
          </w:p>
        </w:tc>
      </w:tr>
      <w:tr>
        <w:trPr>
          <w:trHeight w:val="227"/>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Rolling stock</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5-10 years</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Containers</w:t>
            </w:r>
          </w:p>
        </w:tc>
        <w:tc>
          <w:tcPr>
            <w:tcW w:w="2580" w:type="dxa"/>
            <w:vAlign w:val="bottom"/>
          </w:tcPr>
          <w:p>
            <w:pPr>
              <w:jc w:val="center"/>
              <w:spacing w:after="0"/>
              <w:rPr>
                <w:sz w:val="20"/>
                <w:szCs w:val="20"/>
                <w:color w:val="auto"/>
              </w:rPr>
            </w:pPr>
            <w:r>
              <w:rPr>
                <w:rFonts w:ascii="Arial" w:cs="Arial" w:eastAsia="Arial" w:hAnsi="Arial"/>
                <w:sz w:val="18"/>
                <w:szCs w:val="18"/>
                <w:color w:val="auto"/>
                <w:w w:val="86"/>
              </w:rPr>
              <w:t>5-12 years</w:t>
            </w:r>
          </w:p>
        </w:tc>
        <w:tc>
          <w:tcPr>
            <w:tcW w:w="0" w:type="dxa"/>
            <w:vAlign w:val="bottom"/>
          </w:tcPr>
          <w:p>
            <w:pPr>
              <w:spacing w:after="0"/>
              <w:rPr>
                <w:sz w:val="1"/>
                <w:szCs w:val="1"/>
                <w:color w:val="auto"/>
              </w:rPr>
            </w:pPr>
          </w:p>
        </w:tc>
      </w:tr>
      <w:tr>
        <w:trPr>
          <w:trHeight w:val="227"/>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cost of maintenance and repairs is charged to operations as incurred.</w:t>
      </w:r>
    </w:p>
    <w:p>
      <w:pPr>
        <w:spacing w:after="0" w:line="11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Landfill development costs are included in property, plant and equipment. Landfill development costs include costs to develop each of our landfill sites, including such costs related to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Additionally, landfill development costs include all land purchases within the landfill footprint and the purchase of any required landfill buffer property. Under life-cycle accounting, these costs are capitalized and charged to expense based on tonnage placed into each site. See the “</w:t>
      </w:r>
      <w:r>
        <w:rPr>
          <w:rFonts w:ascii="Arial" w:cs="Arial" w:eastAsia="Arial" w:hAnsi="Arial"/>
          <w:sz w:val="17"/>
          <w:szCs w:val="17"/>
          <w:i w:val="1"/>
          <w:iCs w:val="1"/>
          <w:color w:val="auto"/>
        </w:rPr>
        <w:t>Landfill Accounting</w:t>
      </w:r>
      <w:r>
        <w:rPr>
          <w:rFonts w:ascii="Arial" w:cs="Arial" w:eastAsia="Arial" w:hAnsi="Arial"/>
          <w:sz w:val="17"/>
          <w:szCs w:val="17"/>
          <w:color w:val="auto"/>
        </w:rPr>
        <w:t xml:space="preserve">” accounting policy below for additional disclosure about the amortization of landfill development costs and Note 7, </w:t>
      </w:r>
      <w:r>
        <w:rPr>
          <w:rFonts w:ascii="Arial" w:cs="Arial" w:eastAsia="Arial" w:hAnsi="Arial"/>
          <w:sz w:val="17"/>
          <w:szCs w:val="17"/>
          <w:i w:val="1"/>
          <w:iCs w:val="1"/>
          <w:color w:val="auto"/>
        </w:rPr>
        <w:t>Property, Plant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Equipment </w:t>
      </w:r>
      <w:r>
        <w:rPr>
          <w:rFonts w:ascii="Arial" w:cs="Arial" w:eastAsia="Arial" w:hAnsi="Arial"/>
          <w:sz w:val="17"/>
          <w:szCs w:val="17"/>
          <w:color w:val="auto"/>
        </w:rPr>
        <w:t>for disclosure about property, plant and equipment.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Accounting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Cycle Accounting</w:t>
      </w:r>
    </w:p>
    <w:p>
      <w:pPr>
        <w:spacing w:after="0" w:line="11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Development Costs</w:t>
      </w:r>
    </w:p>
    <w:p>
      <w:pPr>
        <w:spacing w:after="0" w:line="112"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We estimate the total cost to develop each of our landfill sites to its remaining permitted and expansion capacity (see landfill development costs discussed within the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accounting policy above).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 Interest capitalized during the fiscal years ended December 31, 2022 ("fiscal year 2022"), December 31, 2021 ("fiscal year 2021") and December 31, 2020 ("fiscal year 2020") was $330, $718 and $413,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Airspace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Our engineers, in consultation with third-party engineering consultants and surveyors, are responsible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permitted airspace at our landfills. The remaining permitted airspace is determined by an annual survey, which is then used to compare the existing landfill topography to the expected final landfill topography.</w:t>
      </w:r>
    </w:p>
    <w:p>
      <w:pPr>
        <w:spacing w:after="0" w:line="82" w:lineRule="exact"/>
        <w:rPr>
          <w:sz w:val="20"/>
          <w:szCs w:val="20"/>
          <w:color w:val="auto"/>
        </w:rPr>
      </w:pPr>
    </w:p>
    <w:p>
      <w:pPr>
        <w:ind w:right="780"/>
        <w:spacing w:after="0" w:line="266" w:lineRule="auto"/>
        <w:rPr>
          <w:sz w:val="20"/>
          <w:szCs w:val="20"/>
          <w:color w:val="auto"/>
        </w:rPr>
      </w:pPr>
      <w:r>
        <w:rPr>
          <w:rFonts w:ascii="Arial" w:cs="Arial" w:eastAsia="Arial" w:hAnsi="Arial"/>
          <w:sz w:val="18"/>
          <w:szCs w:val="18"/>
          <w:i w:val="1"/>
          <w:iCs w:val="1"/>
          <w:color w:val="auto"/>
        </w:rPr>
        <w:t>Expansion Airspace</w:t>
      </w:r>
      <w:r>
        <w:rPr>
          <w:rFonts w:ascii="Arial" w:cs="Arial" w:eastAsia="Arial" w:hAnsi="Arial"/>
          <w:sz w:val="18"/>
          <w:szCs w:val="18"/>
          <w:color w:val="auto"/>
        </w:rPr>
        <w:t>. We currently include unpermitted expansion airspace in our estimate of remaining permitted and expansion airspace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To be considered expansion airspace all of the following criteria must be met:</w:t>
      </w:r>
    </w:p>
    <w:p>
      <w:pPr>
        <w:spacing w:after="0" w:line="20" w:lineRule="exact"/>
        <w:rPr>
          <w:sz w:val="20"/>
          <w:szCs w:val="20"/>
          <w:color w:val="auto"/>
        </w:rPr>
      </w:pPr>
    </w:p>
    <w:p>
      <w:pPr>
        <w:ind w:left="480" w:hanging="314"/>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control the land on which the expansion is sought;</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technical siting criteria have been met or a variance has been obtained or is reasonably expected to be obtained;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not identified any legal or political impediments which we believe will not be resolved in our favor;</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are actively working on obtaining any necessary permits and we expect that all required permits will be received; and</w:t>
      </w:r>
    </w:p>
    <w:p>
      <w:pPr>
        <w:spacing w:after="0" w:line="58" w:lineRule="exact"/>
        <w:rPr>
          <w:rFonts w:ascii="Arial" w:cs="Arial" w:eastAsia="Arial" w:hAnsi="Arial"/>
          <w:sz w:val="18"/>
          <w:szCs w:val="18"/>
          <w:color w:val="auto"/>
        </w:rPr>
      </w:pPr>
    </w:p>
    <w:p>
      <w:pPr>
        <w:ind w:left="480" w:right="160" w:hanging="314"/>
        <w:spacing w:after="0" w:line="266" w:lineRule="auto"/>
        <w:tabs>
          <w:tab w:leader="none" w:pos="4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senior management has approved the project based on a review of the engineering design and determination that the financial return profile meets our investment criteria.</w:t>
      </w:r>
    </w:p>
    <w:p>
      <w:pPr>
        <w:spacing w:after="0" w:line="7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w:t>
      </w:r>
    </w:p>
    <w:p>
      <w:pPr>
        <w:spacing w:after="0" w:line="9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spacing w:after="0" w:line="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Capping, Closure and Post-Closure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landfill asset retirement activities and related accounting:</w:t>
      </w:r>
    </w:p>
    <w:p>
      <w:pPr>
        <w:spacing w:after="0" w:line="11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Final Capping Costs. </w:t>
      </w:r>
      <w:r>
        <w:rPr>
          <w:rFonts w:ascii="Arial" w:cs="Arial" w:eastAsia="Arial" w:hAnsi="Arial"/>
          <w:sz w:val="16"/>
          <w:szCs w:val="16"/>
          <w:color w:val="auto"/>
        </w:rPr>
        <w:t>Final capping activities include the installation of liners, drainage, compacted soil layers and topsoil over areas of a landfill where total</w:t>
      </w:r>
      <w:r>
        <w:rPr>
          <w:rFonts w:ascii="Arial" w:cs="Arial" w:eastAsia="Arial" w:hAnsi="Arial"/>
          <w:sz w:val="16"/>
          <w:szCs w:val="16"/>
          <w:i w:val="1"/>
          <w:iCs w:val="1"/>
          <w:color w:val="auto"/>
        </w:rPr>
        <w:t xml:space="preserve"> </w:t>
      </w:r>
      <w:r>
        <w:rPr>
          <w:rFonts w:ascii="Arial" w:cs="Arial" w:eastAsia="Arial" w:hAnsi="Arial"/>
          <w:sz w:val="16"/>
          <w:szCs w:val="16"/>
          <w:color w:val="auto"/>
        </w:rPr>
        <w:t>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spacing w:after="0" w:line="5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Closure and Post-Closure Costs. </w:t>
      </w:r>
      <w:r>
        <w:rPr>
          <w:rFonts w:ascii="Arial" w:cs="Arial" w:eastAsia="Arial" w:hAnsi="Arial"/>
          <w:sz w:val="16"/>
          <w:szCs w:val="16"/>
          <w:color w:val="auto"/>
        </w:rPr>
        <w:t>Closure and post-closure costs represent future estimated costs related to monitoring and maintenance of a solid waste</w:t>
      </w:r>
      <w:r>
        <w:rPr>
          <w:rFonts w:ascii="Arial" w:cs="Arial" w:eastAsia="Arial" w:hAnsi="Arial"/>
          <w:sz w:val="16"/>
          <w:szCs w:val="16"/>
          <w:i w:val="1"/>
          <w:iCs w:val="1"/>
          <w:color w:val="auto"/>
        </w:rPr>
        <w:t xml:space="preserve"> </w:t>
      </w:r>
      <w:r>
        <w:rPr>
          <w:rFonts w:ascii="Arial" w:cs="Arial" w:eastAsia="Arial" w:hAnsi="Arial"/>
          <w:sz w:val="16"/>
          <w:szCs w:val="16"/>
          <w:color w:val="auto"/>
        </w:rPr>
        <w:t>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airspace.</w:t>
      </w:r>
    </w:p>
    <w:p>
      <w:pPr>
        <w:spacing w:after="0" w:line="6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Our estimated future final capping, closure and post-closure costs, based on our interpretation of current requirements and proposed regulatory changes, are intended to approximate fair value. Absent quoted market prices, our cost estimates are based on historical experience, professional engineering judgment and quoted or actual prices paid for similar work. Our estimate of costs to discharge final capping, closure and post-closure asset retirement obligations for landfills are developed in today’s dollars. These costs are then inflated to the period of performance using an estimate of inflation, which is updated annually (2.2% as of December 31, 2022). Final capping, closure and post-closure liabilities are then discounted using the credit adjusted risk-free rate in effect at the time the obligation is incurred. The weighted average rate applicable to our asset retirement obligations as of December 31, 2022 is between approximately 5.1% and 9.9%, the range of the credit adjusted risk free rates effective since the adoption of guidance associated with asset retirement obligations in the fiscal year ended April 30, 2004. Accretion expense is necessary to increase the accrued final capping, closure and post-closure liabilities to the future anticipated obligation. To accomplish this, we accrete our final capping, closure and post-closure accrual balances using the same credit-adjusted risk-free rate that was used to calculate the recorded liability. Accretion expense on recorded landfill liabilities is recorded to cost of operations from the time the liability is recognized until the costs are paid. Accretion expense on recorded landfill liabilities amounted to $7,565, $6,775 and $6,436 in fiscal years 2022, 2021 and 2020, respectively.</w:t>
      </w:r>
    </w:p>
    <w:p>
      <w:pPr>
        <w:spacing w:after="0" w:line="79"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 xml:space="preserve">We provide for the accrual and amortization of estimated future obligations for closure and post-closure based on tonnage placed into each site. With regards to final capping, the liability is recognized, and the costs are amortized based on the remaining airspace related to the specific final capping event. See Note 10, </w:t>
      </w:r>
      <w:r>
        <w:rPr>
          <w:rFonts w:ascii="Arial" w:cs="Arial" w:eastAsia="Arial" w:hAnsi="Arial"/>
          <w:sz w:val="16"/>
          <w:szCs w:val="16"/>
          <w:i w:val="1"/>
          <w:iCs w:val="1"/>
          <w:color w:val="auto"/>
        </w:rPr>
        <w:t>Final Capping, Closure and Post-Closure Costs</w:t>
      </w:r>
      <w:r>
        <w:rPr>
          <w:rFonts w:ascii="Arial" w:cs="Arial" w:eastAsia="Arial" w:hAnsi="Arial"/>
          <w:sz w:val="16"/>
          <w:szCs w:val="16"/>
          <w:color w:val="auto"/>
        </w:rPr>
        <w:t xml:space="preserve"> for disclosure about asset retirement obligations related to final capping, closure and post-closure costs.</w:t>
      </w:r>
    </w:p>
    <w:p>
      <w:pPr>
        <w:spacing w:after="0" w:line="48"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 xml:space="preserve">We operate in states which require a certain portion of landfill final capping, closure and post-closure obligations to be secured by financial assurance, which may take the form of surety bonds, letters of credit and restricted investment securities. Surety bonds securing closure and post-closure obligations at December 31, 2022 and December 31, 2021 totaled $231,871 and $209,275, respectively. There are no letters of credit securing closure and post-closure obligations as of December 31, 2022 and December 31, 2021. See Note 15,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for disclosure about restricted investment securities securing closure and post-closure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Accounting</w:t>
      </w:r>
    </w:p>
    <w:p>
      <w:pPr>
        <w:spacing w:after="0" w:line="11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lease vehicles, equipment, property and other non-core equipment in the ordinary course of our business. Leases are classified as either operating leases or finance leases, as appropriate. Our leases have varying terms and may include renewal or purchase options, escalation clauses, restrictions, lease concessions, capital project funding, penalties or other obligations that we considered historically in determining minimum rental payments. We recognize lease expense for operating leases on a straight-line basis over the lease term. We recognize depreciation expense for finance leases over either the useful life of the asset or the lease term based on the terms of the lease agreement.</w:t>
      </w:r>
    </w:p>
    <w:p>
      <w:pPr>
        <w:spacing w:after="0" w:line="8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also party to three landfill operation and management agreements that we account for as operating leases. These agreements are long-term landfill operating contracts with government bodies whereby we receive tipping revenue, pay normal operating expenses and assume future final capping, closure and post-closure obligations. The government bodies retain ownership of each landfill. There are no bargain purchase options and title to each of the properties does not pass to us at the end of the respective lease terms. We allocate the consideration paid to the landfill airspace rights and underlying land lease based on the relative fair values.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up-front or one-time payments, the landfill operating agreements may require us to make future minimum rental payments, including success or expansion fees, other direct costs and final capping, closure and post-closure costs. The value of all future minimum rental payments is amortized and charged to cost of operations over the life of the contract. We amortize the consideration allocated to airspace rights as airspace is utilized on a units-of-consumption basis and such amortization is charged to cost of operations as airspace is consumed (e.g., as tons are placed into the landfill). The underlying value of any land lease is amortized to cost of operations on a straight-line basis over the estimated life of the respective operating agreement.</w:t>
      </w:r>
    </w:p>
    <w:p>
      <w:pPr>
        <w:spacing w:after="0" w:line="58"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 xml:space="preserve">We recognize a right-of-use asset and a lease liability for core leases classified as operating leases with a term in excess of 12 months in our consolidated balance sheets. For other non-core operating leases, which are comprised of small-dollar-value items such as office equipment, we expense these costs in the period incurred rather than capitalizing such expenditures on our consolidated balance sheets. We identify lease and nonlease components in a contract to which consideration in the contract will be allocated. We may elect by class of underlying asset to choose not to separate nonlease components from lease components and instead account for each separate lease component and the nonlease components in a contract as part of the single lease component. We have elected to not separate lease components from nonlease components for property leases and are, therefore, not allocating consideration between lease and nonlease components for this asset class. Lease payments include: fixed payments, including in-substance fixed payments, less any lease incentives paid or payable to the lessee; variable lease payments that depend on an index or a rate; exercise price of a purchase option reasonably certain to be exercised; penalties for terminating a lease; and amounts where it is probable that we will owe under a residual value guarantee. Refundable deposits are not considered to be a fixed payment. Variable lease costs that are not based on an index or a rate are recorded to expense in the period incurred. Lease term is determined at lease commencement and includes any noncancellable period for which we have the right to use the underlying asset together with any periods covered by an option to extend or terminate the lease if we are reasonably certain to exercise the option to extend or not to exercise the option to terminate. The initial determination of a lease liability is calculated as the net present value of the lease payments not yet paid. The discount rate used to determine present value is the rate implicit in the lease, if present, or, if not present, our incremental borrowing rate, which is a rate that reflects interest that we would have to pay to borrow funds on a collateralized basis over a similar term to the lease and in a similar economic environment. For shorter term leases, such as vehicle and equipment leases, we calculate our incremental borrowing rate using the interest rate from our existing secured line of credit, adjusted based on term. For longer term leases, such as our landfill operating leases, we calculate our incremental borrowing rate based on an industry yield curve with a similar credit rating, adjusted by a company specific spread as determined by a third-party. See Note 8,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further disclosure about lease costs and other lease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the excess of our purchase consideration over the fair value of the net assets of acquired businesses. We do not amortize goodwill, but</w:t>
      </w:r>
      <w:r>
        <w:rPr>
          <w:rFonts w:ascii="Arial" w:cs="Arial" w:eastAsia="Arial" w:hAnsi="Arial"/>
          <w:sz w:val="18"/>
          <w:szCs w:val="18"/>
          <w:i w:val="1"/>
          <w:iCs w:val="1"/>
          <w:color w:val="auto"/>
        </w:rPr>
        <w:t xml:space="preserve"> </w:t>
      </w:r>
      <w:r>
        <w:rPr>
          <w:rFonts w:ascii="Arial" w:cs="Arial" w:eastAsia="Arial" w:hAnsi="Arial"/>
          <w:sz w:val="18"/>
          <w:szCs w:val="18"/>
          <w:color w:val="auto"/>
        </w:rPr>
        <w:t>as discussed in the “</w:t>
      </w:r>
      <w:r>
        <w:rPr>
          <w:rFonts w:ascii="Arial" w:cs="Arial" w:eastAsia="Arial" w:hAnsi="Arial"/>
          <w:sz w:val="18"/>
          <w:szCs w:val="18"/>
          <w:i w:val="1"/>
          <w:iCs w:val="1"/>
          <w:color w:val="auto"/>
        </w:rPr>
        <w:t>Asset Impairments</w:t>
      </w:r>
      <w:r>
        <w:rPr>
          <w:rFonts w:ascii="Arial" w:cs="Arial" w:eastAsia="Arial" w:hAnsi="Arial"/>
          <w:sz w:val="18"/>
          <w:szCs w:val="18"/>
          <w:color w:val="auto"/>
        </w:rPr>
        <w:t xml:space="preserve">” accounting policy below, we assess our goodwill for impairment at least annually. See Note 9,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for disclosure about goodwill.</w:t>
      </w:r>
    </w:p>
    <w:p>
      <w:pPr>
        <w:spacing w:after="0" w:line="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consist primarily of covenants not-to-compete, customer relationships, and trade names. Intangible assets are recorded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fair value and are amortized based on the economic benefit provided or using the sum of years digits or straight-line methods over their estimated useful lives. Covenants not-to-compete, customer relationships and trade names are typically amortized over a term of no more than 10 years. See Note 9,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for disclosure about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11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Investments in unconsolidated entities over which we have significant influence over the investees’ operating and financing activities are accounted for under the equity method of accounting. As of December 31, 2022 and December 31, 2021, we had no investments accounted for under the equity method of accounting. Investments in affiliates in which we do not have the ability to exert significant influence over the investees’ operating and financing activities are accounted for under the cost method of accounting. As of December 31, 2022 and December 31, 2021, we had cost method investments totaling $10,967 and $11,264, respectively.</w:t>
      </w:r>
    </w:p>
    <w:p>
      <w:pPr>
        <w:spacing w:after="0" w:line="88"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 xml:space="preserve">When we assess the carrying value of our investments for potential impairment, determining the fair value of our investments is reliant upon the availability of market information and/or other information provided by third-parties to be able to develop an estimate of fair value. Considerable judgment is required in interpreting market data to develop the estimates of fair value. Accordingly, our estimates are not necessarily indicative of the amounts that we, or other holders of these investments, could realize in a current market exchange. The use of different assumptions and/or estimation methodologies could have a significant effect on the estimated fair values. The estimates of fair value could differ significantly from the amounts presented. See </w:t>
      </w:r>
      <w:r>
        <w:rPr>
          <w:rFonts w:ascii="Arial" w:cs="Arial" w:eastAsia="Arial" w:hAnsi="Arial"/>
          <w:sz w:val="18"/>
          <w:szCs w:val="18"/>
          <w:i w:val="1"/>
          <w:iCs w:val="1"/>
          <w:color w:val="auto"/>
        </w:rPr>
        <w:t>“Asset Impairments”</w:t>
      </w:r>
      <w:r>
        <w:rPr>
          <w:rFonts w:ascii="Arial" w:cs="Arial" w:eastAsia="Arial" w:hAnsi="Arial"/>
          <w:sz w:val="18"/>
          <w:szCs w:val="18"/>
          <w:color w:val="auto"/>
        </w:rPr>
        <w:t xml:space="preserve"> accounting policy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1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 xml:space="preserve">Our financial instruments may include cash and cash equivalents, accounts receivable, restricted investment securities held in trust on deposit with various banks as collateral for our obligations relative to our landfill final capping, closure and post-closure costs, interest rate derivatives, contingent consideration related to acquisitions, trade payables and debt. Accounting standards include disclosure requirements around fair values used for certain financial instruments and establish a fair value hierarchy. The three-tier hierarchy prioritizes valuation inputs into three levels based on the extent to which inputs used in measuring fair value are observable in the market. Each fair value measurement is reported in one of three levels: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 See Note 12, </w:t>
      </w:r>
      <w:r>
        <w:rPr>
          <w:rFonts w:ascii="Arial" w:cs="Arial" w:eastAsia="Arial" w:hAnsi="Arial"/>
          <w:sz w:val="17"/>
          <w:szCs w:val="17"/>
          <w:i w:val="1"/>
          <w:iCs w:val="1"/>
          <w:color w:val="auto"/>
        </w:rPr>
        <w:t>Debt</w:t>
      </w:r>
      <w:r>
        <w:rPr>
          <w:rFonts w:ascii="Arial" w:cs="Arial" w:eastAsia="Arial" w:hAnsi="Arial"/>
          <w:sz w:val="17"/>
          <w:szCs w:val="17"/>
          <w:color w:val="auto"/>
        </w:rPr>
        <w:t xml:space="preserve"> and Note 15, </w:t>
      </w: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for fair value disclosure about debt and financial instruments, respectively. See the “</w:t>
      </w:r>
      <w:r>
        <w:rPr>
          <w:rFonts w:ascii="Arial" w:cs="Arial" w:eastAsia="Arial" w:hAnsi="Arial"/>
          <w:sz w:val="17"/>
          <w:szCs w:val="17"/>
          <w:i w:val="1"/>
          <w:iCs w:val="1"/>
          <w:color w:val="auto"/>
        </w:rPr>
        <w:t>Derivatives and Hedging</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policy below for the fair value disclosure about interest rate derivatives.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18" w:lineRule="exact"/>
        <w:rPr>
          <w:sz w:val="20"/>
          <w:szCs w:val="20"/>
          <w:color w:val="auto"/>
        </w:rPr>
      </w:pPr>
    </w:p>
    <w:p>
      <w:pPr>
        <w:ind w:right="460"/>
        <w:spacing w:after="0" w:line="296" w:lineRule="auto"/>
        <w:rPr>
          <w:sz w:val="20"/>
          <w:szCs w:val="20"/>
          <w:color w:val="auto"/>
        </w:rPr>
      </w:pPr>
      <w:r>
        <w:rPr>
          <w:rFonts w:ascii="Arial" w:cs="Arial" w:eastAsia="Arial" w:hAnsi="Arial"/>
          <w:sz w:val="17"/>
          <w:szCs w:val="17"/>
          <w:color w:val="auto"/>
        </w:rPr>
        <w:t>We acquire businesses in the waste industry, including non-hazardous waste collection, transfer station, recycling and disposal operations, as part of our growth strategy. Businesses are included in the consolidated financial statements from the date of acquisition.</w:t>
      </w:r>
    </w:p>
    <w:p>
      <w:pPr>
        <w:spacing w:after="0" w:line="50"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 xml:space="preserve">We recognize, separately from goodwill, the identifiable assets acquired and liabilities assumed at their estimated acquisition-date fair values. We measure and recognize goodwill as of the acquisition date as the excess of: (a) the aggregate of the fair value of consideration transferred, the fair value of any noncontrolling interest in the acquiree (if any) and the acquisition date fair value of our previously held equity interest in the acquiree (if any), over (b) the fair value of net assets acquired and liabilities assumed. If information about facts and circumstances existing as of the acquisition date is incomplete by the end of the reporting period in which a business combination occurs, we will report provisional amounts for the items for which the accounting is incomplete. The measurement period ends once we receive the information we were seeking; however, this period will not extend beyond one year from the acquisition date. Any material adjustments recognized during the measurement period will be recognized retrospectively in the consolidated financial statements of the current period. All acquisition-related transaction and restructuring costs are to be expensed as incurred. See Note 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for disclosure about business acquisitions</w:t>
      </w:r>
      <w:r>
        <w:rPr>
          <w:rFonts w:ascii="Arial" w:cs="Arial" w:eastAsia="Arial" w:hAnsi="Arial"/>
          <w:sz w:val="17"/>
          <w:szCs w:val="17"/>
          <w:b w:val="1"/>
          <w:bCs w:val="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11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We have recorded environmental remediation liabilities representing our estimate of the most likely outcome of the matters for which we have determined that a liability is probable. These liabilities include potentially responsible party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estimate costs required to remediate sites where it is probable that a liability has been incurred based on site-specific facts and circumstances. Estimates of the cost for the likely remedy are developed using third-party environmental engineers or other service providers. Where we believe that both the amount of a particular environmental remediation liability and timing of payments are reliably determinable, we inflate the cost in current dollars until the expected time of payment and discount the cost to present value. See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disclosure about environmental remediation liabilities.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 Liabilities and Related Costs</w:t>
      </w:r>
    </w:p>
    <w:p>
      <w:pPr>
        <w:spacing w:after="0" w:line="11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self-insured for vehicles and workers’ compensation with reinsurance coverage limiting our maximum exposure. In fiscal year 2022, our maximum exposure per individual event under the workers’ compensation plan was $1,250. In fiscal year 2022, our minimum and maximum exposure per individual event under the automobile plan were up to $1,500 and $3,650, respectively. The liability for unpaid claims and associated expenses, including incurred but not reported losses, is determined by management with the assistance of a third-party actuary and reflected in our consolidated balance sheets as an accrued liability. We use a third-party to track and evaluate actual claims experience for consistency with the data used in the annual actuarial valuation. The actuarial-determined liability is calculated based on historical data, which considers both the frequency and settlement amount of claims. Our self-insurance reserves totaled $22,184 and $19,847 as of December 31, 2022 and December 31, 2021, respectively. Our estimated accruals for these liabilities could be significantly different than our ultimate obligations if variables such as the frequency or severity of future events differ significantly from our assumptions.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spacing w:after="0" w:line="75" w:lineRule="exact"/>
        <w:rPr>
          <w:sz w:val="20"/>
          <w:szCs w:val="20"/>
          <w:color w:val="auto"/>
        </w:rPr>
      </w:pPr>
    </w:p>
    <w:p>
      <w:pPr>
        <w:ind w:right="220"/>
        <w:spacing w:after="0" w:line="296" w:lineRule="auto"/>
        <w:rPr>
          <w:sz w:val="20"/>
          <w:szCs w:val="20"/>
          <w:color w:val="auto"/>
        </w:rPr>
      </w:pPr>
      <w:r>
        <w:rPr>
          <w:rFonts w:ascii="Arial" w:cs="Arial" w:eastAsia="Arial" w:hAnsi="Arial"/>
          <w:sz w:val="17"/>
          <w:szCs w:val="17"/>
          <w:color w:val="auto"/>
        </w:rPr>
        <w:t>We account for income tax uncertainties according to guidance on the recognition, derecognition and measurement of potential tax benefits associated with tax positions. We recognize interest and penalties relating to income tax matters as a component of income tax expense.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17,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disclosure related to income taxes, including the effect of the valuation allowance release in fiscal year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w:t>
      </w:r>
    </w:p>
    <w:p>
      <w:pPr>
        <w:spacing w:after="0" w:line="11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account for derivatives and hedging activities in accordance with derivatives and hedging accounting guidance that establishes accounting and reporting standards requiring that every derivative instrument (including certain derivative instruments embedded in other contracts) be recorded in the consolidated balance sheet as either an asset or liability measured at its fair value. The guidance requires that changes in the derivative’s fair value be recognized currently in earnings unless specific hedge accounting criteria are met.</w:t>
      </w:r>
    </w:p>
    <w:p>
      <w:pPr>
        <w:spacing w:after="0" w:line="85"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 xml:space="preserve">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income (loss),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 See Note 15,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for fair value disclosure about derivative instruments and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further disclosure about interest rate derivatives.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118" w:lineRule="exact"/>
        <w:rPr>
          <w:sz w:val="20"/>
          <w:szCs w:val="20"/>
          <w:color w:val="auto"/>
        </w:rPr>
      </w:pPr>
    </w:p>
    <w:p>
      <w:pPr>
        <w:ind w:right="160"/>
        <w:spacing w:after="0" w:line="328" w:lineRule="auto"/>
        <w:rPr>
          <w:sz w:val="20"/>
          <w:szCs w:val="20"/>
          <w:color w:val="auto"/>
        </w:rPr>
      </w:pPr>
      <w:r>
        <w:rPr>
          <w:rFonts w:ascii="Arial" w:cs="Arial" w:eastAsia="Arial" w:hAnsi="Arial"/>
          <w:sz w:val="14"/>
          <w:szCs w:val="14"/>
          <w:color w:val="auto"/>
        </w:rPr>
        <w:t xml:space="preserve">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 See Note 13,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for disclosure about loss contingencies, as applicable. Contingent liabilities accounted for under purchase accounting are recorded at their fair values. These fair values may be different from the values we would have otherwise recorded, had the contingent liability not been assumed as part of an acquisition of a business. See Note 5,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and Note 15, </w:t>
      </w:r>
      <w:r>
        <w:rPr>
          <w:rFonts w:ascii="Arial" w:cs="Arial" w:eastAsia="Arial" w:hAnsi="Arial"/>
          <w:sz w:val="14"/>
          <w:szCs w:val="14"/>
          <w:i w:val="1"/>
          <w:iCs w:val="1"/>
          <w:color w:val="auto"/>
        </w:rPr>
        <w:t xml:space="preserve">Fair Value of Financial Instruments </w:t>
      </w:r>
      <w:r>
        <w:rPr>
          <w:rFonts w:ascii="Arial" w:cs="Arial" w:eastAsia="Arial" w:hAnsi="Arial"/>
          <w:sz w:val="14"/>
          <w:szCs w:val="14"/>
          <w:color w:val="auto"/>
        </w:rPr>
        <w:t>for disclosure about contingent consideration accounted for under purchase accounting, as applicable.</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We disaggregate our revenues by applicable service line: collection, landfill, transfer, transportation, landfill gas-to-energy, processing, and non-processing, which we refer to as our Customer Solutions business. Under the revenue recognition guidance, revenues are measured based on the consideration specified in a contract with a customer. The circumstances that impact the timing and amount of revenue recognized for each applicable service line may vary based on the nature of the service performed. We generally recognize revenues for services over time as we satisfy the performance obligation by transferring control over the service to the customer as the service is performed and the benefit is received and consumed by the customer. Services are typically delivered in a series as a single bundled performance obligation over either a designated period of time or for specified number of services. Services may also be delivered as a single bundled service, on a period-to-period basis, or in a spot transaction. Consideration may be variable on a per ton basis and/or fixed. Fixed consideration is allocated to each distinct service and variable consideration is allocated to the increment of time that the service is performed, and we have the contractual right to the fee. Fees are typically billed weekly, monthly, quarterly or in advance. Generally, the amount of consideration that we have the right to receive that is invoiced to the customer directly corresponds to the value of our performance completed to date. We do not disclose the amount of variable consideration included in the transaction price that is allocated to outstanding performance obligations when the variable consideration is allocated entirely to unsatisfied performance obligations or to a wholly unsatisfied promise to transfer a distinct good or service that forms part of a single performance obligation. Revenues that are not satisfied over time are recognized at a point-in-time. This typically includes the sale of recycled or organic materials, as well as renewable energy credits ("RECs"). Revenues from the sale of organic or recycled materials are recognized at a point-in-time as control of the materials transfers to the customer upon shipment or pick-up by the customer. Revenues from the sale of RECs are recognized at a point-in-time as the trade is executed and control transfers to the customer.</w:t>
      </w:r>
    </w:p>
    <w:p>
      <w:pPr>
        <w:spacing w:after="0" w:line="7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Payments to customers that are not in exchange for a distinct good or service are recorded as a reduction of revenues. We make rebates to certain customers associated with payments for recycled or organic materials that are received and subsequently processed and sold to other third-parties. Rebates are generally recorded as a reduction of revenues upon the sale of such materials, or upon receipt of the recycled materials at our facilities. We did not record any revenues in fiscal years 2022, 2021, or 2020 from performance obligations satisfied in previous periods.</w:t>
      </w:r>
    </w:p>
    <w:p>
      <w:pPr>
        <w:spacing w:after="0" w:line="7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Contract receivables, which are included in Accounts receivable, net are recorded when billed or when related revenue is earned, if earlier, and represent claims against third-parties that will be settled in cash. Accounts receivable, net includes gross receivables from contracts of $102,234 and $89,232 as of December 31, 2022 and December 31, 2021, respectively. Certain customers are billed in advance and, accordingly, recognition of the related revenues is deferred as a contract liability until the services are provided and control is transferred to the customer. Contract liabilities of $3,742 and $3,404 as of December 31, 2022 and December 31, 2021, respectively, are presented separately on the consolidated balance sheets. Due to the short-term nature of advanced billings, substantially all of the deferred revenue recognized as a contract liability as of December 31, 2021 and December 31, 2020 was recognized as revenue during fiscal years 2022 and 2021, respectively, when the services were performed. See Note 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for disclosure over revenues by applicable service line.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Recovery of Long-Lived Assets. </w:t>
      </w:r>
      <w:r>
        <w:rPr>
          <w:rFonts w:ascii="Arial" w:cs="Arial" w:eastAsia="Arial" w:hAnsi="Arial"/>
          <w:sz w:val="16"/>
          <w:szCs w:val="16"/>
          <w:color w:val="auto"/>
        </w:rPr>
        <w:t>We continually assess whether events or changes in circumstances have occurred that may warrant revision of the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useful lives of our long-lived assets (other than goodwill) or whether the remaining balances of those assets should be evaluated for possible impairment. Long-lived assets include, for example, capitalized landfill costs, other property, plant and equipment, identifiable intangible assets, and operating lease right-of-use assets. Events or changes in circumstances that may indicate that an asset may be impaired include the following:</w:t>
      </w:r>
    </w:p>
    <w:p>
      <w:pPr>
        <w:spacing w:after="0" w:line="3" w:lineRule="exact"/>
        <w:rPr>
          <w:sz w:val="20"/>
          <w:szCs w:val="20"/>
          <w:color w:val="auto"/>
        </w:rPr>
      </w:pPr>
    </w:p>
    <w:p>
      <w:pPr>
        <w:ind w:left="480" w:hanging="314"/>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58" w:lineRule="exact"/>
        <w:rPr>
          <w:rFonts w:ascii="Arial" w:cs="Arial" w:eastAsia="Arial" w:hAnsi="Arial"/>
          <w:sz w:val="18"/>
          <w:szCs w:val="18"/>
          <w:color w:val="auto"/>
        </w:rPr>
      </w:pPr>
    </w:p>
    <w:p>
      <w:pPr>
        <w:ind w:left="480" w:right="40" w:hanging="314"/>
        <w:spacing w:after="0" w:line="266" w:lineRule="auto"/>
        <w:tabs>
          <w:tab w:leader="none" w:pos="4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accumulation of costs significantly in excess of the amount originally expected for the acquisition or construction of a long-lived asset;</w:t>
      </w:r>
    </w:p>
    <w:p>
      <w:pPr>
        <w:spacing w:after="0" w:line="70" w:lineRule="exact"/>
        <w:rPr>
          <w:rFonts w:ascii="Arial" w:cs="Arial" w:eastAsia="Arial" w:hAnsi="Arial"/>
          <w:sz w:val="17"/>
          <w:szCs w:val="17"/>
          <w:color w:val="auto"/>
        </w:rPr>
      </w:pPr>
    </w:p>
    <w:p>
      <w:pPr>
        <w:ind w:left="480" w:right="440" w:hanging="314"/>
        <w:spacing w:after="0" w:line="266" w:lineRule="auto"/>
        <w:tabs>
          <w:tab w:leader="none" w:pos="4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19" w:lineRule="exact"/>
        <w:rPr>
          <w:rFonts w:ascii="Arial" w:cs="Arial" w:eastAsia="Arial" w:hAnsi="Arial"/>
          <w:sz w:val="18"/>
          <w:szCs w:val="18"/>
          <w:color w:val="auto"/>
        </w:rPr>
      </w:pPr>
    </w:p>
    <w:p>
      <w:pPr>
        <w:ind w:left="480" w:right="20" w:hanging="314"/>
        <w:spacing w:after="0" w:line="266" w:lineRule="auto"/>
        <w:tabs>
          <w:tab w:leader="none" w:pos="4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 or</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impairment of goodwill at a reporting unit.</w:t>
      </w:r>
    </w:p>
    <w:p>
      <w:pPr>
        <w:spacing w:after="0" w:line="11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spacing w:after="0" w:line="8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spacing w:after="0" w:line="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w:t>
      </w:r>
    </w:p>
    <w:p>
      <w:pPr>
        <w:spacing w:after="0" w:line="82"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We annually assess goodwill for impairment during the fourth quarter of our fiscal year or more frequently if events or circumstances indicate that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may exist.</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may assess whether a goodwill impairment exists using either a qualitative or a quantitative assessment. If we perform a qualitative assessment, it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 If the qualitative assessment indicates that it is more likely than not that the fair value of a reporting unit is less than its carrying amount, or if we elect not to perform a qualitative assessment, we perform a quantitative assessment to determine whether goodwill impairment exists at the reporting unit.</w:t>
      </w:r>
    </w:p>
    <w:p>
      <w:pPr>
        <w:spacing w:after="0" w:line="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testing for goodwill impairment, we estimate the fair value of each reporting unit, which we have determined to be our geographic operating segments and our Resource Solutions operating segment, and compare the fair value with the carrying value of the net assets of each reporting unit. If the fair value is less than its carrying value, then we would recognize an impairment charge for the amount by which the carrying amount exceeds the reporting unit's fair value, noting that the amount is not to exceed the total amount of goodwill allocated to that reporting unit.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spacing w:after="0" w:line="8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the fair value of goodwill is less than its carrying value for a reporting unit, an impairment charge would be recorded to earnings. The loss recognized cannot exceed the carrying amount of goodwill. After a goodwill impairment loss is recognized, the adjusted carrying amount of goodwill becomes its new accounting basis.</w:t>
      </w:r>
    </w:p>
    <w:p>
      <w:pPr>
        <w:spacing w:after="0" w:line="82"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In addition to an annual goodwill impairment assessment, we would evaluate a reporting unit for impairment if events or circumstances change between annual tests indicating a possible impairment. Examples of such events or circumstances include the following:</w:t>
      </w:r>
    </w:p>
    <w:p>
      <w:pPr>
        <w:spacing w:after="0" w:line="20" w:lineRule="exact"/>
        <w:rPr>
          <w:sz w:val="20"/>
          <w:szCs w:val="20"/>
          <w:color w:val="auto"/>
        </w:rPr>
      </w:pPr>
    </w:p>
    <w:p>
      <w:pPr>
        <w:ind w:left="480" w:hanging="314"/>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significant adverse change in legal status or in the business climate;</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more likely than not expectation that an operating segment or a significant portion thereof will be sold; or</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testing for recoverability of a significant asset group within the operating segment.</w:t>
      </w:r>
    </w:p>
    <w:p>
      <w:pPr>
        <w:spacing w:after="0" w:line="11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elected to perform a quantitative analysis as part of our annual goodwill impairment test for fiscal year 2022. As of October 1, 2022, our Eastern, Western and Resource Solutions reporting units indicated that the fair value of each reporting unit exceeded its carrying amount, including goodwill. Furthermore, in each case the fair value of our Eastern, Western and Resource Solutions reporting units exceeded its carrying value by in excess of 67%. We incurred no impairment of goodwill as a result of our annual goodwill impairment tests in fiscal years 2022, 2021 or 2020. However, there can be no assurance that goodwill will not be impaired at any time in the future.</w:t>
      </w:r>
    </w:p>
    <w:p>
      <w:pPr>
        <w:spacing w:after="0" w:line="88" w:lineRule="exact"/>
        <w:rPr>
          <w:sz w:val="20"/>
          <w:szCs w:val="20"/>
          <w:color w:val="auto"/>
        </w:rPr>
      </w:pPr>
    </w:p>
    <w:p>
      <w:pPr>
        <w:jc w:val="both"/>
        <w:ind w:right="140"/>
        <w:spacing w:after="0" w:line="278" w:lineRule="auto"/>
        <w:rPr>
          <w:sz w:val="20"/>
          <w:szCs w:val="20"/>
          <w:color w:val="auto"/>
        </w:rPr>
      </w:pPr>
      <w:r>
        <w:rPr>
          <w:rFonts w:ascii="Arial" w:cs="Arial" w:eastAsia="Arial" w:hAnsi="Arial"/>
          <w:sz w:val="17"/>
          <w:szCs w:val="17"/>
          <w:i w:val="1"/>
          <w:iCs w:val="1"/>
          <w:color w:val="auto"/>
        </w:rPr>
        <w:t xml:space="preserve">Cost Method Investments. </w:t>
      </w:r>
      <w:r>
        <w:rPr>
          <w:rFonts w:ascii="Arial" w:cs="Arial" w:eastAsia="Arial" w:hAnsi="Arial"/>
          <w:sz w:val="17"/>
          <w:szCs w:val="17"/>
          <w:color w:val="auto"/>
        </w:rPr>
        <w:t>We monitor and assess the carrying value of our cost method investments throughout the year for potential impairment and write</w:t>
      </w:r>
      <w:r>
        <w:rPr>
          <w:rFonts w:ascii="Arial" w:cs="Arial" w:eastAsia="Arial" w:hAnsi="Arial"/>
          <w:sz w:val="17"/>
          <w:szCs w:val="17"/>
          <w:i w:val="1"/>
          <w:iCs w:val="1"/>
          <w:color w:val="auto"/>
        </w:rPr>
        <w:t xml:space="preserve"> </w:t>
      </w:r>
      <w:r>
        <w:rPr>
          <w:rFonts w:ascii="Arial" w:cs="Arial" w:eastAsia="Arial" w:hAnsi="Arial"/>
          <w:sz w:val="17"/>
          <w:szCs w:val="17"/>
          <w:color w:val="auto"/>
        </w:rPr>
        <w:t>them down to their fair value when other-than-temporary declines exist. We incurred no impairment of cost method investments in fiscal year 2022, 2021 or 2020. There can be no assurance that our cost method investments will not be impaired at any time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118" w:lineRule="exact"/>
        <w:rPr>
          <w:sz w:val="20"/>
          <w:szCs w:val="20"/>
          <w:color w:val="auto"/>
        </w:rPr>
      </w:pPr>
    </w:p>
    <w:p>
      <w:pPr>
        <w:ind w:right="40"/>
        <w:spacing w:after="0" w:line="335" w:lineRule="auto"/>
        <w:rPr>
          <w:sz w:val="20"/>
          <w:szCs w:val="20"/>
          <w:color w:val="auto"/>
        </w:rPr>
      </w:pPr>
      <w:r>
        <w:rPr>
          <w:rFonts w:ascii="Arial" w:cs="Arial" w:eastAsia="Arial" w:hAnsi="Arial"/>
          <w:sz w:val="14"/>
          <w:szCs w:val="14"/>
          <w:color w:val="auto"/>
        </w:rPr>
        <w:t xml:space="preserve">We make contributions to one qualified multiemployer defined benefit pension plan ("Pension Plan"). The Pension Plan provides retirement benefits to participants based on their service. We do not administer this plan. The Pension Plan’s benefit formula is based on credited years of service and hours worked as defined in the Pension Plan document. Our pension contributions are made in accordance with funding standards established by the Employee Retirement Income Security Act of 1974 and the Internal Revenue Code, as amended by the Pension Protection Act of 2006. The Pension Plan’s assets have been invested as determined by the Pension Plan's fiduciaries in accordance with the Pension Plan's investment policy. The Pension Plan’s asset allocation is based on the Pension Plan's investment policy and is reviewed as deemed necessary. See Note 16, </w:t>
      </w:r>
      <w:r>
        <w:rPr>
          <w:rFonts w:ascii="Arial" w:cs="Arial" w:eastAsia="Arial" w:hAnsi="Arial"/>
          <w:sz w:val="14"/>
          <w:szCs w:val="14"/>
          <w:i w:val="1"/>
          <w:iCs w:val="1"/>
          <w:color w:val="auto"/>
        </w:rPr>
        <w:t>Employee Benefit Plans</w:t>
      </w:r>
      <w:r>
        <w:rPr>
          <w:rFonts w:ascii="Arial" w:cs="Arial" w:eastAsia="Arial" w:hAnsi="Arial"/>
          <w:sz w:val="14"/>
          <w:szCs w:val="14"/>
          <w:color w:val="auto"/>
        </w:rPr>
        <w:t xml:space="preserve"> for disclosure about the Pension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1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Our equity awards granted generally consist of stock options, restricted stock, restricted stock units and market-based performance stock units. The fair value of each stock option grant is estimated using a Black-Scholes option-pricing model. The fair value of restricted stock and restricted stock unit grants is at a price equal to the fair market value of our Class A common stock at the date of grant. Compensation expense associated with our stock options, restricted stock and restricted stock units is recognized as expense in general and administration expense over the employee’s requisite service period. The fair value of market-based performance stock unit grants is valued using a Monte Carlo pricing model and compensation expense is recognized as expense in general and administration expense ratably over the performance period based on our estimated achievement of the established performance criteria. For purposes of calculating stock-based compensation expense, forfeitures are accounted for as they occur. See Note 14, </w:t>
      </w:r>
      <w:r>
        <w:rPr>
          <w:rFonts w:ascii="Arial" w:cs="Arial" w:eastAsia="Arial" w:hAnsi="Arial"/>
          <w:sz w:val="17"/>
          <w:szCs w:val="17"/>
          <w:i w:val="1"/>
          <w:iCs w:val="1"/>
          <w:color w:val="auto"/>
        </w:rPr>
        <w:t>Stockholders' Equity</w:t>
      </w:r>
      <w:r>
        <w:rPr>
          <w:rFonts w:ascii="Arial" w:cs="Arial" w:eastAsia="Arial" w:hAnsi="Arial"/>
          <w:sz w:val="17"/>
          <w:szCs w:val="17"/>
          <w:color w:val="auto"/>
        </w:rPr>
        <w:t xml:space="preserve"> for disclosure about stock-based compensation.</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0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 xml:space="preserve">Basic earnings per share is computed by dividing net income by the weighted average number of common shares outstanding during the period. Diluted earnings per share is computed by dividing net income by the combined weighted average number of common shares outstanding during the period and potentially dilutive shares. Dilutive shares include the assumed exercise of employee stock options, unvested restricted stock, unvested restricted stock units and unvested market-based performance stock units based on the expected achievement of performance targets. In computing diluted earnings per share, we utilize the treasury stock method. See Note 19,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for disclosure about the calculation of earnings per share.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18" w:lineRule="exact"/>
        <w:rPr>
          <w:sz w:val="20"/>
          <w:szCs w:val="20"/>
          <w:color w:val="auto"/>
        </w:rPr>
      </w:pPr>
    </w:p>
    <w:p>
      <w:pPr>
        <w:ind w:right="220"/>
        <w:spacing w:after="0" w:line="364" w:lineRule="auto"/>
        <w:rPr>
          <w:sz w:val="20"/>
          <w:szCs w:val="20"/>
          <w:color w:val="auto"/>
        </w:rPr>
      </w:pPr>
      <w:r>
        <w:rPr>
          <w:rFonts w:ascii="Arial" w:cs="Arial" w:eastAsia="Arial" w:hAnsi="Arial"/>
          <w:sz w:val="14"/>
          <w:szCs w:val="14"/>
          <w:color w:val="auto"/>
        </w:rPr>
        <w:t>We have evaluated subsequent events or transactions that have occurred after the consolidated balance sheet date of December 31, 2022 through the date of this filing of the consolidated financial statements with the SEC on this Annual Report on Form 10-K. Except as disclosed, no material subsequent events have occurred since December 31, 2022 through the date of this filing that would require recognition or disclosure in our consolidated financial statements.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REVENUE RECOGNITION</w:t>
      </w:r>
    </w:p>
    <w:p>
      <w:pPr>
        <w:spacing w:after="0" w:line="118" w:lineRule="exact"/>
        <w:rPr>
          <w:sz w:val="20"/>
          <w:szCs w:val="20"/>
          <w:color w:val="auto"/>
        </w:rPr>
      </w:pPr>
    </w:p>
    <w:p>
      <w:pPr>
        <w:ind w:right="660"/>
        <w:spacing w:after="0" w:line="266" w:lineRule="auto"/>
        <w:rPr>
          <w:sz w:val="20"/>
          <w:szCs w:val="20"/>
          <w:color w:val="auto"/>
        </w:rPr>
      </w:pPr>
      <w:r>
        <w:rPr>
          <w:rFonts w:ascii="Arial" w:cs="Arial" w:eastAsia="Arial" w:hAnsi="Arial"/>
          <w:sz w:val="18"/>
          <w:szCs w:val="18"/>
          <w:color w:val="auto"/>
        </w:rPr>
        <w:t>We disaggregate our revenues by applicable service line as follows: collection, landfill, transfer, transportation, landfill gas-to-energy, processing and Customer Solutions.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Collection</w:t>
      </w:r>
    </w:p>
    <w:p>
      <w:pPr>
        <w:spacing w:after="0" w:line="112"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Collection revenues are principally generated by providing waste collection and disposal services to our customers. Services may be provided as needed or as scheduled.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Landfill disposal services primarily consist of receiving some form of acceptable solid waste materials at one of our landfills and appropriately disposing of it. Landfill customers are typically charged a tipping fee on a per ton basis for disposing of their solid waste at our disposal facilities. In general, these fees are variable in nature.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station</w:t>
      </w:r>
    </w:p>
    <w:p>
      <w:pPr>
        <w:spacing w:after="0" w:line="1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Transfer station disposal services primarily consist of receiving some form of acceptable solid waste materials at one of our transfer stations and appropriately disposing of it by transporting it to an appropriate disposal site. Transfer station customers are charged a tipping fee on a per ton basis for disposing of their solid waste at our transfer stations. In general, these fees are variable in nature.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w:t>
      </w:r>
    </w:p>
    <w:p>
      <w:pPr>
        <w:spacing w:after="0" w:line="11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Transportation services consist of the transportation of large volumes of waste or recycled materials from a customer designated location to another location or disposal facility. Transportation customers are charged a fee on a per ton basis for transporting and/or disposal of the materials. In general, these fees are variable in nature.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 gas-to-energy</w:t>
      </w:r>
    </w:p>
    <w:p>
      <w:pPr>
        <w:spacing w:after="0" w:line="112"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color w:val="auto"/>
        </w:rPr>
        <w:t>Landfill gas-to-energy services primarily consist of the generation and sale of electricity from landfill gas-to-energy facilities located at certain of our landfills; the reservation of electric generating capacity to be used by a customer on demand; and the sale of RECs.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w:t>
      </w:r>
    </w:p>
    <w:p>
      <w:pPr>
        <w:spacing w:after="0" w:line="11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Processing services consist of the receipt of recycled, sludge or other organic materials at one of our materials recovery, processing or disposal facilities, where it is then sorted, mixed and/or processed, and then disposed of or sold. Revenues from processing services are derived from customers in the form of processing fees, tipping fees, and commodity sales, primarily comprised of newspaper, corrugated containers, plastics, ferrous and aluminum, and organic materials such as our earthlife® soils products including fertilizers, composts and mulches.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Customer </w:t>
      </w:r>
      <w:r>
        <w:rPr>
          <w:rFonts w:ascii="Arial" w:cs="Arial" w:eastAsia="Arial" w:hAnsi="Arial"/>
          <w:sz w:val="18"/>
          <w:szCs w:val="18"/>
          <w:color w:val="auto"/>
        </w:rPr>
        <w:t>S</w:t>
      </w:r>
      <w:r>
        <w:rPr>
          <w:rFonts w:ascii="Arial" w:cs="Arial" w:eastAsia="Arial" w:hAnsi="Arial"/>
          <w:sz w:val="18"/>
          <w:szCs w:val="18"/>
          <w:i w:val="1"/>
          <w:iCs w:val="1"/>
          <w:color w:val="auto"/>
        </w:rPr>
        <w:t>olutions</w:t>
      </w:r>
    </w:p>
    <w:p>
      <w:pPr>
        <w:spacing w:after="0" w:line="11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Revenues from our Customer Solutions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In brokerage arrangements, we act as an agent that facilitates the sale of recyclable materials between an inbound customer and an outbound customer. Revenues from the brokerage of recycled materials are recognized on a net basis at the time of shipment. In general, these fees are variable in nature.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 table of revenues disaggregated by service line and timing of revenue recognition by operating segment follows: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Eastern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6"/>
                <w:szCs w:val="16"/>
                <w:color w:val="auto"/>
              </w:rPr>
            </w:pPr>
          </w:p>
        </w:tc>
        <w:tc>
          <w:tcPr>
            <w:tcW w:w="1260" w:type="dxa"/>
            <w:vAlign w:val="bottom"/>
          </w:tcPr>
          <w:p>
            <w:pPr>
              <w:jc w:val="right"/>
              <w:ind w:right="173"/>
              <w:spacing w:after="0"/>
              <w:rPr>
                <w:sz w:val="20"/>
                <w:szCs w:val="20"/>
                <w:color w:val="auto"/>
              </w:rPr>
            </w:pPr>
            <w:r>
              <w:rPr>
                <w:rFonts w:ascii="Arial" w:cs="Arial" w:eastAsia="Arial" w:hAnsi="Arial"/>
                <w:sz w:val="14"/>
                <w:szCs w:val="14"/>
                <w:b w:val="1"/>
                <w:bCs w:val="1"/>
                <w:color w:val="auto"/>
                <w:w w:val="94"/>
              </w:rPr>
              <w:t>Total Revenues</w:t>
            </w:r>
          </w:p>
        </w:tc>
        <w:tc>
          <w:tcPr>
            <w:tcW w:w="0" w:type="dxa"/>
            <w:vAlign w:val="bottom"/>
          </w:tcPr>
          <w:p>
            <w:pPr>
              <w:spacing w:after="0"/>
              <w:rPr>
                <w:sz w:val="1"/>
                <w:szCs w:val="1"/>
                <w:color w:val="auto"/>
              </w:rPr>
            </w:pPr>
          </w:p>
        </w:tc>
      </w:tr>
      <w:tr>
        <w:trPr>
          <w:trHeight w:val="24"/>
        </w:trPr>
        <w:tc>
          <w:tcPr>
            <w:tcW w:w="5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Collection</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233,043</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539,587</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70,241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97,542</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110,562</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19,867</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129,179</w:t>
            </w:r>
          </w:p>
        </w:tc>
        <w:tc>
          <w:tcPr>
            <w:tcW w:w="0" w:type="dxa"/>
            <w:vAlign w:val="bottom"/>
          </w:tcPr>
          <w:p>
            <w:pPr>
              <w:spacing w:after="0"/>
              <w:rPr>
                <w:sz w:val="1"/>
                <w:szCs w:val="1"/>
                <w:color w:val="auto"/>
              </w:rPr>
            </w:pPr>
          </w:p>
        </w:tc>
      </w:tr>
      <w:tr>
        <w:trPr>
          <w:trHeight w:val="3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Solutions</w:t>
            </w:r>
          </w:p>
        </w:tc>
        <w:tc>
          <w:tcPr>
            <w:tcW w:w="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180,833</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180,833</w:t>
            </w:r>
          </w:p>
        </w:tc>
        <w:tc>
          <w:tcPr>
            <w:tcW w:w="0" w:type="dxa"/>
            <w:vAlign w:val="bottom"/>
          </w:tcPr>
          <w:p>
            <w:pPr>
              <w:spacing w:after="0"/>
              <w:rPr>
                <w:sz w:val="1"/>
                <w:szCs w:val="1"/>
                <w:color w:val="auto"/>
              </w:rPr>
            </w:pPr>
          </w:p>
        </w:tc>
      </w:tr>
      <w:tr>
        <w:trPr>
          <w:trHeight w:val="219"/>
        </w:trPr>
        <w:tc>
          <w:tcPr>
            <w:tcW w:w="5200" w:type="dxa"/>
            <w:vAlign w:val="bottom"/>
          </w:tcPr>
          <w:p>
            <w:pPr>
              <w:ind w:left="20"/>
              <w:spacing w:after="0" w:line="205" w:lineRule="exact"/>
              <w:rPr>
                <w:sz w:val="20"/>
                <w:szCs w:val="20"/>
                <w:color w:val="auto"/>
              </w:rPr>
            </w:pPr>
            <w:r>
              <w:rPr>
                <w:rFonts w:ascii="Arial" w:cs="Arial" w:eastAsia="Arial" w:hAnsi="Arial"/>
                <w:sz w:val="18"/>
                <w:szCs w:val="18"/>
                <w:color w:val="auto"/>
              </w:rPr>
              <w:t>Total revenues</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340,058</w:t>
            </w:r>
          </w:p>
        </w:tc>
        <w:tc>
          <w:tcPr>
            <w:tcW w:w="40" w:type="dxa"/>
            <w:vAlign w:val="bottom"/>
          </w:tcPr>
          <w:p>
            <w:pPr>
              <w:spacing w:after="0"/>
              <w:rPr>
                <w:sz w:val="19"/>
                <w:szCs w:val="19"/>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445,153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299,878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1,085,089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462</w:t>
            </w:r>
          </w:p>
        </w:tc>
        <w:tc>
          <w:tcPr>
            <w:tcW w:w="40" w:type="dxa"/>
            <w:vAlign w:val="bottom"/>
          </w:tcPr>
          <w:p>
            <w:pPr>
              <w:spacing w:after="0"/>
              <w:rPr>
                <w:sz w:val="19"/>
                <w:szCs w:val="19"/>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52,735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55,335</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339,596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1,029,754</w:t>
            </w:r>
          </w:p>
        </w:tc>
        <w:tc>
          <w:tcPr>
            <w:tcW w:w="0" w:type="dxa"/>
            <w:vAlign w:val="bottom"/>
          </w:tcPr>
          <w:p>
            <w:pPr>
              <w:spacing w:after="0"/>
              <w:rPr>
                <w:sz w:val="1"/>
                <w:szCs w:val="1"/>
                <w:color w:val="auto"/>
              </w:rPr>
            </w:pPr>
          </w:p>
        </w:tc>
      </w:tr>
      <w:tr>
        <w:trPr>
          <w:trHeight w:val="218"/>
        </w:trPr>
        <w:tc>
          <w:tcPr>
            <w:tcW w:w="5200" w:type="dxa"/>
            <w:vAlign w:val="bottom"/>
          </w:tcPr>
          <w:p>
            <w:pPr>
              <w:ind w:left="20"/>
              <w:spacing w:after="0" w:line="205" w:lineRule="exact"/>
              <w:rPr>
                <w:sz w:val="20"/>
                <w:szCs w:val="20"/>
                <w:color w:val="auto"/>
              </w:rPr>
            </w:pPr>
            <w:r>
              <w:rPr>
                <w:rFonts w:ascii="Arial" w:cs="Arial" w:eastAsia="Arial" w:hAnsi="Arial"/>
                <w:sz w:val="18"/>
                <w:szCs w:val="18"/>
                <w:color w:val="auto"/>
              </w:rPr>
              <w:t>Total revenues</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340,058</w:t>
            </w:r>
          </w:p>
        </w:tc>
        <w:tc>
          <w:tcPr>
            <w:tcW w:w="40" w:type="dxa"/>
            <w:vAlign w:val="bottom"/>
          </w:tcPr>
          <w:p>
            <w:pPr>
              <w:spacing w:after="0"/>
              <w:rPr>
                <w:sz w:val="18"/>
                <w:szCs w:val="18"/>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445,153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299,878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1,085,089</w:t>
            </w:r>
          </w:p>
        </w:tc>
        <w:tc>
          <w:tcPr>
            <w:tcW w:w="0" w:type="dxa"/>
            <w:vAlign w:val="bottom"/>
          </w:tcPr>
          <w:p>
            <w:pPr>
              <w:spacing w:after="0"/>
              <w:rPr>
                <w:sz w:val="1"/>
                <w:szCs w:val="1"/>
                <w:color w:val="auto"/>
              </w:rPr>
            </w:pPr>
          </w:p>
        </w:tc>
      </w:tr>
      <w:tr>
        <w:trPr>
          <w:trHeight w:val="21"/>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Fiscal Year Ended December 31, 2021</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1"/>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Eastern</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7"/>
                <w:szCs w:val="17"/>
                <w:color w:val="auto"/>
              </w:rPr>
            </w:pPr>
          </w:p>
        </w:tc>
        <w:tc>
          <w:tcPr>
            <w:tcW w:w="1260" w:type="dxa"/>
            <w:vAlign w:val="bottom"/>
          </w:tcPr>
          <w:p>
            <w:pPr>
              <w:jc w:val="right"/>
              <w:ind w:right="173"/>
              <w:spacing w:after="0"/>
              <w:rPr>
                <w:sz w:val="20"/>
                <w:szCs w:val="20"/>
                <w:color w:val="auto"/>
              </w:rPr>
            </w:pPr>
            <w:r>
              <w:rPr>
                <w:rFonts w:ascii="Arial" w:cs="Arial" w:eastAsia="Arial" w:hAnsi="Arial"/>
                <w:sz w:val="14"/>
                <w:szCs w:val="14"/>
                <w:b w:val="1"/>
                <w:bCs w:val="1"/>
                <w:color w:val="auto"/>
                <w:w w:val="94"/>
              </w:rPr>
              <w:t>Total Revenues</w:t>
            </w:r>
          </w:p>
        </w:tc>
        <w:tc>
          <w:tcPr>
            <w:tcW w:w="0" w:type="dxa"/>
            <w:vAlign w:val="bottom"/>
          </w:tcPr>
          <w:p>
            <w:pPr>
              <w:spacing w:after="0"/>
              <w:rPr>
                <w:sz w:val="1"/>
                <w:szCs w:val="1"/>
                <w:color w:val="auto"/>
              </w:rPr>
            </w:pPr>
          </w:p>
        </w:tc>
      </w:tr>
      <w:tr>
        <w:trPr>
          <w:trHeight w:val="24"/>
        </w:trPr>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Collection</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175,816</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442,685</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91,973</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91,282</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13,730</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93,323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102,604</w:t>
            </w:r>
          </w:p>
        </w:tc>
        <w:tc>
          <w:tcPr>
            <w:tcW w:w="0" w:type="dxa"/>
            <w:vAlign w:val="bottom"/>
          </w:tcPr>
          <w:p>
            <w:pPr>
              <w:spacing w:after="0"/>
              <w:rPr>
                <w:sz w:val="1"/>
                <w:szCs w:val="1"/>
                <w:color w:val="auto"/>
              </w:rPr>
            </w:pPr>
          </w:p>
        </w:tc>
      </w:tr>
      <w:tr>
        <w:trPr>
          <w:trHeight w:val="3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Solutions</w:t>
            </w:r>
          </w:p>
        </w:tc>
        <w:tc>
          <w:tcPr>
            <w:tcW w:w="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141,799</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141,799</w:t>
            </w:r>
          </w:p>
        </w:tc>
        <w:tc>
          <w:tcPr>
            <w:tcW w:w="0" w:type="dxa"/>
            <w:vAlign w:val="bottom"/>
          </w:tcPr>
          <w:p>
            <w:pPr>
              <w:spacing w:after="0"/>
              <w:rPr>
                <w:sz w:val="1"/>
                <w:szCs w:val="1"/>
                <w:color w:val="auto"/>
              </w:rPr>
            </w:pPr>
          </w:p>
        </w:tc>
      </w:tr>
      <w:tr>
        <w:trPr>
          <w:trHeight w:val="219"/>
        </w:trPr>
        <w:tc>
          <w:tcPr>
            <w:tcW w:w="5200" w:type="dxa"/>
            <w:vAlign w:val="bottom"/>
          </w:tcPr>
          <w:p>
            <w:pPr>
              <w:ind w:left="20"/>
              <w:spacing w:after="0" w:line="205" w:lineRule="exact"/>
              <w:rPr>
                <w:sz w:val="20"/>
                <w:szCs w:val="20"/>
                <w:color w:val="auto"/>
              </w:rPr>
            </w:pPr>
            <w:r>
              <w:rPr>
                <w:rFonts w:ascii="Arial" w:cs="Arial" w:eastAsia="Arial" w:hAnsi="Arial"/>
                <w:sz w:val="18"/>
                <w:szCs w:val="18"/>
                <w:color w:val="auto"/>
              </w:rPr>
              <w:t>Total revenues</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264,569</w:t>
            </w:r>
          </w:p>
        </w:tc>
        <w:tc>
          <w:tcPr>
            <w:tcW w:w="40" w:type="dxa"/>
            <w:vAlign w:val="bottom"/>
          </w:tcPr>
          <w:p>
            <w:pPr>
              <w:spacing w:after="0"/>
              <w:rPr>
                <w:sz w:val="19"/>
                <w:szCs w:val="19"/>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389,520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235,122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889,211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9"/>
                <w:szCs w:val="19"/>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63,666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65,551</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264,403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823,660</w:t>
            </w:r>
          </w:p>
        </w:tc>
        <w:tc>
          <w:tcPr>
            <w:tcW w:w="0" w:type="dxa"/>
            <w:vAlign w:val="bottom"/>
          </w:tcPr>
          <w:p>
            <w:pPr>
              <w:spacing w:after="0"/>
              <w:rPr>
                <w:sz w:val="1"/>
                <w:szCs w:val="1"/>
                <w:color w:val="auto"/>
              </w:rPr>
            </w:pPr>
          </w:p>
        </w:tc>
      </w:tr>
      <w:tr>
        <w:trPr>
          <w:trHeight w:val="219"/>
        </w:trPr>
        <w:tc>
          <w:tcPr>
            <w:tcW w:w="5200" w:type="dxa"/>
            <w:vAlign w:val="bottom"/>
          </w:tcPr>
          <w:p>
            <w:pPr>
              <w:ind w:left="20"/>
              <w:spacing w:after="0" w:line="205" w:lineRule="exact"/>
              <w:rPr>
                <w:sz w:val="20"/>
                <w:szCs w:val="20"/>
                <w:color w:val="auto"/>
              </w:rPr>
            </w:pPr>
            <w:r>
              <w:rPr>
                <w:rFonts w:ascii="Arial" w:cs="Arial" w:eastAsia="Arial" w:hAnsi="Arial"/>
                <w:sz w:val="18"/>
                <w:szCs w:val="18"/>
                <w:color w:val="auto"/>
              </w:rPr>
              <w:t>Total revenues</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264,569</w:t>
            </w:r>
          </w:p>
        </w:tc>
        <w:tc>
          <w:tcPr>
            <w:tcW w:w="40" w:type="dxa"/>
            <w:vAlign w:val="bottom"/>
          </w:tcPr>
          <w:p>
            <w:pPr>
              <w:spacing w:after="0"/>
              <w:rPr>
                <w:sz w:val="19"/>
                <w:szCs w:val="19"/>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389,520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235,122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889,211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Eastern</w:t>
            </w: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6"/>
                <w:szCs w:val="16"/>
                <w:color w:val="auto"/>
              </w:rPr>
            </w:pPr>
          </w:p>
        </w:tc>
        <w:tc>
          <w:tcPr>
            <w:tcW w:w="1260" w:type="dxa"/>
            <w:vAlign w:val="bottom"/>
          </w:tcPr>
          <w:p>
            <w:pPr>
              <w:jc w:val="right"/>
              <w:ind w:right="173"/>
              <w:spacing w:after="0"/>
              <w:rPr>
                <w:sz w:val="20"/>
                <w:szCs w:val="20"/>
                <w:color w:val="auto"/>
              </w:rPr>
            </w:pPr>
            <w:r>
              <w:rPr>
                <w:rFonts w:ascii="Arial" w:cs="Arial" w:eastAsia="Arial" w:hAnsi="Arial"/>
                <w:sz w:val="14"/>
                <w:szCs w:val="14"/>
                <w:b w:val="1"/>
                <w:bCs w:val="1"/>
                <w:color w:val="auto"/>
                <w:w w:val="94"/>
              </w:rPr>
              <w:t>Total Revenues</w:t>
            </w:r>
          </w:p>
        </w:tc>
      </w:tr>
      <w:tr>
        <w:trPr>
          <w:trHeight w:val="24"/>
        </w:trPr>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9"/>
        </w:trPr>
        <w:tc>
          <w:tcPr>
            <w:tcW w:w="5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Collection</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391,438</w:t>
            </w: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64,833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85,549</w:t>
            </w: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78,847</w:t>
            </w: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11,150</w:t>
            </w: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62,539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69,757</w:t>
            </w:r>
          </w:p>
        </w:tc>
      </w:tr>
      <w:tr>
        <w:trPr>
          <w:trHeight w:val="3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Solutions</w:t>
            </w:r>
          </w:p>
        </w:tc>
        <w:tc>
          <w:tcPr>
            <w:tcW w:w="2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133,771</w:t>
            </w:r>
          </w:p>
        </w:tc>
      </w:tr>
      <w:tr>
        <w:trPr>
          <w:trHeight w:val="219"/>
        </w:trPr>
        <w:tc>
          <w:tcPr>
            <w:tcW w:w="5200" w:type="dxa"/>
            <w:vAlign w:val="bottom"/>
          </w:tcPr>
          <w:p>
            <w:pPr>
              <w:ind w:left="20"/>
              <w:spacing w:after="0" w:line="205" w:lineRule="exact"/>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220,285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357,989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196,310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774,584</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3"/>
        </w:trPr>
        <w:tc>
          <w:tcPr>
            <w:tcW w:w="5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29,621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31,328</w:t>
            </w: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356,505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743,256</w:t>
            </w:r>
          </w:p>
        </w:tc>
      </w:tr>
      <w:tr>
        <w:trPr>
          <w:trHeight w:val="219"/>
        </w:trPr>
        <w:tc>
          <w:tcPr>
            <w:tcW w:w="5200" w:type="dxa"/>
            <w:vAlign w:val="bottom"/>
          </w:tcPr>
          <w:p>
            <w:pPr>
              <w:ind w:left="20"/>
              <w:spacing w:after="0" w:line="205" w:lineRule="exact"/>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220,285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357,989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774,584</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ind w:left="360" w:hanging="354"/>
        <w:spacing w:after="0"/>
        <w:tabs>
          <w:tab w:leader="none" w:pos="3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18" w:lineRule="exact"/>
        <w:rPr>
          <w:sz w:val="20"/>
          <w:szCs w:val="20"/>
          <w:color w:val="auto"/>
        </w:rPr>
      </w:pPr>
    </w:p>
    <w:p>
      <w:pPr>
        <w:ind w:right="720"/>
        <w:spacing w:after="0" w:line="266" w:lineRule="auto"/>
        <w:rPr>
          <w:sz w:val="20"/>
          <w:szCs w:val="20"/>
          <w:color w:val="auto"/>
        </w:rPr>
      </w:pPr>
      <w:r>
        <w:rPr>
          <w:rFonts w:ascii="Arial" w:cs="Arial" w:eastAsia="Arial" w:hAnsi="Arial"/>
          <w:sz w:val="18"/>
          <w:szCs w:val="18"/>
          <w:color w:val="auto"/>
        </w:rPr>
        <w:t>In fiscal year 2022, we acquired fourteen businesses primarily related to our solid-waste operations, including, among others, solid-waste collection, recycling, transfer station and transportation businesses.</w:t>
      </w:r>
    </w:p>
    <w:p>
      <w:pPr>
        <w:spacing w:after="0" w:line="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fiscal year 2021, we acquired ten businesses primarily related to our solid-waste operations, including, among others, solid-waste collection and transfer station businesses and a residential, commercial and roll-off collection business in eastern Connecticut that operates a rail-served construction and demolition processing and waste transfer facility, a waste transfer station, a single-stream recycling facility, and several other recycling operations whose assets and liabilities are allocated between our Eastern region and Resource Solutions operating segments.</w:t>
      </w:r>
    </w:p>
    <w:p>
      <w:pPr>
        <w:spacing w:after="0" w:line="7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In fiscal year 2020, we acquired ten businesses primarily related to our solid-waste operations, including solid-waste collection, recycling and transportation businesses.</w:t>
      </w:r>
    </w:p>
    <w:p>
      <w:pPr>
        <w:spacing w:after="0" w:line="73"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 xml:space="preserve">The operating results of these businesses are included in the accompanying audited consolidated statements of operations from each date of acquisition, and the purchase price has been allocated to the net assets acquired based on fair values at each date of acquisition with the residual amounts recorded as goodwill. Purchase price allocations are based on information existing at the acquisition dates or upon closing the transactions, including contingent consideration. See Note 15,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 xml:space="preserve"> for further disclosure about contingent consideration. Acquired intangible assets other than goodwill that are subject to amortization include customer relationships, trade names and covenants not-to-compete. These are amortized over a two to ten-year period from the date of acquisition. All amounts recorded to goodwill in fiscal years 2022 and 2021 are expected to be deductible for tax purposes.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purchase price paid and the purchase price allocation for acquisitions follows:</w:t>
      </w:r>
    </w:p>
    <w:p>
      <w:pPr>
        <w:spacing w:after="0" w:line="35"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1"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1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5"/>
        </w:trPr>
        <w:tc>
          <w:tcPr>
            <w:tcW w:w="7300" w:type="dxa"/>
            <w:vAlign w:val="bottom"/>
          </w:tcPr>
          <w:p>
            <w:pPr>
              <w:ind w:left="340"/>
              <w:spacing w:after="0"/>
              <w:rPr>
                <w:sz w:val="20"/>
                <w:szCs w:val="20"/>
                <w:color w:val="auto"/>
              </w:rPr>
            </w:pPr>
            <w:r>
              <w:rPr>
                <w:rFonts w:ascii="Arial" w:cs="Arial" w:eastAsia="Arial" w:hAnsi="Arial"/>
                <w:sz w:val="18"/>
                <w:szCs w:val="18"/>
                <w:color w:val="auto"/>
              </w:rPr>
              <w:t>Cash used in acquisitions, net of cash acquired</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76,573</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166,489</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28,990</w:t>
            </w:r>
          </w:p>
        </w:tc>
      </w:tr>
      <w:tr>
        <w:trPr>
          <w:trHeight w:val="227"/>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non-cash consideration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Holdbacks to sellers and contingent consideration</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w:t>
            </w:r>
          </w:p>
        </w:tc>
      </w:tr>
      <w:tr>
        <w:trPr>
          <w:trHeight w:val="220"/>
        </w:trPr>
        <w:tc>
          <w:tcPr>
            <w:tcW w:w="73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Total consideration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33,480</w:t>
            </w:r>
          </w:p>
        </w:tc>
      </w:tr>
      <w:tr>
        <w:trPr>
          <w:trHeight w:val="225"/>
        </w:trPr>
        <w:tc>
          <w:tcPr>
            <w:tcW w:w="7300" w:type="dxa"/>
            <w:vAlign w:val="bottom"/>
          </w:tcPr>
          <w:p>
            <w:pPr>
              <w:ind w:left="20"/>
              <w:spacing w:after="0"/>
              <w:rPr>
                <w:sz w:val="20"/>
                <w:szCs w:val="20"/>
                <w:color w:val="auto"/>
              </w:rPr>
            </w:pPr>
            <w:r>
              <w:rPr>
                <w:rFonts w:ascii="Arial" w:cs="Arial" w:eastAsia="Arial" w:hAnsi="Arial"/>
                <w:sz w:val="18"/>
                <w:szCs w:val="18"/>
                <w:color w:val="auto"/>
              </w:rPr>
              <w:t>Allocated as follows: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5"/>
        </w:trPr>
        <w:tc>
          <w:tcPr>
            <w:tcW w:w="730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25"/>
        </w:trPr>
        <w:tc>
          <w:tcPr>
            <w:tcW w:w="7300" w:type="dxa"/>
            <w:vAlign w:val="bottom"/>
          </w:tcPr>
          <w:p>
            <w:pPr>
              <w:ind w:left="660"/>
              <w:spacing w:after="0"/>
              <w:rPr>
                <w:sz w:val="20"/>
                <w:szCs w:val="20"/>
                <w:color w:val="auto"/>
              </w:rPr>
            </w:pPr>
            <w:r>
              <w:rPr>
                <w:rFonts w:ascii="Arial" w:cs="Arial" w:eastAsia="Arial" w:hAnsi="Arial"/>
                <w:sz w:val="18"/>
                <w:szCs w:val="18"/>
                <w:color w:val="auto"/>
              </w:rPr>
              <w:t>Finance lease right-of-use-assets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Buildings and improvements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25"/>
        </w:trPr>
        <w:tc>
          <w:tcPr>
            <w:tcW w:w="7300" w:type="dxa"/>
            <w:vAlign w:val="bottom"/>
          </w:tcPr>
          <w:p>
            <w:pPr>
              <w:ind w:left="660"/>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46,396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13,493</w:t>
            </w:r>
          </w:p>
        </w:tc>
      </w:tr>
      <w:tr>
        <w:trPr>
          <w:trHeight w:val="227"/>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0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Trade names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00" w:type="dxa"/>
            <w:vAlign w:val="bottom"/>
          </w:tcPr>
          <w:p>
            <w:pPr>
              <w:ind w:left="660"/>
              <w:spacing w:after="0"/>
              <w:rPr>
                <w:sz w:val="20"/>
                <w:szCs w:val="20"/>
                <w:color w:val="auto"/>
              </w:rPr>
            </w:pPr>
            <w:r>
              <w:rPr>
                <w:rFonts w:ascii="Arial" w:cs="Arial" w:eastAsia="Arial" w:hAnsi="Arial"/>
                <w:sz w:val="18"/>
                <w:szCs w:val="18"/>
                <w:color w:val="auto"/>
              </w:rPr>
              <w:t>Covenants not-to-compete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27"/>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w:t>
            </w:r>
          </w:p>
        </w:tc>
      </w:tr>
      <w:tr>
        <w:trPr>
          <w:trHeight w:val="225"/>
        </w:trPr>
        <w:tc>
          <w:tcPr>
            <w:tcW w:w="730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25"/>
        </w:trPr>
        <w:tc>
          <w:tcPr>
            <w:tcW w:w="730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Financing lease liabilities, less current portion</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00" w:type="dxa"/>
            <w:vAlign w:val="bottom"/>
          </w:tcPr>
          <w:p>
            <w:pPr>
              <w:ind w:left="340"/>
              <w:spacing w:after="0"/>
              <w:rPr>
                <w:sz w:val="20"/>
                <w:szCs w:val="20"/>
                <w:color w:val="auto"/>
              </w:rPr>
            </w:pPr>
            <w:r>
              <w:rPr>
                <w:rFonts w:ascii="Arial" w:cs="Arial" w:eastAsia="Arial" w:hAnsi="Arial"/>
                <w:sz w:val="18"/>
                <w:szCs w:val="18"/>
                <w:color w:val="auto"/>
              </w:rPr>
              <w:t>Operating lease liabilities, less current portion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730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Fair value of assets acquired and liabilities assumed</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133,751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24,398</w:t>
            </w:r>
          </w:p>
        </w:tc>
      </w:tr>
      <w:tr>
        <w:trPr>
          <w:trHeight w:val="219"/>
        </w:trPr>
        <w:tc>
          <w:tcPr>
            <w:tcW w:w="7300" w:type="dxa"/>
            <w:vAlign w:val="bottom"/>
          </w:tcPr>
          <w:p>
            <w:pPr>
              <w:ind w:left="20"/>
              <w:spacing w:after="0" w:line="205" w:lineRule="exact"/>
              <w:rPr>
                <w:sz w:val="20"/>
                <w:szCs w:val="20"/>
                <w:color w:val="auto"/>
              </w:rPr>
            </w:pPr>
            <w:r>
              <w:rPr>
                <w:rFonts w:ascii="Arial" w:cs="Arial" w:eastAsia="Arial" w:hAnsi="Arial"/>
                <w:sz w:val="18"/>
                <w:szCs w:val="18"/>
                <w:color w:val="auto"/>
              </w:rPr>
              <w:t>Excess purchase price to be allocated to goodwill</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Certain purchase price allocations are preliminary and are based on information existing at the acquisition dates or upon closing the transaction. Accordingly, the purchase price allocations are subject to change.</w:t>
      </w:r>
    </w:p>
    <w:p>
      <w:pPr>
        <w:spacing w:after="0" w:line="7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Unaudited pro forma combined information that shows our operational results as though each acquisition completed since the beginning of the prior fiscal year had occurred as of January 1, 2020 is as follows.</w:t>
      </w:r>
    </w:p>
    <w:p>
      <w:pPr>
        <w:spacing w:after="0" w:line="1"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Fiscal Year Ended</w:t>
      </w:r>
    </w:p>
    <w:p>
      <w:pPr>
        <w:spacing w:after="0" w:line="1"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922,902</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96,779</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82,223</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63,768</w:t>
            </w:r>
          </w:p>
        </w:tc>
        <w:tc>
          <w:tcPr>
            <w:tcW w:w="0" w:type="dxa"/>
            <w:vAlign w:val="bottom"/>
          </w:tcPr>
          <w:p>
            <w:pPr>
              <w:spacing w:after="0"/>
              <w:rPr>
                <w:sz w:val="1"/>
                <w:szCs w:val="1"/>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84,549</w:t>
            </w:r>
          </w:p>
        </w:tc>
        <w:tc>
          <w:tcPr>
            <w:tcW w:w="0" w:type="dxa"/>
            <w:vAlign w:val="bottom"/>
          </w:tcPr>
          <w:p>
            <w:pPr>
              <w:spacing w:after="0"/>
              <w:rPr>
                <w:sz w:val="1"/>
                <w:szCs w:val="1"/>
                <w:color w:val="auto"/>
              </w:rPr>
            </w:pPr>
          </w:p>
        </w:tc>
      </w:tr>
      <w:tr>
        <w:trPr>
          <w:trHeight w:val="266"/>
        </w:trPr>
        <w:tc>
          <w:tcPr>
            <w:tcW w:w="7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48,793</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260" w:type="dxa"/>
            <w:vAlign w:val="bottom"/>
            <w:tcBorders>
              <w:bottom w:val="single" w:sz="8" w:color="CCEEFF"/>
            </w:tcBorders>
            <w:shd w:val="clear" w:color="auto" w:fill="CCEEFF"/>
          </w:tcPr>
          <w:p>
            <w:pPr>
              <w:ind w:left="340"/>
              <w:spacing w:after="0" w:line="204" w:lineRule="exact"/>
              <w:rPr>
                <w:sz w:val="20"/>
                <w:szCs w:val="20"/>
                <w:color w:val="auto"/>
              </w:rPr>
            </w:pPr>
            <w:r>
              <w:rPr>
                <w:rFonts w:ascii="Arial" w:cs="Arial" w:eastAsia="Arial" w:hAnsi="Arial"/>
                <w:sz w:val="18"/>
                <w:szCs w:val="18"/>
                <w:color w:val="auto"/>
              </w:rPr>
              <w:t>Basic earnings per common share</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7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2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1"/>
              <w:spacing w:after="0" w:line="19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1"/>
              <w:spacing w:after="0" w:line="19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0.73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1"/>
              <w:spacing w:after="0" w:line="199"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spacing w:after="0" w:line="364" w:lineRule="auto"/>
        <w:rPr>
          <w:sz w:val="20"/>
          <w:szCs w:val="20"/>
          <w:color w:val="auto"/>
        </w:rPr>
      </w:pPr>
      <w:r>
        <w:rPr>
          <w:rFonts w:ascii="Arial" w:cs="Arial" w:eastAsia="Arial" w:hAnsi="Arial"/>
          <w:sz w:val="14"/>
          <w:szCs w:val="14"/>
          <w:color w:val="auto"/>
        </w:rPr>
        <w:t>The unaudited pro forma results set forth in the table above have been prepared for comparative purposes only and are not necessarily indicative of the actual results of operations had the acquisitions taken place as of January 1, 2020 or the results of our future operations. Furthermore, the unaudited pro forma results do not give effect to all cost savings or incremental costs that may occur as a result of the integration and consolidation of the completed acquisitions.</w:t>
      </w:r>
    </w:p>
    <w:p>
      <w:pPr>
        <w:spacing w:after="0" w:line="112" w:lineRule="exact"/>
        <w:rPr>
          <w:sz w:val="20"/>
          <w:szCs w:val="20"/>
          <w:color w:val="auto"/>
        </w:rPr>
      </w:pPr>
    </w:p>
    <w:p>
      <w:pPr>
        <w:ind w:right="4880"/>
        <w:spacing w:after="0" w:line="390" w:lineRule="auto"/>
        <w:rPr>
          <w:sz w:val="20"/>
          <w:szCs w:val="20"/>
          <w:color w:val="auto"/>
        </w:rPr>
      </w:pPr>
      <w:r>
        <w:rPr>
          <w:rFonts w:ascii="Arial" w:cs="Arial" w:eastAsia="Arial" w:hAnsi="Arial"/>
          <w:sz w:val="18"/>
          <w:szCs w:val="18"/>
          <w:b w:val="1"/>
          <w:bCs w:val="1"/>
          <w:color w:val="auto"/>
        </w:rPr>
        <w:t xml:space="preserve">6. ACCOUNTS RECEIVABLE, NET OF ALLOWANCE FOR CREDIT LOSSES </w:t>
      </w:r>
      <w:r>
        <w:rPr>
          <w:rFonts w:ascii="Arial" w:cs="Arial" w:eastAsia="Arial" w:hAnsi="Arial"/>
          <w:sz w:val="18"/>
          <w:szCs w:val="18"/>
          <w:color w:val="auto"/>
        </w:rPr>
        <w:t>A summary of the changes to allowance for credit losses follows:</w:t>
      </w:r>
    </w:p>
    <w:p>
      <w:pPr>
        <w:ind w:left="7480"/>
        <w:spacing w:after="0" w:line="223" w:lineRule="auto"/>
        <w:rPr>
          <w:sz w:val="20"/>
          <w:szCs w:val="20"/>
          <w:color w:val="auto"/>
        </w:rPr>
      </w:pPr>
      <w:r>
        <w:rPr>
          <w:rFonts w:ascii="Arial" w:cs="Arial" w:eastAsia="Arial" w:hAnsi="Arial"/>
          <w:sz w:val="14"/>
          <w:szCs w:val="14"/>
          <w:b w:val="1"/>
          <w:bCs w:val="1"/>
          <w:color w:val="auto"/>
        </w:rPr>
        <w:t>Fiscal Year Ended</w:t>
      </w:r>
    </w:p>
    <w:p>
      <w:pPr>
        <w:spacing w:after="0" w:line="1"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26"/>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3,276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r>
      <w:tr>
        <w:trPr>
          <w:trHeight w:val="225"/>
        </w:trPr>
        <w:tc>
          <w:tcPr>
            <w:tcW w:w="5520" w:type="dxa"/>
            <w:vAlign w:val="bottom"/>
          </w:tcPr>
          <w:p>
            <w:pPr>
              <w:ind w:left="140"/>
              <w:spacing w:after="0"/>
              <w:rPr>
                <w:sz w:val="20"/>
                <w:szCs w:val="20"/>
                <w:color w:val="auto"/>
              </w:rPr>
            </w:pPr>
            <w:r>
              <w:rPr>
                <w:rFonts w:ascii="Arial" w:cs="Arial" w:eastAsia="Arial" w:hAnsi="Arial"/>
                <w:sz w:val="18"/>
                <w:szCs w:val="18"/>
                <w:color w:val="auto"/>
              </w:rPr>
              <w:t>Cumulative effect of new accounting principle</w:t>
            </w:r>
          </w:p>
        </w:tc>
        <w:tc>
          <w:tcPr>
            <w:tcW w:w="9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7"/>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 charged to expense</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r>
      <w:tr>
        <w:trPr>
          <w:trHeight w:val="225"/>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Deductions - bad debts written off, net of recoveries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1"/>
              </w:rPr>
              <w:t>(2,153)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r>
      <w:tr>
        <w:trPr>
          <w:trHeight w:val="244"/>
        </w:trPr>
        <w:tc>
          <w:tcPr>
            <w:tcW w:w="5520" w:type="dxa"/>
            <w:vAlign w:val="bottom"/>
            <w:tcBorders>
              <w:bottom w:val="single" w:sz="8" w:color="CCEEFF"/>
            </w:tcBorders>
            <w:shd w:val="clear" w:color="auto" w:fill="CCEEFF"/>
          </w:tcPr>
          <w:p>
            <w:pPr>
              <w:ind w:left="140"/>
              <w:spacing w:after="0" w:line="206" w:lineRule="exact"/>
              <w:rPr>
                <w:sz w:val="20"/>
                <w:szCs w:val="20"/>
                <w:color w:val="auto"/>
              </w:rPr>
            </w:pPr>
            <w:r>
              <w:rPr>
                <w:rFonts w:ascii="Arial" w:cs="Arial" w:eastAsia="Arial" w:hAnsi="Arial"/>
                <w:sz w:val="18"/>
                <w:szCs w:val="18"/>
                <w:color w:val="auto"/>
              </w:rPr>
              <w:t>Balance at end of period</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tab/>
        <w:t>PROPERTY, PLANT AND EQUIPMENT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plant and equipment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ind w:left="740"/>
              <w:spacing w:after="0"/>
              <w:rPr>
                <w:sz w:val="20"/>
                <w:szCs w:val="20"/>
                <w:color w:val="auto"/>
              </w:rPr>
            </w:pPr>
            <w:r>
              <w:rPr>
                <w:rFonts w:ascii="Arial" w:cs="Arial" w:eastAsia="Arial" w:hAnsi="Arial"/>
                <w:sz w:val="14"/>
                <w:szCs w:val="14"/>
                <w:b w:val="1"/>
                <w:bCs w:val="1"/>
                <w:color w:val="auto"/>
                <w:w w:val="98"/>
              </w:rPr>
              <w:t>December 31,</w:t>
            </w:r>
          </w:p>
        </w:tc>
        <w:tc>
          <w:tcPr>
            <w:tcW w:w="98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34,118</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Landfills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730,914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677,023</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78,851</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209,234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187,810</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207,305</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Rolling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276,282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252,642</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Containers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197,834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179,949</w:t>
            </w:r>
          </w:p>
        </w:tc>
      </w:tr>
      <w:tr>
        <w:trPr>
          <w:trHeight w:val="219"/>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1,785,306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1,617,698</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1"/>
              </w:rPr>
              <w:t>(1,064,756)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(973,094)</w:t>
            </w:r>
          </w:p>
        </w:tc>
      </w:tr>
      <w:tr>
        <w:trPr>
          <w:trHeight w:val="219"/>
        </w:trPr>
        <w:tc>
          <w:tcPr>
            <w:tcW w:w="824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720,550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644,604</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Depreciation expense for fiscal years 2022, 2021 and 2020 was $78,139, $62,342 and $54,370, respectively. Landfill amortization expense for fiscal years 2022, 2021 and 2020 was $31,619, $30,295 and $27,520, respectively.</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tab/>
        <w:t>LEASES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schedule of lease costs and other lease information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Fiscal Year Ended</w:t>
            </w:r>
          </w:p>
        </w:tc>
        <w:tc>
          <w:tcPr>
            <w:tcW w:w="280" w:type="dxa"/>
            <w:vAlign w:val="bottom"/>
          </w:tcPr>
          <w:p>
            <w:pPr>
              <w:spacing w:after="0"/>
              <w:rPr>
                <w:sz w:val="14"/>
                <w:szCs w:val="14"/>
                <w:color w:val="auto"/>
              </w:rPr>
            </w:pPr>
          </w:p>
        </w:tc>
        <w:tc>
          <w:tcPr>
            <w:tcW w:w="1800" w:type="dxa"/>
            <w:vAlign w:val="bottom"/>
          </w:tcPr>
          <w:p>
            <w:pPr>
              <w:jc w:val="right"/>
              <w:ind w:right="414"/>
              <w:spacing w:after="0"/>
              <w:rPr>
                <w:sz w:val="20"/>
                <w:szCs w:val="20"/>
                <w:color w:val="auto"/>
              </w:rPr>
            </w:pPr>
            <w:r>
              <w:rPr>
                <w:rFonts w:ascii="Arial" w:cs="Arial" w:eastAsia="Arial" w:hAnsi="Arial"/>
                <w:sz w:val="14"/>
                <w:szCs w:val="14"/>
                <w:b w:val="1"/>
                <w:bCs w:val="1"/>
                <w:color w:val="auto"/>
              </w:rPr>
              <w:t>Fiscal Year Ended</w:t>
            </w:r>
          </w:p>
        </w:tc>
      </w:tr>
      <w:tr>
        <w:trPr>
          <w:trHeight w:val="190"/>
        </w:trPr>
        <w:tc>
          <w:tcPr>
            <w:tcW w:w="7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 2022</w:t>
            </w:r>
          </w:p>
        </w:tc>
        <w:tc>
          <w:tcPr>
            <w:tcW w:w="280" w:type="dxa"/>
            <w:vAlign w:val="bottom"/>
          </w:tcPr>
          <w:p>
            <w:pPr>
              <w:spacing w:after="0"/>
              <w:rPr>
                <w:sz w:val="16"/>
                <w:szCs w:val="16"/>
                <w:color w:val="auto"/>
              </w:rPr>
            </w:pPr>
          </w:p>
        </w:tc>
        <w:tc>
          <w:tcPr>
            <w:tcW w:w="180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 2021</w:t>
            </w:r>
          </w:p>
        </w:tc>
      </w:tr>
      <w:tr>
        <w:trPr>
          <w:trHeight w:val="212"/>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cost:</w:t>
            </w: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5"/>
        </w:trPr>
        <w:tc>
          <w:tcPr>
            <w:tcW w:w="7120" w:type="dxa"/>
            <w:vAlign w:val="bottom"/>
          </w:tcPr>
          <w:p>
            <w:pPr>
              <w:ind w:left="40"/>
              <w:spacing w:after="0"/>
              <w:rPr>
                <w:sz w:val="20"/>
                <w:szCs w:val="20"/>
                <w:color w:val="auto"/>
              </w:rPr>
            </w:pPr>
            <w:r>
              <w:rPr>
                <w:rFonts w:ascii="Arial" w:cs="Arial" w:eastAsia="Arial" w:hAnsi="Arial"/>
                <w:sz w:val="18"/>
                <w:szCs w:val="18"/>
                <w:color w:val="auto"/>
              </w:rPr>
              <w:t>Amortization of right-of-use assets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6,339</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34"/>
              <w:spacing w:after="0"/>
              <w:rPr>
                <w:sz w:val="20"/>
                <w:szCs w:val="20"/>
                <w:color w:val="auto"/>
              </w:rPr>
            </w:pPr>
            <w:r>
              <w:rPr>
                <w:rFonts w:ascii="Arial" w:cs="Arial" w:eastAsia="Arial" w:hAnsi="Arial"/>
                <w:sz w:val="18"/>
                <w:szCs w:val="18"/>
                <w:color w:val="auto"/>
              </w:rPr>
              <w:t>5,118</w:t>
            </w:r>
          </w:p>
        </w:tc>
      </w:tr>
      <w:tr>
        <w:trPr>
          <w:trHeight w:val="227"/>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1,446</w:t>
            </w:r>
          </w:p>
        </w:tc>
      </w:tr>
      <w:tr>
        <w:trPr>
          <w:trHeight w:val="225"/>
        </w:trPr>
        <w:tc>
          <w:tcPr>
            <w:tcW w:w="7120" w:type="dxa"/>
            <w:vAlign w:val="bottom"/>
          </w:tcPr>
          <w:p>
            <w:pPr>
              <w:ind w:left="260"/>
              <w:spacing w:after="0"/>
              <w:rPr>
                <w:sz w:val="20"/>
                <w:szCs w:val="20"/>
                <w:color w:val="auto"/>
              </w:rPr>
            </w:pPr>
            <w:r>
              <w:rPr>
                <w:rFonts w:ascii="Arial" w:cs="Arial" w:eastAsia="Arial" w:hAnsi="Arial"/>
                <w:sz w:val="18"/>
                <w:szCs w:val="18"/>
                <w:color w:val="auto"/>
              </w:rPr>
              <w:t>Fixed lease cost - vehicles, equipment and property</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ind w:right="134"/>
              <w:spacing w:after="0"/>
              <w:rPr>
                <w:sz w:val="20"/>
                <w:szCs w:val="20"/>
                <w:color w:val="auto"/>
              </w:rPr>
            </w:pPr>
            <w:r>
              <w:rPr>
                <w:rFonts w:ascii="Arial" w:cs="Arial" w:eastAsia="Arial" w:hAnsi="Arial"/>
                <w:sz w:val="18"/>
                <w:szCs w:val="18"/>
                <w:color w:val="auto"/>
              </w:rPr>
              <w:t>5,562</w:t>
            </w:r>
          </w:p>
        </w:tc>
      </w:tr>
      <w:tr>
        <w:trPr>
          <w:trHeight w:val="227"/>
        </w:trPr>
        <w:tc>
          <w:tcPr>
            <w:tcW w:w="7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Fixed lease cost - landfill operating leases</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8,265</w:t>
            </w:r>
          </w:p>
        </w:tc>
      </w:tr>
      <w:tr>
        <w:trPr>
          <w:trHeight w:val="219"/>
        </w:trPr>
        <w:tc>
          <w:tcPr>
            <w:tcW w:w="7120" w:type="dxa"/>
            <w:vAlign w:val="bottom"/>
          </w:tcPr>
          <w:p>
            <w:pPr>
              <w:ind w:left="20"/>
              <w:spacing w:after="0"/>
              <w:rPr>
                <w:sz w:val="20"/>
                <w:szCs w:val="20"/>
                <w:color w:val="auto"/>
              </w:rPr>
            </w:pPr>
            <w:r>
              <w:rPr>
                <w:rFonts w:ascii="Arial" w:cs="Arial" w:eastAsia="Arial" w:hAnsi="Arial"/>
                <w:sz w:val="18"/>
                <w:szCs w:val="18"/>
                <w:color w:val="auto"/>
              </w:rPr>
              <w:t>Fixed lease cost</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13,804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ind w:right="134"/>
              <w:spacing w:after="0"/>
              <w:rPr>
                <w:sz w:val="20"/>
                <w:szCs w:val="20"/>
                <w:color w:val="auto"/>
              </w:rPr>
            </w:pPr>
            <w:r>
              <w:rPr>
                <w:rFonts w:ascii="Arial" w:cs="Arial" w:eastAsia="Arial" w:hAnsi="Arial"/>
                <w:sz w:val="18"/>
                <w:szCs w:val="18"/>
                <w:color w:val="auto"/>
              </w:rPr>
              <w:t>13,827</w:t>
            </w:r>
          </w:p>
        </w:tc>
      </w:tr>
      <w:tr>
        <w:trPr>
          <w:trHeight w:val="227"/>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3,525</w:t>
            </w:r>
          </w:p>
        </w:tc>
      </w:tr>
      <w:tr>
        <w:trPr>
          <w:trHeight w:val="225"/>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477</w:t>
            </w:r>
          </w:p>
        </w:tc>
      </w:tr>
      <w:tr>
        <w:trPr>
          <w:trHeight w:val="245"/>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24,393</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7"/>
        </w:trPr>
        <w:tc>
          <w:tcPr>
            <w:tcW w:w="7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Financing cash flows for finance leases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6,534</w:t>
            </w:r>
          </w:p>
        </w:tc>
      </w:tr>
      <w:tr>
        <w:trPr>
          <w:trHeight w:val="225"/>
        </w:trPr>
        <w:tc>
          <w:tcPr>
            <w:tcW w:w="7120" w:type="dxa"/>
            <w:vAlign w:val="bottom"/>
          </w:tcPr>
          <w:p>
            <w:pPr>
              <w:ind w:left="240"/>
              <w:spacing w:after="0"/>
              <w:rPr>
                <w:sz w:val="20"/>
                <w:szCs w:val="20"/>
                <w:color w:val="auto"/>
              </w:rPr>
            </w:pPr>
            <w:r>
              <w:rPr>
                <w:rFonts w:ascii="Arial" w:cs="Arial" w:eastAsia="Arial" w:hAnsi="Arial"/>
                <w:sz w:val="18"/>
                <w:szCs w:val="18"/>
                <w:color w:val="auto"/>
              </w:rPr>
              <w:t>Operating cash flows for operating leases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10,009</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34"/>
              <w:spacing w:after="0"/>
              <w:rPr>
                <w:sz w:val="20"/>
                <w:szCs w:val="20"/>
                <w:color w:val="auto"/>
              </w:rPr>
            </w:pPr>
            <w:r>
              <w:rPr>
                <w:rFonts w:ascii="Arial" w:cs="Arial" w:eastAsia="Arial" w:hAnsi="Arial"/>
                <w:sz w:val="18"/>
                <w:szCs w:val="18"/>
                <w:color w:val="auto"/>
              </w:rPr>
              <w:t>10,609</w:t>
            </w:r>
          </w:p>
        </w:tc>
      </w:tr>
      <w:tr>
        <w:trPr>
          <w:trHeight w:val="227"/>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20,753</w:t>
            </w: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9,835</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34"/>
              <w:spacing w:after="0"/>
              <w:rPr>
                <w:sz w:val="20"/>
                <w:szCs w:val="20"/>
                <w:color w:val="auto"/>
              </w:rPr>
            </w:pPr>
            <w:r>
              <w:rPr>
                <w:rFonts w:ascii="Arial" w:cs="Arial" w:eastAsia="Arial" w:hAnsi="Arial"/>
                <w:sz w:val="18"/>
                <w:szCs w:val="18"/>
                <w:color w:val="auto"/>
              </w:rPr>
              <w:t>3,827</w:t>
            </w:r>
          </w:p>
        </w:tc>
      </w:tr>
      <w:tr>
        <w:trPr>
          <w:trHeight w:val="267"/>
        </w:trPr>
        <w:tc>
          <w:tcPr>
            <w:tcW w:w="7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193"/>
        </w:trPr>
        <w:tc>
          <w:tcPr>
            <w:tcW w:w="7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December 31, 2022</w:t>
            </w:r>
          </w:p>
        </w:tc>
      </w:tr>
      <w:tr>
        <w:trPr>
          <w:trHeight w:val="22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finance leases (years)</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 (years)</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7"/>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4.4 %</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Estimated minimum future lease obligations as of December 31, 2022 for each of the next five fiscal years and thereafter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2"/>
          </w:tcPr>
          <w:p>
            <w:pPr>
              <w:ind w:left="240"/>
              <w:spacing w:after="0"/>
              <w:rPr>
                <w:sz w:val="20"/>
                <w:szCs w:val="20"/>
                <w:color w:val="auto"/>
              </w:rPr>
            </w:pPr>
            <w:r>
              <w:rPr>
                <w:rFonts w:ascii="Arial" w:cs="Arial" w:eastAsia="Arial" w:hAnsi="Arial"/>
                <w:sz w:val="14"/>
                <w:szCs w:val="14"/>
                <w:b w:val="1"/>
                <w:bCs w:val="1"/>
                <w:color w:val="auto"/>
              </w:rPr>
              <w:t>Operating Leases</w:t>
            </w:r>
          </w:p>
        </w:tc>
        <w:tc>
          <w:tcPr>
            <w:tcW w:w="380" w:type="dxa"/>
            <w:vAlign w:val="bottom"/>
          </w:tcPr>
          <w:p>
            <w:pPr>
              <w:spacing w:after="0"/>
              <w:rPr>
                <w:sz w:val="16"/>
                <w:szCs w:val="16"/>
                <w:color w:val="auto"/>
              </w:rPr>
            </w:pPr>
          </w:p>
        </w:tc>
        <w:tc>
          <w:tcPr>
            <w:tcW w:w="1800" w:type="dxa"/>
            <w:vAlign w:val="bottom"/>
          </w:tcPr>
          <w:p>
            <w:pPr>
              <w:jc w:val="right"/>
              <w:ind w:right="553"/>
              <w:spacing w:after="0"/>
              <w:rPr>
                <w:sz w:val="20"/>
                <w:szCs w:val="20"/>
                <w:color w:val="auto"/>
              </w:rPr>
            </w:pPr>
            <w:r>
              <w:rPr>
                <w:rFonts w:ascii="Arial" w:cs="Arial" w:eastAsia="Arial" w:hAnsi="Arial"/>
                <w:sz w:val="14"/>
                <w:szCs w:val="14"/>
                <w:b w:val="1"/>
                <w:bCs w:val="1"/>
                <w:color w:val="auto"/>
              </w:rPr>
              <w:t>Finance Leases</w:t>
            </w:r>
          </w:p>
        </w:tc>
      </w:tr>
      <w:tr>
        <w:trPr>
          <w:trHeight w:val="24"/>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9"/>
        </w:trPr>
        <w:tc>
          <w:tcPr>
            <w:tcW w:w="6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Fiscal year ending December 31, 2023</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w:t>
            </w: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Fiscal year ending December 31, 2024</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8,845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10,313</w:t>
            </w: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2025</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10,153</w:t>
            </w: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Fiscal year ending December 31, 2026</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8,567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9,601</w:t>
            </w: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2027</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10,367</w:t>
            </w:r>
          </w:p>
        </w:tc>
      </w:tr>
      <w:tr>
        <w:trPr>
          <w:trHeight w:val="220"/>
        </w:trPr>
        <w:tc>
          <w:tcPr>
            <w:tcW w:w="67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56,122</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 expense</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r>
      <w:tr>
        <w:trPr>
          <w:trHeight w:val="244"/>
        </w:trPr>
        <w:tc>
          <w:tcPr>
            <w:tcW w:w="674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Lease liability balance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49,813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hanging="354"/>
        <w:spacing w:after="0"/>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reportable operating segment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December 31, 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8"/>
              </w:rPr>
              <w:t>Acquisitions</w:t>
            </w: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Measurement Period</w:t>
            </w:r>
          </w:p>
        </w:tc>
        <w:tc>
          <w:tcPr>
            <w:tcW w:w="200" w:type="dxa"/>
            <w:vAlign w:val="bottom"/>
          </w:tcPr>
          <w:p>
            <w:pPr>
              <w:spacing w:after="0"/>
              <w:rPr>
                <w:sz w:val="14"/>
                <w:szCs w:val="14"/>
                <w:color w:val="auto"/>
              </w:rPr>
            </w:pPr>
          </w:p>
        </w:tc>
        <w:tc>
          <w:tcPr>
            <w:tcW w:w="152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52,406</w:t>
            </w:r>
          </w:p>
        </w:tc>
        <w:tc>
          <w:tcPr>
            <w:tcW w:w="0" w:type="dxa"/>
            <w:vAlign w:val="bottom"/>
          </w:tcPr>
          <w:p>
            <w:pPr>
              <w:spacing w:after="0"/>
              <w:rPr>
                <w:sz w:val="1"/>
                <w:szCs w:val="1"/>
                <w:color w:val="auto"/>
              </w:rPr>
            </w:pPr>
          </w:p>
        </w:tc>
      </w:tr>
      <w:tr>
        <w:trPr>
          <w:trHeight w:val="225"/>
        </w:trPr>
        <w:tc>
          <w:tcPr>
            <w:tcW w:w="4040" w:type="dxa"/>
            <w:vAlign w:val="bottom"/>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163,728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18,908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183,286</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38,766</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line="205"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40,707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274,458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December 31, 2020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8"/>
              </w:rPr>
              <w:t>Acquisitions</w:t>
            </w:r>
          </w:p>
        </w:tc>
        <w:tc>
          <w:tcPr>
            <w:tcW w:w="160" w:type="dxa"/>
            <w:vAlign w:val="bottom"/>
          </w:tcPr>
          <w:p>
            <w:pPr>
              <w:spacing w:after="0"/>
              <w:rPr>
                <w:sz w:val="24"/>
                <w:szCs w:val="2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Measurement Period</w:t>
            </w:r>
          </w:p>
        </w:tc>
        <w:tc>
          <w:tcPr>
            <w:tcW w:w="200" w:type="dxa"/>
            <w:vAlign w:val="bottom"/>
          </w:tcPr>
          <w:p>
            <w:pPr>
              <w:spacing w:after="0"/>
              <w:rPr>
                <w:sz w:val="24"/>
                <w:szCs w:val="24"/>
                <w:color w:val="auto"/>
              </w:rPr>
            </w:pPr>
          </w:p>
        </w:tc>
        <w:tc>
          <w:tcPr>
            <w:tcW w:w="152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93"/>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21,199</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52,072</w:t>
            </w:r>
          </w:p>
        </w:tc>
        <w:tc>
          <w:tcPr>
            <w:tcW w:w="0" w:type="dxa"/>
            <w:vAlign w:val="bottom"/>
          </w:tcPr>
          <w:p>
            <w:pPr>
              <w:spacing w:after="0"/>
              <w:rPr>
                <w:sz w:val="1"/>
                <w:szCs w:val="1"/>
                <w:color w:val="auto"/>
              </w:rPr>
            </w:pPr>
          </w:p>
        </w:tc>
      </w:tr>
      <w:tr>
        <w:trPr>
          <w:trHeight w:val="225"/>
        </w:trPr>
        <w:tc>
          <w:tcPr>
            <w:tcW w:w="4040" w:type="dxa"/>
            <w:vAlign w:val="bottom"/>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149,984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13,717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163,728</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17,060</w:t>
            </w:r>
          </w:p>
        </w:tc>
        <w:tc>
          <w:tcPr>
            <w:tcW w:w="0" w:type="dxa"/>
            <w:vAlign w:val="bottom"/>
          </w:tcPr>
          <w:p>
            <w:pPr>
              <w:spacing w:after="0"/>
              <w:rPr>
                <w:sz w:val="1"/>
                <w:szCs w:val="1"/>
                <w:color w:val="auto"/>
              </w:rPr>
            </w:pPr>
          </w:p>
        </w:tc>
      </w:tr>
      <w:tr>
        <w:trPr>
          <w:trHeight w:val="218"/>
        </w:trPr>
        <w:tc>
          <w:tcPr>
            <w:tcW w:w="4040" w:type="dxa"/>
            <w:vAlign w:val="bottom"/>
          </w:tcPr>
          <w:p>
            <w:pPr>
              <w:ind w:left="20"/>
              <w:spacing w:after="0" w:line="205"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37,932</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232,860</w:t>
            </w:r>
          </w:p>
        </w:tc>
        <w:tc>
          <w:tcPr>
            <w:tcW w:w="0" w:type="dxa"/>
            <w:vAlign w:val="bottom"/>
          </w:tcPr>
          <w:p>
            <w:pPr>
              <w:spacing w:after="0"/>
              <w:rPr>
                <w:sz w:val="1"/>
                <w:szCs w:val="1"/>
                <w:color w:val="auto"/>
              </w:rPr>
            </w:pPr>
          </w:p>
        </w:tc>
      </w:tr>
      <w:tr>
        <w:trPr>
          <w:trHeight w:val="21"/>
        </w:trPr>
        <w:tc>
          <w:tcPr>
            <w:tcW w:w="4040" w:type="dxa"/>
            <w:vAlign w:val="bottom"/>
            <w:vMerge w:val="restart"/>
          </w:tcPr>
          <w:p>
            <w:pPr>
              <w:spacing w:after="0"/>
              <w:rPr>
                <w:sz w:val="20"/>
                <w:szCs w:val="20"/>
                <w:color w:val="auto"/>
              </w:rPr>
            </w:pPr>
            <w:r>
              <w:rPr>
                <w:rFonts w:ascii="Arial" w:cs="Arial" w:eastAsia="Arial" w:hAnsi="Arial"/>
                <w:sz w:val="18"/>
                <w:szCs w:val="18"/>
                <w:color w:val="auto"/>
              </w:rPr>
              <w:t>A summary of intangible assets is as follows: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1"/>
        </w:trPr>
        <w:tc>
          <w:tcPr>
            <w:tcW w:w="40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Covenants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0"/>
              </w:rPr>
              <w:t>Customer Relationships</w:t>
            </w:r>
          </w:p>
        </w:tc>
        <w:tc>
          <w:tcPr>
            <w:tcW w:w="160" w:type="dxa"/>
            <w:vAlign w:val="bottom"/>
          </w:tcPr>
          <w:p>
            <w:pPr>
              <w:spacing w:after="0"/>
              <w:rPr>
                <w:sz w:val="14"/>
                <w:szCs w:val="14"/>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Trade Names</w:t>
            </w:r>
          </w:p>
        </w:tc>
        <w:tc>
          <w:tcPr>
            <w:tcW w:w="200" w:type="dxa"/>
            <w:vAlign w:val="bottom"/>
          </w:tcPr>
          <w:p>
            <w:pPr>
              <w:spacing w:after="0"/>
              <w:rPr>
                <w:sz w:val="14"/>
                <w:szCs w:val="14"/>
                <w:color w:val="auto"/>
              </w:rPr>
            </w:pPr>
          </w:p>
        </w:tc>
        <w:tc>
          <w:tcPr>
            <w:tcW w:w="152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Not-to-Compete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31,201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127,179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166,785</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amortization</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(46,162)</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(75,002)</w:t>
            </w:r>
          </w:p>
        </w:tc>
        <w:tc>
          <w:tcPr>
            <w:tcW w:w="0" w:type="dxa"/>
            <w:vAlign w:val="bottom"/>
          </w:tcPr>
          <w:p>
            <w:pPr>
              <w:spacing w:after="0"/>
              <w:rPr>
                <w:sz w:val="1"/>
                <w:szCs w:val="1"/>
                <w:color w:val="auto"/>
              </w:rPr>
            </w:pPr>
          </w:p>
        </w:tc>
      </w:tr>
      <w:tr>
        <w:trPr>
          <w:trHeight w:val="219"/>
        </w:trPr>
        <w:tc>
          <w:tcPr>
            <w:tcW w:w="40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81,017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91,783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6"/>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Covenants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0"/>
              </w:rPr>
              <w:t>Customer Relationships</w:t>
            </w:r>
          </w:p>
        </w:tc>
        <w:tc>
          <w:tcPr>
            <w:tcW w:w="160" w:type="dxa"/>
            <w:vAlign w:val="bottom"/>
          </w:tcPr>
          <w:p>
            <w:pPr>
              <w:spacing w:after="0"/>
              <w:rPr>
                <w:sz w:val="24"/>
                <w:szCs w:val="24"/>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Trade Names</w:t>
            </w:r>
          </w:p>
        </w:tc>
        <w:tc>
          <w:tcPr>
            <w:tcW w:w="200" w:type="dxa"/>
            <w:vAlign w:val="bottom"/>
          </w:tcPr>
          <w:p>
            <w:pPr>
              <w:spacing w:after="0"/>
              <w:rPr>
                <w:sz w:val="24"/>
                <w:szCs w:val="24"/>
                <w:color w:val="auto"/>
              </w:rPr>
            </w:pPr>
          </w:p>
        </w:tc>
        <w:tc>
          <w:tcPr>
            <w:tcW w:w="152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Not-to-Compete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28,777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115,005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8,350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152,132</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(34,809)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(58,409)</w:t>
            </w:r>
          </w:p>
        </w:tc>
        <w:tc>
          <w:tcPr>
            <w:tcW w:w="0" w:type="dxa"/>
            <w:vAlign w:val="bottom"/>
          </w:tcPr>
          <w:p>
            <w:pPr>
              <w:spacing w:after="0"/>
              <w:rPr>
                <w:sz w:val="1"/>
                <w:szCs w:val="1"/>
                <w:color w:val="auto"/>
              </w:rPr>
            </w:pPr>
          </w:p>
        </w:tc>
      </w:tr>
      <w:tr>
        <w:trPr>
          <w:trHeight w:val="219"/>
        </w:trPr>
        <w:tc>
          <w:tcPr>
            <w:tcW w:w="404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6,629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80,196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6,898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93,723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for fiscal years 2022, 2021 and 2020 was $16,593, $10,953 and $8,893, respectively.</w:t>
      </w:r>
    </w:p>
    <w:p>
      <w:pPr>
        <w:spacing w:after="0" w:line="11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Based on the amortizable intangible assets recorded in the consolidated balance sheets at December 31, 2022, intangible amortization expense for each of the next five fiscal years and thereafter is estimated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2023</w:t>
            </w:r>
          </w:p>
        </w:tc>
        <w:tc>
          <w:tcPr>
            <w:tcW w:w="40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16,137</w:t>
            </w:r>
          </w:p>
        </w:tc>
      </w:tr>
      <w:tr>
        <w:trPr>
          <w:trHeight w:val="225"/>
        </w:trPr>
        <w:tc>
          <w:tcPr>
            <w:tcW w:w="6140" w:type="dxa"/>
            <w:vAlign w:val="bottom"/>
          </w:tcPr>
          <w:p>
            <w:pPr>
              <w:ind w:left="20"/>
              <w:spacing w:after="0"/>
              <w:rPr>
                <w:sz w:val="20"/>
                <w:szCs w:val="20"/>
                <w:color w:val="auto"/>
              </w:rPr>
            </w:pPr>
            <w:r>
              <w:rPr>
                <w:rFonts w:ascii="Arial" w:cs="Arial" w:eastAsia="Arial" w:hAnsi="Arial"/>
                <w:sz w:val="18"/>
                <w:szCs w:val="18"/>
                <w:color w:val="auto"/>
              </w:rPr>
              <w:t>Fiscal year ending December 31, 2024</w:t>
            </w:r>
          </w:p>
        </w:tc>
        <w:tc>
          <w:tcPr>
            <w:tcW w:w="402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15,468</w:t>
            </w:r>
          </w:p>
        </w:tc>
      </w:tr>
      <w:tr>
        <w:trPr>
          <w:trHeight w:val="227"/>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2025</w:t>
            </w:r>
          </w:p>
        </w:tc>
        <w:tc>
          <w:tcPr>
            <w:tcW w:w="40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w:t>
            </w:r>
          </w:p>
        </w:tc>
      </w:tr>
      <w:tr>
        <w:trPr>
          <w:trHeight w:val="225"/>
        </w:trPr>
        <w:tc>
          <w:tcPr>
            <w:tcW w:w="6140" w:type="dxa"/>
            <w:vAlign w:val="bottom"/>
          </w:tcPr>
          <w:p>
            <w:pPr>
              <w:ind w:left="20"/>
              <w:spacing w:after="0"/>
              <w:rPr>
                <w:sz w:val="20"/>
                <w:szCs w:val="20"/>
                <w:color w:val="auto"/>
              </w:rPr>
            </w:pPr>
            <w:r>
              <w:rPr>
                <w:rFonts w:ascii="Arial" w:cs="Arial" w:eastAsia="Arial" w:hAnsi="Arial"/>
                <w:sz w:val="18"/>
                <w:szCs w:val="18"/>
                <w:color w:val="auto"/>
              </w:rPr>
              <w:t>Fiscal year ending December 31, 2026</w:t>
            </w:r>
          </w:p>
        </w:tc>
        <w:tc>
          <w:tcPr>
            <w:tcW w:w="402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12,744</w:t>
            </w:r>
          </w:p>
        </w:tc>
      </w:tr>
      <w:tr>
        <w:trPr>
          <w:trHeight w:val="227"/>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2027</w:t>
            </w:r>
          </w:p>
        </w:tc>
        <w:tc>
          <w:tcPr>
            <w:tcW w:w="40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w:t>
            </w:r>
          </w:p>
        </w:tc>
      </w:tr>
      <w:tr>
        <w:trPr>
          <w:trHeight w:val="225"/>
        </w:trPr>
        <w:tc>
          <w:tcPr>
            <w:tcW w:w="61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02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21,741</w:t>
            </w:r>
          </w:p>
        </w:tc>
      </w:tr>
    </w:tbl>
    <w:p>
      <w:pPr>
        <w:spacing w:after="0" w:line="275" w:lineRule="exact"/>
        <w:rPr>
          <w:sz w:val="20"/>
          <w:szCs w:val="20"/>
          <w:color w:val="auto"/>
        </w:rPr>
      </w:pPr>
    </w:p>
    <w:p>
      <w:pPr>
        <w:ind w:left="440" w:hanging="434"/>
        <w:spacing w:after="0"/>
        <w:tabs>
          <w:tab w:leader="none" w:pos="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FINAL CAPPING, CLOSURE AND POST-CLOSURE COSTS</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as further described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The anticipated time frame for paying these costs varies based on the remaining useful life of each landfill, as well as the duration of the post-closure monitoring period.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changes to accrued final capping, closure and post-closure liabilities are as follows:</w:t>
      </w:r>
    </w:p>
    <w:p>
      <w:pPr>
        <w:spacing w:after="0" w:line="35"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Fiscal Year Ended</w:t>
      </w:r>
    </w:p>
    <w:p>
      <w:pPr>
        <w:spacing w:after="0" w:line="1"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0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82,533</w:t>
            </w:r>
          </w:p>
        </w:tc>
      </w:tr>
      <w:tr>
        <w:trPr>
          <w:trHeight w:val="225"/>
        </w:trPr>
        <w:tc>
          <w:tcPr>
            <w:tcW w:w="7500" w:type="dxa"/>
            <w:vAlign w:val="bottom"/>
          </w:tcPr>
          <w:p>
            <w:pPr>
              <w:ind w:left="340"/>
              <w:spacing w:after="0"/>
              <w:rPr>
                <w:sz w:val="20"/>
                <w:szCs w:val="20"/>
                <w:color w:val="auto"/>
              </w:rPr>
            </w:pPr>
            <w:r>
              <w:rPr>
                <w:rFonts w:ascii="Arial" w:cs="Arial" w:eastAsia="Arial" w:hAnsi="Arial"/>
                <w:sz w:val="18"/>
                <w:szCs w:val="18"/>
                <w:color w:val="auto"/>
              </w:rPr>
              <w:t>Obligations incurred</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5,408</w:t>
            </w:r>
          </w:p>
        </w:tc>
      </w:tr>
      <w:tr>
        <w:trPr>
          <w:trHeight w:val="240"/>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Revisions in estimates </w:t>
            </w:r>
            <w:r>
              <w:rPr>
                <w:rFonts w:ascii="Arial" w:cs="Arial" w:eastAsia="Arial" w:hAnsi="Arial"/>
                <w:sz w:val="14"/>
                <w:szCs w:val="14"/>
                <w:color w:val="auto"/>
              </w:rPr>
              <w:t>(1)</w:t>
            </w:r>
          </w:p>
        </w:tc>
        <w:tc>
          <w:tcPr>
            <w:tcW w:w="1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25"/>
        </w:trPr>
        <w:tc>
          <w:tcPr>
            <w:tcW w:w="750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6,775</w:t>
            </w:r>
          </w:p>
        </w:tc>
      </w:tr>
      <w:tr>
        <w:trPr>
          <w:trHeight w:val="240"/>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1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w:t>
            </w:r>
          </w:p>
        </w:tc>
      </w:tr>
      <w:tr>
        <w:trPr>
          <w:trHeight w:val="219"/>
        </w:trPr>
        <w:tc>
          <w:tcPr>
            <w:tcW w:w="7500" w:type="dxa"/>
            <w:vAlign w:val="bottom"/>
          </w:tcPr>
          <w:p>
            <w:pPr>
              <w:ind w:left="20"/>
              <w:spacing w:after="0" w:line="205" w:lineRule="exact"/>
              <w:rPr>
                <w:sz w:val="20"/>
                <w:szCs w:val="20"/>
                <w:color w:val="auto"/>
              </w:rPr>
            </w:pPr>
            <w:r>
              <w:rPr>
                <w:rFonts w:ascii="Arial" w:cs="Arial" w:eastAsia="Arial" w:hAnsi="Arial"/>
                <w:sz w:val="18"/>
                <w:szCs w:val="18"/>
                <w:color w:val="auto"/>
              </w:rPr>
              <w:t>Ending balance</w:t>
            </w:r>
          </w:p>
        </w:tc>
        <w:tc>
          <w:tcPr>
            <w:tcW w:w="1100" w:type="dxa"/>
            <w:vAlign w:val="bottom"/>
            <w:tcBorders>
              <w:bottom w:val="single" w:sz="8" w:color="auto"/>
            </w:tcBorders>
          </w:tcPr>
          <w:p>
            <w:pPr>
              <w:jc w:val="right"/>
              <w:ind w:right="89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113,678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86,914</w:t>
            </w:r>
          </w:p>
        </w:tc>
      </w:tr>
      <w:tr>
        <w:trPr>
          <w:trHeight w:val="20"/>
        </w:trPr>
        <w:tc>
          <w:tcPr>
            <w:tcW w:w="7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80" w:right="40" w:hanging="314"/>
        <w:spacing w:after="0" w:line="266" w:lineRule="auto"/>
        <w:tabs>
          <w:tab w:leader="none" w:pos="474"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Relates to changes in estimates and assumptions concerning anticipated waste flow, costs, including as a result of higher inflation, and timing of future final capping, closure and post-closure activities at our landfills.</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May include amounts paid and amounts that are being processed through accounts payable as a part of our disbursement cycle.</w:t>
      </w:r>
    </w:p>
    <w:p>
      <w:pPr>
        <w:spacing w:after="0" w:line="212" w:lineRule="exact"/>
        <w:rPr>
          <w:rFonts w:ascii="Arial" w:cs="Arial" w:eastAsia="Arial" w:hAnsi="Arial"/>
          <w:sz w:val="18"/>
          <w:szCs w:val="18"/>
          <w:color w:val="auto"/>
        </w:rPr>
      </w:pPr>
    </w:p>
    <w:p>
      <w:pPr>
        <w:ind w:left="440" w:hanging="434"/>
        <w:spacing w:after="0"/>
        <w:tabs>
          <w:tab w:leader="none" w:pos="4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OTHER ACCRUED LIABILITIES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Other accrued liabilities, classified as current liabilities, at December 31, 2022 and 2021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20" w:type="dxa"/>
            <w:vAlign w:val="bottom"/>
            <w:gridSpan w:val="3"/>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spacing w:after="0"/>
              <w:rPr>
                <w:sz w:val="16"/>
                <w:szCs w:val="16"/>
                <w:color w:val="auto"/>
              </w:rPr>
            </w:pPr>
          </w:p>
        </w:tc>
      </w:tr>
      <w:tr>
        <w:trPr>
          <w:trHeight w:val="24"/>
        </w:trPr>
        <w:tc>
          <w:tcPr>
            <w:tcW w:w="75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75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capital expenditures</w:t>
            </w:r>
          </w:p>
        </w:tc>
        <w:tc>
          <w:tcPr>
            <w:tcW w:w="1140" w:type="dxa"/>
            <w:vAlign w:val="bottom"/>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r>
      <w:tr>
        <w:trPr>
          <w:trHeight w:val="225"/>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liabilities</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29,794</w:t>
            </w:r>
          </w:p>
        </w:tc>
      </w:tr>
      <w:tr>
        <w:trPr>
          <w:trHeight w:val="244"/>
        </w:trPr>
        <w:tc>
          <w:tcPr>
            <w:tcW w:w="750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46,237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12.</w:t>
        <w:tab/>
        <w:t>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9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Credit Facility:</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9000" w:type="dxa"/>
            <w:vAlign w:val="bottom"/>
          </w:tcPr>
          <w:p>
            <w:pPr>
              <w:ind w:left="20"/>
              <w:spacing w:after="0"/>
              <w:rPr>
                <w:sz w:val="20"/>
                <w:szCs w:val="20"/>
                <w:color w:val="auto"/>
              </w:rPr>
            </w:pPr>
            <w:r>
              <w:rPr>
                <w:rFonts w:ascii="Arial" w:cs="Arial" w:eastAsia="Arial" w:hAnsi="Arial"/>
                <w:sz w:val="18"/>
                <w:szCs w:val="18"/>
                <w:color w:val="auto"/>
              </w:rPr>
              <w:t>Term Loan A Facility ("Term Loan Facility") due December 2026; bore interest at LIBOR plus 1.125%</w:t>
            </w: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4"/>
                <w:szCs w:val="24"/>
                <w:color w:val="auto"/>
              </w:rPr>
            </w:pPr>
          </w:p>
        </w:tc>
        <w:tc>
          <w:tcPr>
            <w:tcW w:w="380" w:type="dxa"/>
            <w:vAlign w:val="bottom"/>
            <w:vMerge w:val="restart"/>
          </w:tcPr>
          <w:p>
            <w:pPr>
              <w:jc w:val="right"/>
              <w:ind w:right="171"/>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5"/>
              </w:rPr>
              <w:t>350,000</w:t>
            </w:r>
          </w:p>
        </w:tc>
        <w:tc>
          <w:tcPr>
            <w:tcW w:w="0" w:type="dxa"/>
            <w:vAlign w:val="bottom"/>
          </w:tcPr>
          <w:p>
            <w:pPr>
              <w:spacing w:after="0"/>
              <w:rPr>
                <w:sz w:val="1"/>
                <w:szCs w:val="1"/>
                <w:color w:val="auto"/>
              </w:rPr>
            </w:pPr>
          </w:p>
        </w:tc>
      </w:tr>
      <w:tr>
        <w:trPr>
          <w:trHeight w:val="94"/>
        </w:trPr>
        <w:tc>
          <w:tcPr>
            <w:tcW w:w="90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("Revolving Credit Facility") due December 2026; bore interest at LIBOR plus 1.125%</w:t>
            </w:r>
          </w:p>
        </w:tc>
        <w:tc>
          <w:tcPr>
            <w:tcW w:w="240" w:type="dxa"/>
            <w:vAlign w:val="bottom"/>
            <w:shd w:val="clear" w:color="auto" w:fill="CCEEFF"/>
          </w:tcPr>
          <w:p>
            <w:pPr>
              <w:spacing w:after="0"/>
              <w:rPr>
                <w:sz w:val="24"/>
                <w:szCs w:val="2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90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Tax-Exempt Bonds: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90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1"/>
              </w:rPr>
              <w:t>New York State Environmental Facilities Corporation Solid Waste Disposal Revenue Bonds Series 2014 ("New York Bonds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2014R-1") due December 2044 - fixed rate interest period through 2029; bearing interest at 2.875%</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74"/>
        </w:trPr>
        <w:tc>
          <w:tcPr>
            <w:tcW w:w="9000" w:type="dxa"/>
            <w:vAlign w:val="bottom"/>
          </w:tcPr>
          <w:p>
            <w:pPr>
              <w:ind w:left="20"/>
              <w:spacing w:after="0" w:line="174" w:lineRule="exact"/>
              <w:rPr>
                <w:sz w:val="20"/>
                <w:szCs w:val="20"/>
                <w:color w:val="auto"/>
              </w:rPr>
            </w:pPr>
            <w:r>
              <w:rPr>
                <w:rFonts w:ascii="Arial" w:cs="Arial" w:eastAsia="Arial" w:hAnsi="Arial"/>
                <w:sz w:val="18"/>
                <w:szCs w:val="18"/>
                <w:color w:val="auto"/>
                <w:w w:val="94"/>
              </w:rPr>
              <w:t>New York State Environmental Facilities Corporation Solid Waste Disposal Revenue Bonds Series 2014R-2 ("New York</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000" w:type="dxa"/>
            <w:vAlign w:val="bottom"/>
          </w:tcPr>
          <w:p>
            <w:pPr>
              <w:ind w:left="20"/>
              <w:spacing w:after="0"/>
              <w:rPr>
                <w:sz w:val="20"/>
                <w:szCs w:val="20"/>
                <w:color w:val="auto"/>
              </w:rPr>
            </w:pPr>
            <w:r>
              <w:rPr>
                <w:rFonts w:ascii="Arial" w:cs="Arial" w:eastAsia="Arial" w:hAnsi="Arial"/>
                <w:sz w:val="18"/>
                <w:szCs w:val="18"/>
                <w:color w:val="auto"/>
              </w:rPr>
              <w:t>Bonds 2014R-2") due December 2044 - fixed rate interest period through 2026; bearing interest at 3.125%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174"/>
        </w:trPr>
        <w:tc>
          <w:tcPr>
            <w:tcW w:w="90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1"/>
              </w:rPr>
              <w:t>New York State Environmental Facilities Corporation Solid Waste Disposal Revenue Bonds Series 2020 ("New York Bonds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due September 2050 - fixed rate interest period through 2025; bearing interest at 2.750%</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174"/>
        </w:trPr>
        <w:tc>
          <w:tcPr>
            <w:tcW w:w="9000" w:type="dxa"/>
            <w:vAlign w:val="bottom"/>
          </w:tcPr>
          <w:p>
            <w:pPr>
              <w:ind w:left="20"/>
              <w:spacing w:after="0" w:line="174" w:lineRule="exact"/>
              <w:rPr>
                <w:sz w:val="20"/>
                <w:szCs w:val="20"/>
                <w:color w:val="auto"/>
              </w:rPr>
            </w:pPr>
            <w:r>
              <w:rPr>
                <w:rFonts w:ascii="Arial" w:cs="Arial" w:eastAsia="Arial" w:hAnsi="Arial"/>
                <w:sz w:val="18"/>
                <w:szCs w:val="18"/>
                <w:color w:val="auto"/>
                <w:w w:val="92"/>
              </w:rPr>
              <w:t>Finance Authority of Maine Solid Waste Disposal Revenue Bonds Series 2005R-3 ("FAME Bonds 2005R-3") due January</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000" w:type="dxa"/>
            <w:vAlign w:val="bottom"/>
          </w:tcPr>
          <w:p>
            <w:pPr>
              <w:ind w:left="20"/>
              <w:spacing w:after="0"/>
              <w:rPr>
                <w:sz w:val="20"/>
                <w:szCs w:val="20"/>
                <w:color w:val="auto"/>
              </w:rPr>
            </w:pPr>
            <w:r>
              <w:rPr>
                <w:rFonts w:ascii="Arial" w:cs="Arial" w:eastAsia="Arial" w:hAnsi="Arial"/>
                <w:sz w:val="18"/>
                <w:szCs w:val="18"/>
                <w:color w:val="auto"/>
              </w:rPr>
              <w:t>2025 - fixed rate interest period through 2025; bearing interest at 5.25%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74"/>
        </w:trPr>
        <w:tc>
          <w:tcPr>
            <w:tcW w:w="90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3"/>
              </w:rPr>
              <w:t>Finance Authority of Maine Solid Waste Disposal Revenue Bonds Series 2015R-1 ("FAME Bonds 2015R-1") due August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2035 - fixed rate interest period through 2025; bearing interest at 5.125%</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67"/>
        </w:trPr>
        <w:tc>
          <w:tcPr>
            <w:tcW w:w="9000" w:type="dxa"/>
            <w:vAlign w:val="bottom"/>
          </w:tcPr>
          <w:p>
            <w:pPr>
              <w:ind w:left="20"/>
              <w:spacing w:after="0"/>
              <w:rPr>
                <w:sz w:val="20"/>
                <w:szCs w:val="20"/>
                <w:color w:val="auto"/>
              </w:rPr>
            </w:pPr>
            <w:r>
              <w:rPr>
                <w:rFonts w:ascii="Arial" w:cs="Arial" w:eastAsia="Arial" w:hAnsi="Arial"/>
                <w:sz w:val="18"/>
                <w:szCs w:val="18"/>
                <w:color w:val="auto"/>
                <w:w w:val="93"/>
              </w:rPr>
              <w:t>Finance Authority of Maine Solid Waste Disposal Revenue Bonds Series 2015R-2 ("FAME Bonds 2015R-2") due August</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9000" w:type="dxa"/>
            <w:vAlign w:val="bottom"/>
          </w:tcPr>
          <w:p>
            <w:pPr>
              <w:ind w:left="20"/>
              <w:spacing w:after="0"/>
              <w:rPr>
                <w:sz w:val="20"/>
                <w:szCs w:val="20"/>
                <w:color w:val="auto"/>
              </w:rPr>
            </w:pPr>
            <w:r>
              <w:rPr>
                <w:rFonts w:ascii="Arial" w:cs="Arial" w:eastAsia="Arial" w:hAnsi="Arial"/>
                <w:sz w:val="18"/>
                <w:szCs w:val="18"/>
                <w:color w:val="auto"/>
              </w:rPr>
              <w:t>2035 - fixed rate interest period through 2025; bearing interest at 4.375%</w:t>
            </w:r>
          </w:p>
        </w:tc>
        <w:tc>
          <w:tcPr>
            <w:tcW w:w="24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94"/>
        </w:trPr>
        <w:tc>
          <w:tcPr>
            <w:tcW w:w="9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Vermont Economic Development Authority Solid Waste Disposal Long-Term Revenue Bonds Series 2013 ("Vermont Bonds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due April 2036 - fixed rate interest period through 2028; bearing interest at 4.625%</w:t>
            </w:r>
          </w:p>
        </w:tc>
        <w:tc>
          <w:tcPr>
            <w:tcW w:w="24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94"/>
        </w:trPr>
        <w:tc>
          <w:tcPr>
            <w:tcW w:w="90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000" w:type="dxa"/>
            <w:vAlign w:val="bottom"/>
          </w:tcPr>
          <w:p>
            <w:pPr>
              <w:ind w:left="20"/>
              <w:spacing w:after="0" w:line="174" w:lineRule="exact"/>
              <w:rPr>
                <w:sz w:val="20"/>
                <w:szCs w:val="20"/>
                <w:color w:val="auto"/>
              </w:rPr>
            </w:pPr>
            <w:r>
              <w:rPr>
                <w:rFonts w:ascii="Arial" w:cs="Arial" w:eastAsia="Arial" w:hAnsi="Arial"/>
                <w:sz w:val="18"/>
                <w:szCs w:val="18"/>
                <w:color w:val="auto"/>
                <w:w w:val="93"/>
              </w:rPr>
              <w:t>Vermont Economic Development Authority Solid Waste Disposal Long-Term Revenue Bonds Series 2022A-1 ("Vermont</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000" w:type="dxa"/>
            <w:vAlign w:val="bottom"/>
          </w:tcPr>
          <w:p>
            <w:pPr>
              <w:ind w:left="20"/>
              <w:spacing w:after="0"/>
              <w:rPr>
                <w:sz w:val="20"/>
                <w:szCs w:val="20"/>
                <w:color w:val="auto"/>
              </w:rPr>
            </w:pPr>
            <w:r>
              <w:rPr>
                <w:rFonts w:ascii="Arial" w:cs="Arial" w:eastAsia="Arial" w:hAnsi="Arial"/>
                <w:sz w:val="18"/>
                <w:szCs w:val="18"/>
                <w:color w:val="auto"/>
              </w:rPr>
              <w:t>Bonds 2022A-1") due June 2052 - fixed rate interest period through 2027; bearing interest at 5.00%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90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6"/>
              </w:rPr>
              <w:t>Business Finance Authority of the State of New Hampshire Solid Waste Disposal Revenue Bonds Series 2013 ("New</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Hampshire Bonds") due April 2029 - fixed rate interest period through 2029; bearing interest at 2.95%</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26"/>
        </w:trPr>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 maturing through December 2107; bearing interest at a weighted average of 3.6%</w:t>
            </w:r>
          </w:p>
        </w:tc>
        <w:tc>
          <w:tcPr>
            <w:tcW w:w="240" w:type="dxa"/>
            <w:vAlign w:val="bottom"/>
            <w:shd w:val="clear" w:color="auto" w:fill="CCEEFF"/>
          </w:tcPr>
          <w:p>
            <w:pPr>
              <w:spacing w:after="0"/>
              <w:rPr>
                <w:sz w:val="24"/>
                <w:szCs w:val="2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49,813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45,724</w:t>
            </w:r>
          </w:p>
        </w:tc>
        <w:tc>
          <w:tcPr>
            <w:tcW w:w="0" w:type="dxa"/>
            <w:vAlign w:val="bottom"/>
          </w:tcPr>
          <w:p>
            <w:pPr>
              <w:spacing w:after="0"/>
              <w:rPr>
                <w:sz w:val="1"/>
                <w:szCs w:val="1"/>
                <w:color w:val="auto"/>
              </w:rPr>
            </w:pPr>
          </w:p>
        </w:tc>
      </w:tr>
      <w:tr>
        <w:trPr>
          <w:trHeight w:val="94"/>
        </w:trPr>
        <w:tc>
          <w:tcPr>
            <w:tcW w:w="90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9000" w:type="dxa"/>
            <w:vAlign w:val="bottom"/>
          </w:tcPr>
          <w:p>
            <w:pPr>
              <w:ind w:left="20"/>
              <w:spacing w:after="0"/>
              <w:rPr>
                <w:sz w:val="20"/>
                <w:szCs w:val="20"/>
                <w:color w:val="auto"/>
              </w:rPr>
            </w:pPr>
            <w:r>
              <w:rPr>
                <w:rFonts w:ascii="Arial" w:cs="Arial" w:eastAsia="Arial" w:hAnsi="Arial"/>
                <w:sz w:val="18"/>
                <w:szCs w:val="18"/>
                <w:color w:val="auto"/>
              </w:rPr>
              <w:t>Notes payable maturing through August 2024; bearing interest at a weighted average of 1.7%</w:t>
            </w:r>
          </w:p>
        </w:tc>
        <w:tc>
          <w:tcPr>
            <w:tcW w:w="24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94"/>
        </w:trPr>
        <w:tc>
          <w:tcPr>
            <w:tcW w:w="90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 of debt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562,570</w:t>
            </w:r>
          </w:p>
        </w:tc>
        <w:tc>
          <w:tcPr>
            <w:tcW w:w="0" w:type="dxa"/>
            <w:vAlign w:val="bottom"/>
          </w:tcPr>
          <w:p>
            <w:pPr>
              <w:spacing w:after="0"/>
              <w:rPr>
                <w:sz w:val="1"/>
                <w:szCs w:val="1"/>
                <w:color w:val="auto"/>
              </w:rPr>
            </w:pPr>
          </w:p>
        </w:tc>
      </w:tr>
      <w:tr>
        <w:trPr>
          <w:trHeight w:val="225"/>
        </w:trPr>
        <w:tc>
          <w:tcPr>
            <w:tcW w:w="9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Less—unamortized debt issuance costs (1)</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2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less unamortized debt issuance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552,404</w:t>
            </w:r>
          </w:p>
        </w:tc>
        <w:tc>
          <w:tcPr>
            <w:tcW w:w="0" w:type="dxa"/>
            <w:vAlign w:val="bottom"/>
          </w:tcPr>
          <w:p>
            <w:pPr>
              <w:spacing w:after="0"/>
              <w:rPr>
                <w:sz w:val="1"/>
                <w:szCs w:val="1"/>
                <w:color w:val="auto"/>
              </w:rPr>
            </w:pPr>
          </w:p>
        </w:tc>
      </w:tr>
      <w:tr>
        <w:trPr>
          <w:trHeight w:val="225"/>
        </w:trPr>
        <w:tc>
          <w:tcPr>
            <w:tcW w:w="9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Less—current maturities of debt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44"/>
        </w:trPr>
        <w:tc>
          <w:tcPr>
            <w:tcW w:w="9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542,503</w:t>
            </w:r>
          </w:p>
        </w:tc>
        <w:tc>
          <w:tcPr>
            <w:tcW w:w="0" w:type="dxa"/>
            <w:vAlign w:val="bottom"/>
          </w:tcPr>
          <w:p>
            <w:pPr>
              <w:spacing w:after="0"/>
              <w:rPr>
                <w:sz w:val="1"/>
                <w:szCs w:val="1"/>
                <w:color w:val="auto"/>
              </w:rPr>
            </w:pPr>
          </w:p>
        </w:tc>
      </w:tr>
      <w:tr>
        <w:trPr>
          <w:trHeight w:val="20"/>
        </w:trPr>
        <w:tc>
          <w:tcPr>
            <w:tcW w:w="900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84</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9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8540" w:type="dxa"/>
            <w:vAlign w:val="bottom"/>
          </w:tcPr>
          <w:p>
            <w:pPr>
              <w:ind w:left="220"/>
              <w:spacing w:after="0"/>
              <w:rPr>
                <w:sz w:val="20"/>
                <w:szCs w:val="20"/>
                <w:color w:val="auto"/>
              </w:rPr>
            </w:pPr>
            <w:r>
              <w:rPr>
                <w:rFonts w:ascii="Arial" w:cs="Arial" w:eastAsia="Arial" w:hAnsi="Arial"/>
                <w:sz w:val="18"/>
                <w:szCs w:val="18"/>
                <w:color w:val="auto"/>
              </w:rPr>
              <w:t>A summary of unamortized debt issuance costs by debt instrument follows: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8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20" w:type="dxa"/>
            <w:vAlign w:val="bottom"/>
          </w:tcPr>
          <w:p>
            <w:pPr>
              <w:spacing w:after="0"/>
              <w:rPr>
                <w:sz w:val="2"/>
                <w:szCs w:val="2"/>
                <w:color w:val="auto"/>
              </w:rPr>
            </w:pPr>
          </w:p>
        </w:tc>
        <w:tc>
          <w:tcPr>
            <w:tcW w:w="8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0" w:type="dxa"/>
            <w:vAlign w:val="bottom"/>
            <w:tcBorders>
              <w:bottom w:val="single" w:sz="8" w:color="CCEEFF"/>
            </w:tcBorders>
          </w:tcPr>
          <w:p>
            <w:pPr>
              <w:spacing w:after="0"/>
              <w:rPr>
                <w:sz w:val="16"/>
                <w:szCs w:val="16"/>
                <w:color w:val="auto"/>
              </w:rPr>
            </w:pPr>
          </w:p>
        </w:tc>
        <w:tc>
          <w:tcPr>
            <w:tcW w:w="85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6"/>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 and Term Loan Facility (collectively, the "Credit Facility")</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25"/>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New York Bonds 2014R-1</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 Bonds 2014R-2</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5"/>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New York Bonds 2020</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2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FAME Bonds 2005R-3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318"/>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FAME Bonds 2015R-1</w:t>
            </w:r>
          </w:p>
        </w:tc>
        <w:tc>
          <w:tcPr>
            <w:tcW w:w="26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94"/>
        </w:trPr>
        <w:tc>
          <w:tcPr>
            <w:tcW w:w="4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FAME Bonds 2015R-2</w:t>
            </w:r>
          </w:p>
        </w:tc>
        <w:tc>
          <w:tcPr>
            <w:tcW w:w="260" w:type="dxa"/>
            <w:vAlign w:val="bottom"/>
            <w:shd w:val="clear" w:color="auto" w:fill="CCEEFF"/>
          </w:tcPr>
          <w:p>
            <w:pPr>
              <w:spacing w:after="0"/>
              <w:rPr>
                <w:sz w:val="24"/>
                <w:szCs w:val="2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94"/>
        </w:trPr>
        <w:tc>
          <w:tcPr>
            <w:tcW w:w="420" w:type="dxa"/>
            <w:vAlign w:val="bottom"/>
            <w:shd w:val="clear" w:color="auto" w:fill="CCEEFF"/>
          </w:tcPr>
          <w:p>
            <w:pPr>
              <w:spacing w:after="0"/>
              <w:rPr>
                <w:sz w:val="8"/>
                <w:szCs w:val="8"/>
                <w:color w:val="auto"/>
              </w:rPr>
            </w:pPr>
          </w:p>
        </w:tc>
        <w:tc>
          <w:tcPr>
            <w:tcW w:w="8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Vermont Bonds 2013</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Vermont Bonds 2022A-1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New Hampshire Bonds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4"/>
        </w:trPr>
        <w:tc>
          <w:tcPr>
            <w:tcW w:w="42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8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As of December 31, 2022, we are party to an amended and restated credit agreement ("Credit Agreement"), which provides for a $350,000 aggregate principal amount Term Loan Facility and a $300,000 Revolving Credit Facility, with a $75,000 sublimit for letters of credit. We have the right to request, at our discretion, an increase in the amount of loans under the Credit Facility by an aggregate amount of $125,000, subject to the terms and conditions set forth in the Credit Agreement. The Credit Facility has a 5-year term that matures in December 2026 and as of December 31, 2022 bore interest at a rate of LIBOR plus 1.125% based upon us reaching a consolidated net leverage ratio of less than 2.25x. The Credit Facility is guaranteed jointly and severally, fully and unconditionally by all of our significant wholly-owned subsidiaries and secured by substantially all of our assets. As of December 31, 2022, further advances were available under the Credit Facility in the amount of $266,085. The available amount is net of outstanding irrevocable letters of credit totaling $27,915, and as of December 31, 2022 no amount had been drawn.</w:t>
      </w:r>
    </w:p>
    <w:p>
      <w:pPr>
        <w:spacing w:after="0" w:line="7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On February 9, 2023, we entered into first and second amendments to our amended and restated Credit Agreement (as amended, the "Amended and Restated Credit Agreement"). The first amendment provides, commencing in the fiscal year ending December 31, 2024, the interest rate margin applied for drawn and undrawn amounts under the Amended and Restated Credit Agreement shall be separately adjusted based on our achievement of certain thresholds and targets on two sustainability related key performance indicator metrics during the fiscal year ending December 31, 2023 ("fiscal year 2023"): i) metric tons of solid waste materials reduced, reused or recycled through our direct operations or with third-parties in collaboration with customers; and ii) our total recordable incident rate. The second amendment provides, effective for fiscal year 2023, that loans under the Amended and Restated Credit Agreement shall bear interest, at our election, at the term secured overnight financing rate , including a secured overnight financing rate adjustment of 10 basis points ("Term SOFR"), or a base rate, in each case, plus an applicable interest rate margin based on consolidated net leverage ratio, and plus or minus any sustainability rate adjustment. Unless loans are made as or converted to base rate loans, loans under the Amended and Restated Credit Agreement shall bear interest at Term SOFR, plus a margin based upon our consolidated net leverage ratio in the range of 1.125% to 2.125% per annum, plus a sustainability adjustment of up to positive or negative 4 basis point per annum, and a commitment fee on undrawn amounts will be charged on undrawn amounts at a rate of Term SOFR, plus a margin based upon our consolidated net leverage ratio in the range of 0.20% to 0.40% per annum, plus a sustainability adjustment of up to positive or negative 1 basis points per annum. We shall also pay a fronting fee for each letter of credit of 0.25% per annum. Interest under the Amended and Restated Credit Agreement shall be subject to increase by 2.00% per annum during the continuance of a payment default and may be subject to increase by 2.00% per annum during the continuance of any other event of default.</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Credit Agreement required and the Amended and Restated Credit Agreement requires us to maintain a minimum interest coverage ratio and a maximum consolidated net leverage ratio, to be measured at the end of each fiscal quarter. In addition to these financial covenants, the Credit Agreement contained and the Amended and Restated Credit Agreement contains a number of important customary affirmative and negative covenants which restrict, among other things, our ability to sell assets, incur additional debt, create liens, make investments, and pay dividends. As of December 31, 2022, we were in compliance with the covenants contained in the Credit Agreement.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Financings</w:t>
      </w:r>
    </w:p>
    <w:p>
      <w:pPr>
        <w:spacing w:after="0" w:line="11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i w:val="1"/>
          <w:iCs w:val="1"/>
          <w:color w:val="auto"/>
        </w:rPr>
        <w:t xml:space="preserve">New York Bonds. </w:t>
      </w:r>
      <w:r>
        <w:rPr>
          <w:rFonts w:ascii="Arial" w:cs="Arial" w:eastAsia="Arial" w:hAnsi="Arial"/>
          <w:sz w:val="18"/>
          <w:szCs w:val="18"/>
          <w:color w:val="auto"/>
        </w:rPr>
        <w:t>In fiscal year 2020, we completed the issuance of $40,000 aggregate principal amount of New York Bonds 2020. The New York Bonds</w:t>
      </w:r>
      <w:r>
        <w:rPr>
          <w:rFonts w:ascii="Arial" w:cs="Arial" w:eastAsia="Arial" w:hAnsi="Arial"/>
          <w:sz w:val="18"/>
          <w:szCs w:val="18"/>
          <w:i w:val="1"/>
          <w:iCs w:val="1"/>
          <w:color w:val="auto"/>
        </w:rPr>
        <w:t xml:space="preserve"> </w:t>
      </w:r>
      <w:r>
        <w:rPr>
          <w:rFonts w:ascii="Arial" w:cs="Arial" w:eastAsia="Arial" w:hAnsi="Arial"/>
          <w:sz w:val="18"/>
          <w:szCs w:val="18"/>
          <w:color w:val="auto"/>
        </w:rPr>
        <w:t>2020, which are unsecured and guaranteed jointly and severally, fully and unconditionally by all of our significant wholly-owned subsidiaries, accrue interest at 2.75% per annum from September 2, 2020 through September 1, 2025, at which time they may be converted to a variable interest rate period or to a new term interest rate period. The New York Bonds 2020 mature on September 1, 2050. We borrowed the proceeds of the New York Bonds 2020 to finance or refinance certain capital projects in the state of New York.</w:t>
      </w:r>
    </w:p>
    <w:p>
      <w:pPr>
        <w:spacing w:after="0" w:line="8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As of December 31, 2022, we had outstanding $25,000 aggregate principal amount of New York Bonds 2014R-1 and $15,000 aggregate principal amount of New York Bonds 2014R-2 issued by the New York State Environmental Facilities Corporation under the indenture dated December 1, 2014 (collectively, the “New York Bonds 2014”), and $40,000 aggregate principal amount of New York Bonds 2020. The New York Bonds 2014R-1 accrue interest at 2.875% per annum through December 2, 2029, at which time they may be converted from a fixed rate to a variable rate. The New York Bonds 2014R-2 accrue interest at 3.125% per annum through May 31, 2026, at which time they may be converted from a fixed rate to a variable rate. The New York Bonds 2014, which are unsecured and guaranteed jointly and severally, fully and unconditionally by all of our significant wholly-owned subsidiaries, require interest payments on June 1 and December 1 of each year and mature on December 1, 2044. We borrowed the proceeds of the New York Bonds 2014 to finance or refinance certain capital projects in the state of New York.</w:t>
      </w:r>
    </w:p>
    <w:p>
      <w:pPr>
        <w:spacing w:after="0" w:line="7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i w:val="1"/>
          <w:iCs w:val="1"/>
          <w:color w:val="auto"/>
        </w:rPr>
        <w:t xml:space="preserve">Maine Bonds. </w:t>
      </w:r>
      <w:r>
        <w:rPr>
          <w:rFonts w:ascii="Arial" w:cs="Arial" w:eastAsia="Arial" w:hAnsi="Arial"/>
          <w:sz w:val="17"/>
          <w:szCs w:val="17"/>
          <w:color w:val="auto"/>
        </w:rPr>
        <w:t>As of December 31, 2022, we had outstanding $25,000 aggregate principal amount of FAME Bonds 2005R-3, $15,000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FAME Bonds 2015R-1, and $15,000 aggregate principal amount of FAME Bonds 2015R-2 (collectively, the "FAME Bonds"). The FAME Bonds 2005R-3 accrue interest at 5.25% per annum, and interest is payable semiannually on February 1 and August 1 of each year until such bonds mature on January 1, 2025. The FAME Bonds 2015R-1 accrue interest at 5.125% per annum through August 1, 2025, at which time they may be converted from a fixed to a variable rate, and interest is payable semiannually on February 1 and August 1 of each year until the FAME Bonds 2015R-1 mature on August 1, 2035. The FAME Bonds 2015R-2 accrue interest at 4.375% per annum through July 31, 2025, at which time they may be converted from a fixed to a variable rate, and interest is payable semiannually on May 1 and November 1 of each year until the FAME Bonds 2015R-2 mature on August 1, 2035. The FAME Bonds are unsecured and guaranteed jointly and severally, fully and unconditionally by all of our significant wholly-owned subsidiaries. We borrowed the proceeds of the offering of the FAME Bonds to finance or refinance the costs of certain of our solid waste landfill facilities and solid waste collection, organics and transfer, recycling and hauling facilities in the state of Maine.</w:t>
      </w:r>
    </w:p>
    <w:p>
      <w:pPr>
        <w:spacing w:after="0" w:line="7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Vermont Bonds. </w:t>
      </w:r>
      <w:r>
        <w:rPr>
          <w:rFonts w:ascii="Arial" w:cs="Arial" w:eastAsia="Arial" w:hAnsi="Arial"/>
          <w:sz w:val="16"/>
          <w:szCs w:val="16"/>
          <w:color w:val="auto"/>
        </w:rPr>
        <w:t>In fiscal year 2022, we completed the issuance of $35,000 aggregate principal amount of Vermont Bonds 2022A-1. The Vermont Bonds</w:t>
      </w:r>
      <w:r>
        <w:rPr>
          <w:rFonts w:ascii="Arial" w:cs="Arial" w:eastAsia="Arial" w:hAnsi="Arial"/>
          <w:sz w:val="16"/>
          <w:szCs w:val="16"/>
          <w:i w:val="1"/>
          <w:iCs w:val="1"/>
          <w:color w:val="auto"/>
        </w:rPr>
        <w:t xml:space="preserve"> </w:t>
      </w:r>
      <w:r>
        <w:rPr>
          <w:rFonts w:ascii="Arial" w:cs="Arial" w:eastAsia="Arial" w:hAnsi="Arial"/>
          <w:sz w:val="16"/>
          <w:szCs w:val="16"/>
          <w:color w:val="auto"/>
        </w:rPr>
        <w:t>2022A-1, which are unsecured and guaranteed jointly and severally, fully and unconditionally by all of our significant wholly-owned subsidiaries, accrue interest at 5.00% per annum from June 1, 2022 through May 31, 2027, at which time they may be converted to a variable interest rate period or to a new term interest rate period. The Vermont Bonds 2022A-1 mature on June 1, 2052. We borrowed and used the proceeds from the Vermont Bonds 2022A-1 to finance or reimburse certain noncurrent asset costs associated with capital projects in the state of Vermont.</w:t>
      </w:r>
    </w:p>
    <w:p>
      <w:pPr>
        <w:spacing w:after="0" w:line="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December 31, 2022, we had outstanding $35,000 aggregate principal amount of Vermont Bonds 2022A-1 and $16,000 aggregate principal amount of Vermont Bonds 2013. The Vermont Bonds 2013, which are guaranteed jointly and severally, fully and unconditionally by all of our significant wholly-owned subsidiaries, accrue interest at 4.625% per annum through April 2, 2028, after which time there is a mandatory tender, and interest is payable semiannually on May 1 and November 1 of each year. The Vermont Bonds 2013 mature on April 1, 2036. We borrowed the proceeds of the Vermont Bonds 2013 to finance or refinance certain qualifying property, plant and equipment assets purchased in the state of Vermont.</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 xml:space="preserve">New Hampshire Bonds. </w:t>
      </w:r>
      <w:r>
        <w:rPr>
          <w:rFonts w:ascii="Arial" w:cs="Arial" w:eastAsia="Arial" w:hAnsi="Arial"/>
          <w:sz w:val="17"/>
          <w:szCs w:val="17"/>
          <w:color w:val="auto"/>
        </w:rPr>
        <w:t>As of December 31, 2022, we had outstanding $11,000 aggregate principal amount of New Hampshire Bonds. The New Hampshire</w:t>
      </w:r>
      <w:r>
        <w:rPr>
          <w:rFonts w:ascii="Arial" w:cs="Arial" w:eastAsia="Arial" w:hAnsi="Arial"/>
          <w:sz w:val="17"/>
          <w:szCs w:val="17"/>
          <w:i w:val="1"/>
          <w:iCs w:val="1"/>
          <w:color w:val="auto"/>
        </w:rPr>
        <w:t xml:space="preserve"> </w:t>
      </w:r>
      <w:r>
        <w:rPr>
          <w:rFonts w:ascii="Arial" w:cs="Arial" w:eastAsia="Arial" w:hAnsi="Arial"/>
          <w:sz w:val="17"/>
          <w:szCs w:val="17"/>
          <w:color w:val="auto"/>
        </w:rPr>
        <w:t>Bonds, which are guaranteed jointly and severally, fully and unconditionally by all of our significant wholly-owned subsidiaries, accrue interest at 2.95% per annum through maturity on April 1, 2029 and interest is payable on April 1 and October 1 of each year. During the fixed interest rate period, the New Hampshire Bonds are not supported by a letter of credit. We borrowed the proceeds of the New Hampshire Bonds to finance or refinance certain qualifying property, plant and equipment assets purchased in the state of New Hampshire.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are as follows:</w:t>
      </w:r>
    </w:p>
    <w:p>
      <w:pPr>
        <w:spacing w:after="0" w:line="35"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Fiscal Year Ended</w:t>
      </w:r>
    </w:p>
    <w:p>
      <w:pPr>
        <w:spacing w:after="0" w:line="1"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long-term debt and finance leases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r>
      <w:tr>
        <w:trPr>
          <w:trHeight w:val="225"/>
        </w:trPr>
        <w:tc>
          <w:tcPr>
            <w:tcW w:w="704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2,169</w:t>
            </w:r>
          </w:p>
        </w:tc>
      </w:tr>
      <w:tr>
        <w:trPr>
          <w:trHeight w:val="22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 of credit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25"/>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capitalized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r>
      <w:tr>
        <w:trPr>
          <w:trHeight w:val="244"/>
        </w:trPr>
        <w:tc>
          <w:tcPr>
            <w:tcW w:w="704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Total interest expense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income (loss), net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58"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As of December 31, 2022 and December 31, 2021, our active interest rate derivative agreements had a total notional amount of $190,000 and $195,000, respectively. According to the terms of the agreements, we receive interest based on the 1-month LIBOR index, in some instances restricted by a 0.0% floor, and pay interest at a weighted average rate of approximately 2.20%. The agreements mature between May 2023 and June 2027.</w:t>
      </w:r>
    </w:p>
    <w:p>
      <w:pPr>
        <w:spacing w:after="0" w:line="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December 31, 2022, we have a forward starting interest rate derivative agreement with a total notional amount of $20,000. According to the terms of this agreement, we will receive interest based on the 1-month LIBOR index, restricted by a 0.0% floor, and will pay interest at a rate of 1.29%. The agreement matures in May 2028. As of December 31, 2021, we had forward starting interest rate derivative agreements with a total notional amount of $85,000 outstanding.</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180" w:type="dxa"/>
            <w:vAlign w:val="bottom"/>
          </w:tcPr>
          <w:p>
            <w:pPr>
              <w:spacing w:after="0"/>
              <w:rPr>
                <w:sz w:val="11"/>
                <w:szCs w:val="11"/>
                <w:color w:val="auto"/>
              </w:rPr>
            </w:pPr>
          </w:p>
        </w:tc>
        <w:tc>
          <w:tcPr>
            <w:tcW w:w="498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00"/>
              <w:spacing w:after="0" w:line="131"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1140" w:type="dxa"/>
            <w:vAlign w:val="bottom"/>
          </w:tcPr>
          <w:p>
            <w:pPr>
              <w:jc w:val="right"/>
              <w:ind w:right="215"/>
              <w:spacing w:after="0" w:line="131"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0"/>
        </w:trPr>
        <w:tc>
          <w:tcPr>
            <w:tcW w:w="3180" w:type="dxa"/>
            <w:vAlign w:val="bottom"/>
            <w:tcBorders>
              <w:bottom w:val="single" w:sz="8" w:color="CCEEFF"/>
            </w:tcBorders>
          </w:tcPr>
          <w:p>
            <w:pPr>
              <w:spacing w:after="0"/>
              <w:rPr>
                <w:sz w:val="16"/>
                <w:szCs w:val="16"/>
                <w:color w:val="auto"/>
              </w:rPr>
            </w:pPr>
          </w:p>
        </w:tc>
        <w:tc>
          <w:tcPr>
            <w:tcW w:w="4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5"/>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w:t>
            </w:r>
          </w:p>
        </w:tc>
        <w:tc>
          <w:tcPr>
            <w:tcW w:w="5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340"/>
              <w:spacing w:after="0" w:line="206" w:lineRule="exact"/>
              <w:rPr>
                <w:sz w:val="20"/>
                <w:szCs w:val="20"/>
                <w:color w:val="auto"/>
              </w:rPr>
            </w:pPr>
            <w:r>
              <w:rPr>
                <w:rFonts w:ascii="Arial" w:cs="Arial" w:eastAsia="Arial" w:hAnsi="Arial"/>
                <w:sz w:val="18"/>
                <w:szCs w:val="18"/>
                <w:color w:val="auto"/>
              </w:rPr>
              <w:t>Total</w:t>
            </w:r>
          </w:p>
        </w:tc>
        <w:tc>
          <w:tcPr>
            <w:tcW w:w="4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25"/>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w:t>
            </w:r>
          </w:p>
        </w:tc>
        <w:tc>
          <w:tcPr>
            <w:tcW w:w="5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39"/>
        </w:trPr>
        <w:tc>
          <w:tcPr>
            <w:tcW w:w="3180" w:type="dxa"/>
            <w:vAlign w:val="bottom"/>
            <w:shd w:val="clear" w:color="auto" w:fill="CCEEFF"/>
          </w:tcPr>
          <w:p>
            <w:pPr>
              <w:ind w:left="340"/>
              <w:spacing w:after="0" w:line="206" w:lineRule="exact"/>
              <w:rPr>
                <w:sz w:val="20"/>
                <w:szCs w:val="20"/>
                <w:color w:val="auto"/>
              </w:rPr>
            </w:pPr>
            <w:r>
              <w:rPr>
                <w:rFonts w:ascii="Arial" w:cs="Arial" w:eastAsia="Arial" w:hAnsi="Arial"/>
                <w:sz w:val="18"/>
                <w:szCs w:val="18"/>
                <w:color w:val="auto"/>
              </w:rPr>
              <w:t>Total</w:t>
            </w:r>
          </w:p>
        </w:tc>
        <w:tc>
          <w:tcPr>
            <w:tcW w:w="4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net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25"/>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 - tax benefit</w:t>
            </w:r>
          </w:p>
        </w:tc>
        <w:tc>
          <w:tcPr>
            <w:tcW w:w="5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income (loss),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1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As of December 31, 2022, the fair value of our fixed rate debt, including the FAME Bonds, Vermont Bonds 2022A-1, Vermont Bonds 2013, New York Bonds 2020, New York Bonds 2014 and New Hampshire Bonds was approximately $188,136 and the carrying value was $197,000. The fair value of the FAME Bonds, Vermont Bonds 2022A-1, Vermont Bonds 2013, New York Bonds 2020, New York Bonds 2014 and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the carrying value of our Term Loan Facility was $350,000 and the carrying value of our Revolving Credit Facility was $6,000.</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Their fair values are based on current borrowing rates for similar types of borrowing arrangements, or Level 2 inputs, and approximate their carrying values.</w:t>
      </w:r>
    </w:p>
    <w:p>
      <w:pPr>
        <w:spacing w:after="0" w:line="12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Although we have determined the estimated fair value amounts of the FAME Bonds, Vermont Bonds 2022A-1, Vermont Bonds 2013, New York Bonds 2020, New York Bonds 2014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spacing w:after="0"/>
              <w:rPr>
                <w:sz w:val="20"/>
                <w:szCs w:val="20"/>
                <w:color w:val="auto"/>
              </w:rPr>
            </w:pPr>
            <w:r>
              <w:rPr>
                <w:rFonts w:ascii="Arial" w:cs="Arial" w:eastAsia="Arial" w:hAnsi="Arial"/>
                <w:sz w:val="18"/>
                <w:szCs w:val="18"/>
                <w:b w:val="1"/>
                <w:bCs w:val="1"/>
                <w:color w:val="auto"/>
              </w:rPr>
              <w:t>Future Maturities of Debt</w:t>
            </w: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19"/>
        </w:trPr>
        <w:tc>
          <w:tcPr>
            <w:tcW w:w="9920" w:type="dxa"/>
            <w:vAlign w:val="bottom"/>
            <w:gridSpan w:val="2"/>
          </w:tcPr>
          <w:p>
            <w:pPr>
              <w:spacing w:after="0"/>
              <w:rPr>
                <w:sz w:val="20"/>
                <w:szCs w:val="20"/>
                <w:color w:val="auto"/>
              </w:rPr>
            </w:pPr>
            <w:r>
              <w:rPr>
                <w:rFonts w:ascii="Arial" w:cs="Arial" w:eastAsia="Arial" w:hAnsi="Arial"/>
                <w:sz w:val="18"/>
                <w:szCs w:val="18"/>
                <w:color w:val="auto"/>
                <w:w w:val="96"/>
              </w:rPr>
              <w:t>Aggregate principal maturities of debt as of December 31, 2022 for each of the next five fiscal years and thereafter are as follows:</w:t>
            </w:r>
          </w:p>
        </w:tc>
        <w:tc>
          <w:tcPr>
            <w:tcW w:w="1300" w:type="dxa"/>
            <w:vAlign w:val="bottom"/>
          </w:tcPr>
          <w:p>
            <w:pPr>
              <w:spacing w:after="0"/>
              <w:rPr>
                <w:sz w:val="24"/>
                <w:szCs w:val="24"/>
                <w:color w:val="auto"/>
              </w:rPr>
            </w:pPr>
          </w:p>
        </w:tc>
      </w:tr>
      <w:tr>
        <w:trPr>
          <w:trHeight w:val="28"/>
        </w:trPr>
        <w:tc>
          <w:tcPr>
            <w:tcW w:w="9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6"/>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2023</w:t>
            </w:r>
          </w:p>
        </w:tc>
        <w:tc>
          <w:tcPr>
            <w:tcW w:w="7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w:t>
            </w:r>
          </w:p>
        </w:tc>
      </w:tr>
      <w:tr>
        <w:trPr>
          <w:trHeight w:val="225"/>
        </w:trPr>
        <w:tc>
          <w:tcPr>
            <w:tcW w:w="9180" w:type="dxa"/>
            <w:vAlign w:val="bottom"/>
          </w:tcPr>
          <w:p>
            <w:pPr>
              <w:ind w:left="20"/>
              <w:spacing w:after="0"/>
              <w:rPr>
                <w:sz w:val="20"/>
                <w:szCs w:val="20"/>
                <w:color w:val="auto"/>
              </w:rPr>
            </w:pPr>
            <w:r>
              <w:rPr>
                <w:rFonts w:ascii="Arial" w:cs="Arial" w:eastAsia="Arial" w:hAnsi="Arial"/>
                <w:sz w:val="18"/>
                <w:szCs w:val="18"/>
                <w:color w:val="auto"/>
              </w:rPr>
              <w:t>Fiscal year ending December 31, 2024</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12,691</w:t>
            </w:r>
          </w:p>
        </w:tc>
      </w:tr>
      <w:tr>
        <w:trPr>
          <w:trHeight w:val="227"/>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2025</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43,324</w:t>
            </w:r>
          </w:p>
        </w:tc>
      </w:tr>
      <w:tr>
        <w:trPr>
          <w:trHeight w:val="225"/>
        </w:trPr>
        <w:tc>
          <w:tcPr>
            <w:tcW w:w="9180" w:type="dxa"/>
            <w:vAlign w:val="bottom"/>
          </w:tcPr>
          <w:p>
            <w:pPr>
              <w:ind w:left="20"/>
              <w:spacing w:after="0"/>
              <w:rPr>
                <w:sz w:val="20"/>
                <w:szCs w:val="20"/>
                <w:color w:val="auto"/>
              </w:rPr>
            </w:pPr>
            <w:r>
              <w:rPr>
                <w:rFonts w:ascii="Arial" w:cs="Arial" w:eastAsia="Arial" w:hAnsi="Arial"/>
                <w:sz w:val="18"/>
                <w:szCs w:val="18"/>
                <w:color w:val="auto"/>
              </w:rPr>
              <w:t>Fiscal year ending December 31, 2026</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352,410</w:t>
            </w:r>
          </w:p>
        </w:tc>
      </w:tr>
      <w:tr>
        <w:trPr>
          <w:trHeight w:val="227"/>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2027</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r>
      <w:tr>
        <w:trPr>
          <w:trHeight w:val="225"/>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180,835</w:t>
            </w:r>
          </w:p>
        </w:tc>
      </w:tr>
      <w:tr>
        <w:trPr>
          <w:trHeight w:val="244"/>
        </w:trPr>
        <w:tc>
          <w:tcPr>
            <w:tcW w:w="9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603,477</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 w:hanging="434"/>
        <w:spacing w:after="0"/>
        <w:tabs>
          <w:tab w:leader="none" w:pos="4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w:t>
      </w:r>
    </w:p>
    <w:p>
      <w:pPr>
        <w:spacing w:after="0" w:line="7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We have recorded an aggregate accrual of $821 relating to our outstanding legal proceedings as of December 31, 2022.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 Expansion Permit</w:t>
      </w:r>
    </w:p>
    <w:p>
      <w:pPr>
        <w:spacing w:after="0" w:line="112"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On October 9, 2020, our subsidiary, North Country Environmental Services, Inc. ("NCES"), received a Type I-A Permit Modification ("Permit") from the New Hampshire Department of Environmental Services ("DES") for Expansion in the Stage VI area of the NCES landfill located in Bethlehem, New Hampshire. On November 9, 2020, the Conservation Law Foundation ("CLF") filed an appeal of the Permit to the New Hampshire Waste Management Council (“Council”) on the grounds it failed to meet the public benefit criteria. DES defended its decision in the appeal, and NCES also participated as the permittee seeking to defend its permit on appeal.</w:t>
      </w:r>
    </w:p>
    <w:p>
      <w:pPr>
        <w:spacing w:after="0" w:line="88"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Throughout 2021 and early 2022 a number of motions were filed by both NCES and CLF with the Council and in February 2022 the Council held a hearing on the CLF appeal. The Council ruled in favor of NCES on all claims set forth in CLF’s appeal. On May 11, 2022, the Council’s Hearing Officer issued an Order denying all of CLF’s arguments on appeal, with the exception of one: the Hearing Officer held that based on his interpretation of the relevant statute, the public benefit determination made by DES in issuing the Permit to NCES was unlawful (the “Hearing Officer’s Order”). The Hearing Officer remanded the Permit to the DES with regard to this determination.</w:t>
      </w:r>
    </w:p>
    <w:p>
      <w:pPr>
        <w:spacing w:after="0" w:line="88"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DES filed a Motion for Reconsideration on May 31, 2022, and NCES filed a Motion for Rehearing on June 10, 2022. The Hearing Officer denied both motions in separate orders dated November 3, 2022, issued contemporaneously with rulings on three other post-hearing motions. NCES filed a Motion for Rehearing of two of the three post-hearing motion rulings on December 5, 2023, this Motion remains pending.</w:t>
      </w:r>
    </w:p>
    <w:p>
      <w:pPr>
        <w:spacing w:after="0" w:line="6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DES and NCES have appealed the Hearing Officer’s May 11, 2022 Order to the New Hampshire Supreme Court (“Supreme Court”). On December 23, 2022, CLF filed a Motion for Summary Affirmance of the Hearing Officer’s Order, to which NCES and DES each filed an Objection on January 6, 2023. On January 30, 2023 the Supreme Court issued an Order accepting and consolidating the DES and NCES appeals and denying CLF’s Motion for Summary Affirmance. On January 31, 2023, NCES filed a Motion to Stay the Supreme Court appeals pending the outcome of the Superior Court Open Meeting Law Proceeding discussed below.</w:t>
      </w:r>
    </w:p>
    <w:p>
      <w:pPr>
        <w:spacing w:after="0" w:line="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December 14, 2022, NCES filed an action against the Council in Merrimack Superior Court (“Superior Court”) seeking to invalidate the Hearing Officer’s Order as having been adopted in violation of New Hampshire’s statute governing access to public records and meetings (“Open Meeting Law Proceeding”), in that the Council did not hold a public meeting to deliberate on the Hearing Officer’s Order prior to issuance. The Council filed a Motion to Dismiss on January 17, 2023 to which NCES filed a Summary Objection on January 18, 2023, followed by a supplemental Objection filed on February 6, 2023. Following a hearing on the merits before the Superior Court on January 18, 2023, the Superior Court ordered that NCES pursue a stay of the appeal of the Hearing Officer’s Order before the Supreme Court, and that the Superior Court would defer further ruling in the Open Meeting Law Proceeding pending a determination of whether the appeal before the Supreme Court will be stayed. On January 20, 2023, CLF filed a Motion to Intervene in the Open Meeting Law Proceeding. NCES filed an Objection on February 8, 2023. On February 9, 2023, CLF filed an Objection to the Motion to Stay.</w:t>
      </w:r>
    </w:p>
    <w:p>
      <w:pPr>
        <w:spacing w:after="0" w:line="6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On September 20, 2022, NCES and our subsidiary, Granite State Landfill, LLC (“GSL”), filed a Petition for Declaratory Judgment ("Petition") in the Superior Court seeking a determination of the meaning and constitutionality of New Hampshire’s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public benefit requirement. The Petition asks the court to construe the same statute on which the Hearing Officer relied in the Hearing Officer’s Order. On September 21, 2022, NCES filed a Motion to Stay the Council proceedings pending resolution of the Petition action. DES assented to the relief sought by that motion, and CLF filed an Objection to the Motion to Stay on September 26, 2022. On October 3, 2022, NCES filed a Motion for Leave to File Reply together with its Reply to CLF’s Objection to Motion to Stay. The Hearing Officer denied the Motion to Stay by Order dated November 3, 2022. On December 19, 2022, CLF moved to intervene in the Petition proceeding before the Superior Court, and NCES filed an Objection on January 4, 2023. CLF filed a Reply on January 17, 2023, and NCES filed a Surreply January 27, 2023. CLF’s intervention motion remains pending before the Superior Court. NCES will continue to vigorously defend the Permit through the appeal to the Supreme Court, litigation of the Petition, and litigation of the Open Meeting Law Proceeding.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11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w:t>
      </w:r>
    </w:p>
    <w:p>
      <w:pPr>
        <w:spacing w:after="0" w:line="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Future changes in our estimates of the cost, timing or duration of the required actions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w:t>
      </w:r>
    </w:p>
    <w:p>
      <w:pPr>
        <w:spacing w:after="0" w:line="62"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We inflate the estimated costs in current dollars to the expected time of payment and discount the total cost to present value using a risk-free interest rate. The risk-free interest rates associated with our environmental remediation liabilities as of December 31, 2022 range between 1.5% and 4.1%. A summary of the changes to the aggregate environmental remediation liabilities for the twelve months ended December 31, 2022 and 2021 follows:</w:t>
      </w:r>
    </w:p>
    <w:p>
      <w:pPr>
        <w:spacing w:after="0" w:line="95"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2021</w:t>
            </w: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520" w:type="dxa"/>
            <w:vAlign w:val="bottom"/>
            <w:shd w:val="clear" w:color="auto" w:fill="CCEEFF"/>
          </w:tcPr>
          <w:p>
            <w:pPr>
              <w:jc w:val="right"/>
              <w:ind w:right="133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r>
      <w:tr>
        <w:trPr>
          <w:trHeight w:val="225"/>
        </w:trPr>
        <w:tc>
          <w:tcPr>
            <w:tcW w:w="668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40"/>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Obligations incurred </w:t>
            </w:r>
            <w:r>
              <w:rPr>
                <w:rFonts w:ascii="Arial" w:cs="Arial" w:eastAsia="Arial" w:hAnsi="Arial"/>
                <w:sz w:val="14"/>
                <w:szCs w:val="14"/>
                <w:color w:val="auto"/>
              </w:rPr>
              <w:t>(1)</w:t>
            </w:r>
          </w:p>
        </w:tc>
        <w:tc>
          <w:tcPr>
            <w:tcW w:w="15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39"/>
        </w:trPr>
        <w:tc>
          <w:tcPr>
            <w:tcW w:w="6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1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r>
      <w:tr>
        <w:trPr>
          <w:trHeight w:val="220"/>
        </w:trPr>
        <w:tc>
          <w:tcPr>
            <w:tcW w:w="66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Ending balance</w:t>
            </w:r>
          </w:p>
        </w:tc>
        <w:tc>
          <w:tcPr>
            <w:tcW w:w="1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r>
      <w:tr>
        <w:trPr>
          <w:trHeight w:val="225"/>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1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44"/>
        </w:trPr>
        <w:tc>
          <w:tcPr>
            <w:tcW w:w="668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Long-term portion</w:t>
            </w:r>
          </w:p>
        </w:tc>
        <w:tc>
          <w:tcPr>
            <w:tcW w:w="1520" w:type="dxa"/>
            <w:vAlign w:val="bottom"/>
            <w:tcBorders>
              <w:bottom w:val="single" w:sz="8" w:color="auto"/>
            </w:tcBorders>
            <w:shd w:val="clear" w:color="auto" w:fill="CCEEFF"/>
          </w:tcPr>
          <w:p>
            <w:pPr>
              <w:jc w:val="right"/>
              <w:ind w:right="1337"/>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5,534</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640" w:right="220" w:hanging="634"/>
        <w:spacing w:after="0" w:line="266" w:lineRule="auto"/>
        <w:tabs>
          <w:tab w:leader="none" w:pos="632" w:val="left"/>
        </w:tabs>
        <w:numPr>
          <w:ilvl w:val="0"/>
          <w:numId w:val="45"/>
        </w:numPr>
        <w:rPr>
          <w:rFonts w:ascii="Arial" w:cs="Arial" w:eastAsia="Arial" w:hAnsi="Arial"/>
          <w:sz w:val="14"/>
          <w:szCs w:val="14"/>
          <w:color w:val="auto"/>
        </w:rPr>
      </w:pPr>
      <w:r>
        <w:rPr>
          <w:rFonts w:ascii="Arial" w:cs="Arial" w:eastAsia="Arial" w:hAnsi="Arial"/>
          <w:sz w:val="18"/>
          <w:szCs w:val="18"/>
          <w:color w:val="auto"/>
        </w:rPr>
        <w:t>In fiscal year 2022, associated with the investigation of potential remediation at an inactive waste disposal site that adjoins one of the landfills that we operate. In fiscal year 2021, associated with a restoration project at one of our landfills.</w:t>
      </w:r>
    </w:p>
    <w:p>
      <w:pPr>
        <w:spacing w:after="0" w:line="73" w:lineRule="exact"/>
        <w:rPr>
          <w:rFonts w:ascii="Arial" w:cs="Arial" w:eastAsia="Arial" w:hAnsi="Arial"/>
          <w:sz w:val="14"/>
          <w:szCs w:val="14"/>
          <w:color w:val="auto"/>
        </w:rPr>
      </w:pPr>
    </w:p>
    <w:p>
      <w:pPr>
        <w:ind w:left="640" w:hanging="634"/>
        <w:spacing w:after="0"/>
        <w:tabs>
          <w:tab w:leader="none" w:pos="640" w:val="left"/>
        </w:tabs>
        <w:numPr>
          <w:ilvl w:val="0"/>
          <w:numId w:val="45"/>
        </w:numPr>
        <w:rPr>
          <w:rFonts w:ascii="Arial" w:cs="Arial" w:eastAsia="Arial" w:hAnsi="Arial"/>
          <w:sz w:val="14"/>
          <w:szCs w:val="14"/>
          <w:color w:val="auto"/>
        </w:rPr>
      </w:pPr>
      <w:r>
        <w:rPr>
          <w:rFonts w:ascii="Arial" w:cs="Arial" w:eastAsia="Arial" w:hAnsi="Arial"/>
          <w:sz w:val="18"/>
          <w:szCs w:val="18"/>
          <w:color w:val="auto"/>
        </w:rPr>
        <w:t>May include amounts paid and amounts that are being processed through accounts payable as a part of our disbursement cycle.</w:t>
      </w:r>
    </w:p>
    <w:p>
      <w:pPr>
        <w:spacing w:after="0" w:line="11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total expected environmental remediation payments, in today’s dollars, as of December 31, 2022 for each of the next five fiscal years and thereafter are as follows: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2023</w:t>
            </w:r>
          </w:p>
        </w:tc>
        <w:tc>
          <w:tcPr>
            <w:tcW w:w="80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25"/>
        </w:trPr>
        <w:tc>
          <w:tcPr>
            <w:tcW w:w="9240" w:type="dxa"/>
            <w:vAlign w:val="bottom"/>
          </w:tcPr>
          <w:p>
            <w:pPr>
              <w:ind w:left="20"/>
              <w:spacing w:after="0"/>
              <w:rPr>
                <w:sz w:val="20"/>
                <w:szCs w:val="20"/>
                <w:color w:val="auto"/>
              </w:rPr>
            </w:pPr>
            <w:r>
              <w:rPr>
                <w:rFonts w:ascii="Arial" w:cs="Arial" w:eastAsia="Arial" w:hAnsi="Arial"/>
                <w:sz w:val="18"/>
                <w:szCs w:val="18"/>
                <w:color w:val="auto"/>
              </w:rPr>
              <w:t>Fiscal year ending December 31, 2024</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1,279</w:t>
            </w:r>
          </w:p>
        </w:tc>
      </w:tr>
      <w:tr>
        <w:trPr>
          <w:trHeight w:val="227"/>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2025</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25"/>
        </w:trPr>
        <w:tc>
          <w:tcPr>
            <w:tcW w:w="9240" w:type="dxa"/>
            <w:vAlign w:val="bottom"/>
          </w:tcPr>
          <w:p>
            <w:pPr>
              <w:ind w:left="20"/>
              <w:spacing w:after="0"/>
              <w:rPr>
                <w:sz w:val="20"/>
                <w:szCs w:val="20"/>
                <w:color w:val="auto"/>
              </w:rPr>
            </w:pPr>
            <w:r>
              <w:rPr>
                <w:rFonts w:ascii="Arial" w:cs="Arial" w:eastAsia="Arial" w:hAnsi="Arial"/>
                <w:sz w:val="18"/>
                <w:szCs w:val="18"/>
                <w:color w:val="auto"/>
              </w:rPr>
              <w:t>Fiscal year ending December 31, 2026</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27"/>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2027</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5"/>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w:t>
            </w:r>
          </w:p>
        </w:tc>
      </w:tr>
      <w:tr>
        <w:trPr>
          <w:trHeight w:val="244"/>
        </w:trPr>
        <w:tc>
          <w:tcPr>
            <w:tcW w:w="924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59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A reconciliation of the expected aggregate non-inflated, undiscounted environmental remediation liabilities to the amount recognized in our consolidated balance sheet at December 31, 2022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Undiscounted liability</w:t>
            </w:r>
          </w:p>
        </w:tc>
        <w:tc>
          <w:tcPr>
            <w:tcW w:w="82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r>
      <w:tr>
        <w:trPr>
          <w:trHeight w:val="225"/>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discount, net</w:t>
            </w: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r>
      <w:tr>
        <w:trPr>
          <w:trHeight w:val="244"/>
        </w:trPr>
        <w:tc>
          <w:tcPr>
            <w:tcW w:w="920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Liability balance - December 31, 2022</w:t>
            </w:r>
          </w:p>
        </w:tc>
        <w:tc>
          <w:tcPr>
            <w:tcW w:w="82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6,335</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Any substantial liability incurred by us arising from environmental damage could have a material adverse effect on our business, financial condition and results of operations.</w:t>
      </w:r>
    </w:p>
    <w:p>
      <w:pPr>
        <w:spacing w:after="0" w:line="173" w:lineRule="exact"/>
        <w:rPr>
          <w:sz w:val="20"/>
          <w:szCs w:val="20"/>
          <w:color w:val="auto"/>
        </w:rPr>
      </w:pPr>
    </w:p>
    <w:p>
      <w:pPr>
        <w:ind w:left="440" w:hanging="434"/>
        <w:spacing w:after="0"/>
        <w:tabs>
          <w:tab w:leader="none" w:pos="4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of Class A Common Stock</w:t>
      </w:r>
    </w:p>
    <w:p>
      <w:pPr>
        <w:spacing w:after="0" w:line="11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fiscal year 2020, we completed a public offering of 2,703 shares of our Class A common stock at a public offering price of $56.00 per share. The offering resulted in net proceeds to us of $144,790, after deducting underwriting discounts, commissions and offering expenses. The net proceeds from the offering were used for general corporate purposes, including acquisitions or development of new operations or assets with the goal of complementing or expanding our business, and for working capital and capital expenditures.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8"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holders of the Class A common stock are entitled to one vote for each share held. The holders of the Class B common stock are entitled to ten votes for each share held, except for the election of one director, who is elected by the holders of the Class A common stock exclusively. The Class B common stock is convertible into Class A common stock on a share-for-share basis at the option of the shareholder.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18"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We are authorized to issue up to 944 shares of preferred stock in one or more series. As of December 31, 2022 and December 31, 2021, we had no shares issued.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i w:val="1"/>
          <w:iCs w:val="1"/>
          <w:color w:val="auto"/>
        </w:rPr>
        <w:t xml:space="preserve">2016 Incentive Plan. </w:t>
      </w:r>
      <w:r>
        <w:rPr>
          <w:rFonts w:ascii="Arial" w:cs="Arial" w:eastAsia="Arial" w:hAnsi="Arial"/>
          <w:sz w:val="18"/>
          <w:szCs w:val="18"/>
          <w:color w:val="auto"/>
        </w:rPr>
        <w:t>In the fiscal year ended December 31, 2016, we adopted the 2016 Incentive Plan (“2016 Plan”). Under the 2016 Plan, we may grant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or otherwise result in shares not being issued.</w:t>
      </w:r>
    </w:p>
    <w:p>
      <w:pPr>
        <w:spacing w:after="0" w:line="8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December 31, 2022, there were 797 Class A common stock equivalents available for future grant under the 2016 Plan, inclusive of additional Class A common stock equivalents that were previously issued under terminated plans and have become available for grant because such awards expired or otherwise resulted in shares not being issued.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Our equity awards granted consist of stock options, restricted stock, restricted stock units and market-based performance stock units.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 year to five year period from the date of grant.</w:t>
      </w:r>
    </w:p>
    <w:p>
      <w:pPr>
        <w:spacing w:after="0" w:line="7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fair value of each stock option granted is estimated using a Black-Scholes option-pricing model, which requires extensive use of accounting judgment and financial estimation, including estimates of: the expected term, calculated based on the weighted average historical life of the vested stock options, giving consideration to vesting schedules and historical exercise patterns; the risk-free interest rate, based on the U.S. Treasury yield curve for the period of the expected life of the stock option; and the expected volatility, calculated using the weekly historical volatility of our Class A common stock over the expected life of the stock option.</w:t>
      </w:r>
    </w:p>
    <w:p>
      <w:pPr>
        <w:spacing w:after="0" w:line="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Restricted stock and restricted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Restricted stock granted to non-employee directors vest incrementally over a three year period beginning on the first anniversary of the date of grant. Restricted stock units granted to non-employee directors vest in full on the first anniversary of the grant date. Restricted stock units vest incrementally over an identified service period beginning on the grant date based on continued employment. Market-based performance stock units vest at a future date following the grant date and are based on the attainment of performance targets and market achievements.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left="229"/>
              <w:spacing w:after="0"/>
              <w:rPr>
                <w:sz w:val="20"/>
                <w:szCs w:val="20"/>
                <w:color w:val="auto"/>
              </w:rPr>
            </w:pPr>
            <w:r>
              <w:rPr>
                <w:rFonts w:ascii="Arial" w:cs="Arial" w:eastAsia="Arial" w:hAnsi="Arial"/>
                <w:sz w:val="14"/>
                <w:szCs w:val="14"/>
                <w:b w:val="1"/>
                <w:bCs w:val="1"/>
                <w:color w:val="auto"/>
                <w:w w:val="88"/>
              </w:rPr>
              <w:t>Weighted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center"/>
              <w:ind w:left="397"/>
              <w:spacing w:after="0"/>
              <w:rPr>
                <w:sz w:val="20"/>
                <w:szCs w:val="20"/>
                <w:color w:val="auto"/>
              </w:rPr>
            </w:pPr>
            <w:r>
              <w:rPr>
                <w:rFonts w:ascii="Arial" w:cs="Arial" w:eastAsia="Arial" w:hAnsi="Arial"/>
                <w:sz w:val="14"/>
                <w:szCs w:val="14"/>
                <w:b w:val="1"/>
                <w:bCs w:val="1"/>
                <w:color w:val="auto"/>
                <w:w w:val="88"/>
              </w:rPr>
              <w:t>Weighted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left="229"/>
              <w:spacing w:after="0" w:line="143"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249"/>
              <w:spacing w:after="0" w:line="137"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6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Stock Options</w:t>
            </w:r>
          </w:p>
        </w:tc>
        <w:tc>
          <w:tcPr>
            <w:tcW w:w="1040" w:type="dxa"/>
            <w:vAlign w:val="bottom"/>
          </w:tcPr>
          <w:p>
            <w:pPr>
              <w:jc w:val="center"/>
              <w:ind w:left="397"/>
              <w:spacing w:after="0" w:line="143" w:lineRule="exact"/>
              <w:rPr>
                <w:sz w:val="20"/>
                <w:szCs w:val="20"/>
                <w:color w:val="auto"/>
              </w:rPr>
            </w:pPr>
            <w:r>
              <w:rPr>
                <w:rFonts w:ascii="Arial" w:cs="Arial" w:eastAsia="Arial" w:hAnsi="Arial"/>
                <w:sz w:val="14"/>
                <w:szCs w:val="14"/>
                <w:b w:val="1"/>
                <w:bCs w:val="1"/>
                <w:color w:val="auto"/>
                <w:w w:val="86"/>
              </w:rPr>
              <w:t>Average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left="229"/>
              <w:spacing w:after="0" w:line="143" w:lineRule="exact"/>
              <w:rPr>
                <w:sz w:val="20"/>
                <w:szCs w:val="20"/>
                <w:color w:val="auto"/>
              </w:rPr>
            </w:pPr>
            <w:r>
              <w:rPr>
                <w:rFonts w:ascii="Arial" w:cs="Arial" w:eastAsia="Arial" w:hAnsi="Arial"/>
                <w:sz w:val="14"/>
                <w:szCs w:val="14"/>
                <w:b w:val="1"/>
                <w:bCs w:val="1"/>
                <w:color w:val="auto"/>
                <w:w w:val="92"/>
              </w:rPr>
              <w:t>Contractual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8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Exercise Price</w:t>
            </w:r>
          </w:p>
        </w:tc>
        <w:tc>
          <w:tcPr>
            <w:tcW w:w="1220" w:type="dxa"/>
            <w:vAlign w:val="bottom"/>
          </w:tcPr>
          <w:p>
            <w:pPr>
              <w:jc w:val="center"/>
              <w:ind w:left="249"/>
              <w:spacing w:after="0"/>
              <w:rPr>
                <w:sz w:val="20"/>
                <w:szCs w:val="20"/>
                <w:color w:val="auto"/>
              </w:rPr>
            </w:pPr>
            <w:r>
              <w:rPr>
                <w:rFonts w:ascii="Arial" w:cs="Arial" w:eastAsia="Arial" w:hAnsi="Arial"/>
                <w:sz w:val="14"/>
                <w:szCs w:val="14"/>
                <w:b w:val="1"/>
                <w:bCs w:val="1"/>
                <w:color w:val="auto"/>
                <w:w w:val="92"/>
              </w:rPr>
              <w:t>Term (years)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2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15.68</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82.47</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20" w:type="dxa"/>
            <w:vAlign w:val="bottom"/>
            <w:tcBorders>
              <w:top w:val="single" w:sz="8" w:color="CCEEFF"/>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Outstanding, December 31, 2022</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55.60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auto"/>
            </w:tcBorders>
            <w:shd w:val="clear" w:color="auto" w:fill="CCEEFF"/>
          </w:tcPr>
          <w:p>
            <w:pPr>
              <w:spacing w:after="0"/>
              <w:rPr>
                <w:sz w:val="20"/>
                <w:szCs w:val="20"/>
                <w:color w:val="auto"/>
              </w:rPr>
            </w:pPr>
          </w:p>
        </w:tc>
        <w:tc>
          <w:tcPr>
            <w:tcW w:w="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December 31, 2022</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57"/>
              <w:spacing w:after="0" w:line="199"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84"/>
              </w:rPr>
              <w:t>12.88</w:t>
            </w: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1"/>
              <w:spacing w:after="0" w:line="199"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2022, 2021 and 2020, stock-based compensation expense for stock options was $248, $28 and $0,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2022, 2021 and 2020, the aggregate intrinsic value of stock options exercised was $1,467, $1,238 and $296, respectively.</w:t>
      </w:r>
    </w:p>
    <w:p>
      <w:pPr>
        <w:spacing w:after="0" w:line="112"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As of December 31, 2022, we had $2,098 of unrecognized stock-based compensation expense related to outstanding stock options to be recognized over a weighted average period of 4.4 years.</w:t>
      </w:r>
    </w:p>
    <w:p>
      <w:pPr>
        <w:spacing w:after="0" w:line="7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 fair value of stock options granted in fiscal year 2022 were calculated assuming no expected dividend yield using a weighted average expected life of 6.1 years, a risk-free interest rate of 2.7%, and an expected volatility of 30.5%.</w:t>
      </w:r>
    </w:p>
    <w:p>
      <w:pPr>
        <w:spacing w:after="0" w:line="7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Black-Scholes valuation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Restricted Stock,</w:t>
            </w:r>
          </w:p>
        </w:tc>
        <w:tc>
          <w:tcPr>
            <w:tcW w:w="1380" w:type="dxa"/>
            <w:vAlign w:val="bottom"/>
            <w:vMerge w:val="restart"/>
          </w:tcPr>
          <w:p>
            <w:pPr>
              <w:jc w:val="center"/>
              <w:ind w:left="437"/>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left="229"/>
              <w:spacing w:after="0"/>
              <w:rPr>
                <w:sz w:val="20"/>
                <w:szCs w:val="20"/>
                <w:color w:val="auto"/>
              </w:rPr>
            </w:pPr>
            <w:r>
              <w:rPr>
                <w:rFonts w:ascii="Arial" w:cs="Arial" w:eastAsia="Arial" w:hAnsi="Arial"/>
                <w:sz w:val="14"/>
                <w:szCs w:val="14"/>
                <w:b w:val="1"/>
                <w:bCs w:val="1"/>
                <w:color w:val="auto"/>
                <w:w w:val="90"/>
              </w:rPr>
              <w:t>Weighted Average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204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0"/>
              </w:rPr>
              <w:t>Restricted Stock Units,</w:t>
            </w:r>
          </w:p>
        </w:tc>
        <w:tc>
          <w:tcPr>
            <w:tcW w:w="13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left="229"/>
              <w:spacing w:after="0" w:line="143"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20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and Performance Stock</w:t>
            </w:r>
          </w:p>
        </w:tc>
        <w:tc>
          <w:tcPr>
            <w:tcW w:w="1380" w:type="dxa"/>
            <w:vAlign w:val="bottom"/>
          </w:tcPr>
          <w:p>
            <w:pPr>
              <w:jc w:val="center"/>
              <w:ind w:left="437"/>
              <w:spacing w:after="0" w:line="147"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left="249"/>
              <w:spacing w:after="0" w:line="147" w:lineRule="exact"/>
              <w:rPr>
                <w:sz w:val="20"/>
                <w:szCs w:val="20"/>
                <w:color w:val="auto"/>
              </w:rPr>
            </w:pPr>
            <w:r>
              <w:rPr>
                <w:rFonts w:ascii="Arial" w:cs="Arial" w:eastAsia="Arial" w:hAnsi="Arial"/>
                <w:sz w:val="14"/>
                <w:szCs w:val="14"/>
                <w:b w:val="1"/>
                <w:bCs w:val="1"/>
                <w:color w:val="auto"/>
                <w:w w:val="93"/>
              </w:rPr>
              <w:t>Contractual Term</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34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Units (1)</w:t>
            </w:r>
          </w:p>
        </w:tc>
        <w:tc>
          <w:tcPr>
            <w:tcW w:w="1380" w:type="dxa"/>
            <w:vAlign w:val="bottom"/>
          </w:tcPr>
          <w:p>
            <w:pPr>
              <w:jc w:val="center"/>
              <w:ind w:left="457"/>
              <w:spacing w:after="0"/>
              <w:rPr>
                <w:sz w:val="20"/>
                <w:szCs w:val="20"/>
                <w:color w:val="auto"/>
              </w:rPr>
            </w:pPr>
            <w:r>
              <w:rPr>
                <w:rFonts w:ascii="Arial" w:cs="Arial" w:eastAsia="Arial" w:hAnsi="Arial"/>
                <w:sz w:val="14"/>
                <w:szCs w:val="14"/>
                <w:b w:val="1"/>
                <w:bCs w:val="1"/>
                <w:color w:val="auto"/>
                <w:w w:val="95"/>
              </w:rPr>
              <w:t>Grant Price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ind w:left="229"/>
              <w:spacing w:after="0"/>
              <w:rPr>
                <w:sz w:val="20"/>
                <w:szCs w:val="20"/>
                <w:color w:val="auto"/>
              </w:rPr>
            </w:pPr>
            <w:r>
              <w:rPr>
                <w:rFonts w:ascii="Arial" w:cs="Arial" w:eastAsia="Arial" w:hAnsi="Arial"/>
                <w:sz w:val="14"/>
                <w:szCs w:val="14"/>
                <w:b w:val="1"/>
                <w:bCs w:val="1"/>
                <w:color w:val="auto"/>
                <w:w w:val="91"/>
              </w:rPr>
              <w:t>(years)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5"/>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55.40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380" w:type="dxa"/>
            <w:vAlign w:val="bottom"/>
          </w:tcPr>
          <w:p>
            <w:pPr>
              <w:jc w:val="right"/>
              <w:ind w:right="1197"/>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94.14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vested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canceled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ind w:right="119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68.02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Outstanding, December 31, 2022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9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75.52</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Unvested, December 31, 2022</w:t>
            </w: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40" w:type="dxa"/>
            <w:vAlign w:val="bottom"/>
            <w:vMerge w:val="continue"/>
          </w:tcPr>
          <w:p>
            <w:pPr>
              <w:spacing w:after="0"/>
              <w:rPr>
                <w:sz w:val="17"/>
                <w:szCs w:val="17"/>
                <w:color w:val="auto"/>
              </w:rPr>
            </w:pPr>
          </w:p>
        </w:tc>
        <w:tc>
          <w:tcPr>
            <w:tcW w:w="19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268</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1197"/>
              <w:spacing w:after="0" w:line="199"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97"/>
              </w:rPr>
              <w:t>79.06</w:t>
            </w:r>
          </w:p>
        </w:tc>
        <w:tc>
          <w:tcPr>
            <w:tcW w:w="10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1"/>
              <w:spacing w:after="0" w:line="199"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21,219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80" w:right="20" w:hanging="314"/>
        <w:spacing w:after="0" w:line="278" w:lineRule="auto"/>
        <w:tabs>
          <w:tab w:leader="none" w:pos="474"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Market-based performance stock unit grants are included at 100%. Attainment of maximum performance targets and market achievements would result in the issuance of an additional 99 shares of Class A common stock currently included in unvested. The market-based performance stock unit grants that vested in fiscal year 2022 resulted in the issuance of 84 additional shares of Class A common stock.</w:t>
      </w:r>
    </w:p>
    <w:p>
      <w:pPr>
        <w:spacing w:after="0" w:line="6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During fiscal years 2022, 2021 and 2020, stock-based compensation expense related to restricted stock, restricted stock units and performance stock units was $7,530, $11,241 and $7,965,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2022, 2021 and 2020, the total fair value of other stock awards vested was $17,011, $20,106 and $18,329, respectively.</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December 31, 2022, total unrecognized stock-based compensation expense related to outstanding restricted stock was $34, which will be recognized over a weighted average period of 1.2 years. As of December 31, 2022, total unrecognized stock-based compensation expense related to outstanding restricted stock units was $3,670, which will be recognized over a weighted average period of 1.7 years. As of December 31, 2022, total unrecognized stock-based compensation expense related to performance stock units based on our estimated achievement of the established performance criteria was $4,847, which will be recognized over a weighted average period of 1.6 years.</w:t>
      </w:r>
    </w:p>
    <w:p>
      <w:pPr>
        <w:spacing w:after="0" w:line="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weighted average fair value of market-based performance stock units granted during fiscal year 2022 was $103.84 per award, which was calculated using a Monte Carlo pricing model assuming a risk-free interest rate of 1.9% and an expected volatility of 34.8%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82"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We also recorded $376, $281 and $254 of stock-based compensation expense related to our Amended and Restated 1997 Employee Stock Purchase Plan during fiscal years 2022, 2021 and 2020, respectively.</w:t>
      </w:r>
    </w:p>
    <w:p>
      <w:pPr>
        <w:spacing w:after="0" w:line="73" w:lineRule="exact"/>
        <w:rPr>
          <w:sz w:val="20"/>
          <w:szCs w:val="20"/>
          <w:color w:val="auto"/>
        </w:rPr>
      </w:pPr>
    </w:p>
    <w:p>
      <w:pPr>
        <w:ind w:right="620"/>
        <w:spacing w:after="0" w:line="266" w:lineRule="auto"/>
        <w:rPr>
          <w:sz w:val="20"/>
          <w:szCs w:val="20"/>
          <w:color w:val="auto"/>
        </w:rPr>
      </w:pPr>
      <w:r>
        <w:rPr>
          <w:rFonts w:ascii="Arial" w:cs="Arial" w:eastAsia="Arial" w:hAnsi="Arial"/>
          <w:sz w:val="18"/>
          <w:szCs w:val="18"/>
          <w:color w:val="auto"/>
        </w:rPr>
        <w:t>Tax benefit for income taxes associated with stock-based compensation during fiscal years 2022, 2021 and 2020 was $(1,744), $(2,304) and $(6,796),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 Net of Tax</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Accumulated other comprehensive income (loss), net of tax is a component of stockholders' equity included in the accompanying consolidated balance sheets and includes, as applicable, the effective portion of changes in the fair value of our cash flow hedges and the changes in fair value of our marketable securities.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balances of each component of accumulated other comprehensive income (loss), net of tax are as follows:</w:t>
      </w:r>
    </w:p>
    <w:p>
      <w:pPr>
        <w:spacing w:after="0" w:line="35" w:lineRule="exact"/>
        <w:rPr>
          <w:sz w:val="20"/>
          <w:szCs w:val="20"/>
          <w:color w:val="auto"/>
        </w:rPr>
      </w:pPr>
    </w:p>
    <w:p>
      <w:pPr>
        <w:jc w:val="right"/>
        <w:ind w:right="260"/>
        <w:spacing w:after="0"/>
        <w:rPr>
          <w:sz w:val="20"/>
          <w:szCs w:val="20"/>
          <w:color w:val="auto"/>
        </w:rPr>
      </w:pPr>
      <w:r>
        <w:rPr>
          <w:rFonts w:ascii="Arial" w:cs="Arial" w:eastAsia="Arial" w:hAnsi="Arial"/>
          <w:sz w:val="14"/>
          <w:szCs w:val="14"/>
          <w:b w:val="1"/>
          <w:bCs w:val="1"/>
          <w:color w:val="auto"/>
        </w:rPr>
        <w:t>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134225" cy="151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2019</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comprehensive loss before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225" cy="143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Amounts reclassified from accumulated other comprehensive loss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Income tax benefit related to items in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34225" cy="1517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comprehensive loss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225" cy="151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comprehensive income before reclassifications</w:t>
      </w:r>
    </w:p>
    <w:p>
      <w:pPr>
        <w:spacing w:after="0" w:line="32" w:lineRule="exact"/>
        <w:rPr>
          <w:sz w:val="20"/>
          <w:szCs w:val="20"/>
          <w:color w:val="auto"/>
        </w:rPr>
      </w:pPr>
    </w:p>
    <w:p>
      <w:pPr>
        <w:ind w:left="460" w:right="3404"/>
        <w:spacing w:after="0" w:line="294" w:lineRule="auto"/>
        <w:rPr>
          <w:sz w:val="20"/>
          <w:szCs w:val="20"/>
          <w:color w:val="auto"/>
        </w:rPr>
      </w:pPr>
      <w:r>
        <w:rPr>
          <w:rFonts w:ascii="Arial" w:cs="Arial" w:eastAsia="Arial" w:hAnsi="Arial"/>
          <w:sz w:val="16"/>
          <w:szCs w:val="16"/>
          <w:color w:val="auto"/>
        </w:rPr>
        <w:t>Amounts reclassified from accumulated other comprehensive loss Income tax provision related to items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34225" cy="143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225" cy="151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2021</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comprehensive income before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225" cy="143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12" w:lineRule="exact"/>
        <w:rPr>
          <w:sz w:val="20"/>
          <w:szCs w:val="20"/>
          <w:color w:val="auto"/>
        </w:rPr>
      </w:pPr>
    </w:p>
    <w:p>
      <w:pPr>
        <w:ind w:left="460" w:right="3404"/>
        <w:spacing w:after="0" w:line="294" w:lineRule="auto"/>
        <w:rPr>
          <w:sz w:val="20"/>
          <w:szCs w:val="20"/>
          <w:color w:val="auto"/>
        </w:rPr>
      </w:pPr>
      <w:r>
        <w:rPr>
          <w:rFonts w:ascii="Arial" w:cs="Arial" w:eastAsia="Arial" w:hAnsi="Arial"/>
          <w:sz w:val="16"/>
          <w:szCs w:val="16"/>
          <w:color w:val="auto"/>
        </w:rPr>
        <w:t>Amounts reclassified from accumulated other comprehensive loss Income tax provision related to items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34225" cy="151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Other comprehensive income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1196" w:hanging="1196"/>
        <w:spacing w:after="0"/>
        <w:tabs>
          <w:tab w:leader="none" w:pos="1196" w:val="left"/>
        </w:tabs>
        <w:numPr>
          <w:ilvl w:val="0"/>
          <w:numId w:val="48"/>
        </w:numPr>
        <w:rPr>
          <w:rFonts w:ascii="Arial" w:cs="Arial" w:eastAsia="Arial" w:hAnsi="Arial"/>
          <w:sz w:val="16"/>
          <w:szCs w:val="16"/>
          <w:color w:val="auto"/>
        </w:rPr>
      </w:pPr>
      <w:r>
        <w:rPr>
          <w:rFonts w:ascii="Arial" w:cs="Arial" w:eastAsia="Arial" w:hAnsi="Arial"/>
          <w:sz w:val="16"/>
          <w:szCs w:val="16"/>
          <w:color w:val="auto"/>
        </w:rPr>
        <w:t>(6,041)</w:t>
      </w:r>
    </w:p>
    <w:p>
      <w:pPr>
        <w:spacing w:after="0" w:line="55" w:lineRule="exact"/>
        <w:rPr>
          <w:rFonts w:ascii="Arial" w:cs="Arial" w:eastAsia="Arial" w:hAnsi="Arial"/>
          <w:sz w:val="16"/>
          <w:szCs w:val="16"/>
          <w:color w:val="auto"/>
        </w:rPr>
      </w:pPr>
    </w:p>
    <w:p>
      <w:pPr>
        <w:ind w:left="1116"/>
        <w:spacing w:after="0"/>
        <w:rPr>
          <w:rFonts w:ascii="Arial" w:cs="Arial" w:eastAsia="Arial" w:hAnsi="Arial"/>
          <w:sz w:val="16"/>
          <w:szCs w:val="16"/>
          <w:color w:val="auto"/>
        </w:rPr>
      </w:pPr>
      <w:r>
        <w:rPr>
          <w:rFonts w:ascii="Arial" w:cs="Arial" w:eastAsia="Arial" w:hAnsi="Arial"/>
          <w:sz w:val="16"/>
          <w:szCs w:val="16"/>
          <w:color w:val="auto"/>
        </w:rPr>
        <w:t>(11,184)</w:t>
      </w:r>
    </w:p>
    <w:p>
      <w:pPr>
        <w:spacing w:after="0" w:line="42" w:lineRule="exact"/>
        <w:rPr>
          <w:rFonts w:ascii="Arial" w:cs="Arial" w:eastAsia="Arial" w:hAnsi="Arial"/>
          <w:sz w:val="16"/>
          <w:szCs w:val="16"/>
          <w:color w:val="auto"/>
        </w:rPr>
      </w:pPr>
    </w:p>
    <w:p>
      <w:pPr>
        <w:ind w:left="1276"/>
        <w:spacing w:after="0"/>
        <w:rPr>
          <w:rFonts w:ascii="Arial" w:cs="Arial" w:eastAsia="Arial" w:hAnsi="Arial"/>
          <w:sz w:val="16"/>
          <w:szCs w:val="16"/>
          <w:color w:val="auto"/>
        </w:rPr>
      </w:pPr>
      <w:r>
        <w:rPr>
          <w:rFonts w:ascii="Arial" w:cs="Arial" w:eastAsia="Arial" w:hAnsi="Arial"/>
          <w:sz w:val="17"/>
          <w:szCs w:val="17"/>
          <w:color w:val="auto"/>
        </w:rPr>
        <w:t>3,679</w:t>
      </w:r>
    </w:p>
    <w:p>
      <w:pPr>
        <w:spacing w:after="0" w:line="30" w:lineRule="exact"/>
        <w:rPr>
          <w:rFonts w:ascii="Arial" w:cs="Arial" w:eastAsia="Arial" w:hAnsi="Arial"/>
          <w:sz w:val="16"/>
          <w:szCs w:val="16"/>
          <w:color w:val="auto"/>
        </w:rPr>
      </w:pPr>
    </w:p>
    <w:p>
      <w:pPr>
        <w:ind w:left="1276"/>
        <w:spacing w:after="0"/>
        <w:rPr>
          <w:rFonts w:ascii="Arial" w:cs="Arial" w:eastAsia="Arial" w:hAnsi="Arial"/>
          <w:sz w:val="16"/>
          <w:szCs w:val="16"/>
          <w:color w:val="auto"/>
        </w:rPr>
      </w:pPr>
      <w:r>
        <w:rPr>
          <w:rFonts w:ascii="Arial" w:cs="Arial" w:eastAsia="Arial" w:hAnsi="Arial"/>
          <w:sz w:val="17"/>
          <w:szCs w:val="17"/>
          <w:color w:val="auto"/>
        </w:rPr>
        <w:t>2,029</w:t>
      </w:r>
    </w:p>
    <w:p>
      <w:pPr>
        <w:spacing w:after="0" w:line="43" w:lineRule="exact"/>
        <w:rPr>
          <w:rFonts w:ascii="Arial" w:cs="Arial" w:eastAsia="Arial" w:hAnsi="Arial"/>
          <w:sz w:val="16"/>
          <w:szCs w:val="16"/>
          <w:color w:val="auto"/>
        </w:rPr>
      </w:pPr>
    </w:p>
    <w:p>
      <w:pPr>
        <w:ind w:left="1196"/>
        <w:spacing w:after="0"/>
        <w:rPr>
          <w:rFonts w:ascii="Arial" w:cs="Arial" w:eastAsia="Arial" w:hAnsi="Arial"/>
          <w:sz w:val="16"/>
          <w:szCs w:val="16"/>
          <w:color w:val="auto"/>
        </w:rPr>
      </w:pPr>
      <w:r>
        <w:rPr>
          <w:rFonts w:ascii="Arial" w:cs="Arial" w:eastAsia="Arial" w:hAnsi="Arial"/>
          <w:sz w:val="16"/>
          <w:szCs w:val="16"/>
          <w:color w:val="auto"/>
        </w:rPr>
        <w:t>(5,476)</w:t>
      </w:r>
    </w:p>
    <w:p>
      <w:pPr>
        <w:spacing w:after="0" w:line="55" w:lineRule="exact"/>
        <w:rPr>
          <w:rFonts w:ascii="Arial" w:cs="Arial" w:eastAsia="Arial" w:hAnsi="Arial"/>
          <w:sz w:val="16"/>
          <w:szCs w:val="16"/>
          <w:color w:val="auto"/>
        </w:rPr>
      </w:pPr>
    </w:p>
    <w:p>
      <w:pPr>
        <w:ind w:left="1116"/>
        <w:spacing w:after="0"/>
        <w:rPr>
          <w:rFonts w:ascii="Arial" w:cs="Arial" w:eastAsia="Arial" w:hAnsi="Arial"/>
          <w:sz w:val="16"/>
          <w:szCs w:val="16"/>
          <w:color w:val="auto"/>
        </w:rPr>
      </w:pPr>
      <w:r>
        <w:rPr>
          <w:rFonts w:ascii="Arial" w:cs="Arial" w:eastAsia="Arial" w:hAnsi="Arial"/>
          <w:sz w:val="16"/>
          <w:szCs w:val="16"/>
          <w:color w:val="auto"/>
        </w:rPr>
        <w:t>(11,517)</w:t>
      </w:r>
    </w:p>
    <w:p>
      <w:pPr>
        <w:spacing w:after="0" w:line="55" w:lineRule="exact"/>
        <w:rPr>
          <w:rFonts w:ascii="Arial" w:cs="Arial" w:eastAsia="Arial" w:hAnsi="Arial"/>
          <w:sz w:val="16"/>
          <w:szCs w:val="16"/>
          <w:color w:val="auto"/>
        </w:rPr>
      </w:pPr>
    </w:p>
    <w:p>
      <w:pPr>
        <w:ind w:left="1276"/>
        <w:spacing w:after="0"/>
        <w:rPr>
          <w:rFonts w:ascii="Arial" w:cs="Arial" w:eastAsia="Arial" w:hAnsi="Arial"/>
          <w:sz w:val="16"/>
          <w:szCs w:val="16"/>
          <w:color w:val="auto"/>
        </w:rPr>
      </w:pPr>
      <w:r>
        <w:rPr>
          <w:rFonts w:ascii="Arial" w:cs="Arial" w:eastAsia="Arial" w:hAnsi="Arial"/>
          <w:sz w:val="17"/>
          <w:szCs w:val="17"/>
          <w:color w:val="auto"/>
        </w:rPr>
        <w:t>3,737</w:t>
      </w:r>
    </w:p>
    <w:p>
      <w:pPr>
        <w:spacing w:after="0" w:line="30" w:lineRule="exact"/>
        <w:rPr>
          <w:rFonts w:ascii="Arial" w:cs="Arial" w:eastAsia="Arial" w:hAnsi="Arial"/>
          <w:sz w:val="16"/>
          <w:szCs w:val="16"/>
          <w:color w:val="auto"/>
        </w:rPr>
      </w:pPr>
    </w:p>
    <w:p>
      <w:pPr>
        <w:ind w:left="1276"/>
        <w:spacing w:after="0"/>
        <w:rPr>
          <w:rFonts w:ascii="Arial" w:cs="Arial" w:eastAsia="Arial" w:hAnsi="Arial"/>
          <w:sz w:val="16"/>
          <w:szCs w:val="16"/>
          <w:color w:val="auto"/>
        </w:rPr>
      </w:pPr>
      <w:r>
        <w:rPr>
          <w:rFonts w:ascii="Arial" w:cs="Arial" w:eastAsia="Arial" w:hAnsi="Arial"/>
          <w:sz w:val="17"/>
          <w:szCs w:val="17"/>
          <w:color w:val="auto"/>
        </w:rPr>
        <w:t>4,763</w:t>
      </w:r>
    </w:p>
    <w:p>
      <w:pPr>
        <w:spacing w:after="0" w:line="30" w:lineRule="exact"/>
        <w:rPr>
          <w:rFonts w:ascii="Arial" w:cs="Arial" w:eastAsia="Arial" w:hAnsi="Arial"/>
          <w:sz w:val="16"/>
          <w:szCs w:val="16"/>
          <w:color w:val="auto"/>
        </w:rPr>
      </w:pPr>
    </w:p>
    <w:p>
      <w:pPr>
        <w:ind w:left="1196"/>
        <w:spacing w:after="0"/>
        <w:rPr>
          <w:rFonts w:ascii="Arial" w:cs="Arial" w:eastAsia="Arial" w:hAnsi="Arial"/>
          <w:sz w:val="16"/>
          <w:szCs w:val="16"/>
          <w:color w:val="auto"/>
        </w:rPr>
      </w:pPr>
      <w:r>
        <w:rPr>
          <w:rFonts w:ascii="Arial" w:cs="Arial" w:eastAsia="Arial" w:hAnsi="Arial"/>
          <w:sz w:val="16"/>
          <w:szCs w:val="16"/>
          <w:color w:val="auto"/>
        </w:rPr>
        <w:t>(2,086)</w:t>
      </w:r>
    </w:p>
    <w:p>
      <w:pPr>
        <w:spacing w:after="0" w:line="55" w:lineRule="exact"/>
        <w:rPr>
          <w:rFonts w:ascii="Arial" w:cs="Arial" w:eastAsia="Arial" w:hAnsi="Arial"/>
          <w:sz w:val="16"/>
          <w:szCs w:val="16"/>
          <w:color w:val="auto"/>
        </w:rPr>
      </w:pPr>
    </w:p>
    <w:p>
      <w:pPr>
        <w:ind w:left="1276"/>
        <w:spacing w:after="0"/>
        <w:rPr>
          <w:rFonts w:ascii="Arial" w:cs="Arial" w:eastAsia="Arial" w:hAnsi="Arial"/>
          <w:sz w:val="16"/>
          <w:szCs w:val="16"/>
          <w:color w:val="auto"/>
        </w:rPr>
      </w:pPr>
      <w:r>
        <w:rPr>
          <w:rFonts w:ascii="Arial" w:cs="Arial" w:eastAsia="Arial" w:hAnsi="Arial"/>
          <w:sz w:val="17"/>
          <w:szCs w:val="17"/>
          <w:color w:val="auto"/>
        </w:rPr>
        <w:t>6,414</w:t>
      </w:r>
    </w:p>
    <w:p>
      <w:pPr>
        <w:spacing w:after="0" w:line="43" w:lineRule="exact"/>
        <w:rPr>
          <w:rFonts w:ascii="Arial" w:cs="Arial" w:eastAsia="Arial" w:hAnsi="Arial"/>
          <w:sz w:val="16"/>
          <w:szCs w:val="16"/>
          <w:color w:val="auto"/>
        </w:rPr>
      </w:pPr>
    </w:p>
    <w:p>
      <w:pPr>
        <w:ind w:left="1196"/>
        <w:spacing w:after="0"/>
        <w:rPr>
          <w:rFonts w:ascii="Arial" w:cs="Arial" w:eastAsia="Arial" w:hAnsi="Arial"/>
          <w:sz w:val="16"/>
          <w:szCs w:val="16"/>
          <w:color w:val="auto"/>
        </w:rPr>
      </w:pPr>
      <w:r>
        <w:rPr>
          <w:rFonts w:ascii="Arial" w:cs="Arial" w:eastAsia="Arial" w:hAnsi="Arial"/>
          <w:sz w:val="16"/>
          <w:szCs w:val="16"/>
          <w:color w:val="auto"/>
        </w:rPr>
        <w:t>(5,103)</w:t>
      </w:r>
    </w:p>
    <w:p>
      <w:pPr>
        <w:spacing w:after="0" w:line="55" w:lineRule="exact"/>
        <w:rPr>
          <w:rFonts w:ascii="Arial" w:cs="Arial" w:eastAsia="Arial" w:hAnsi="Arial"/>
          <w:sz w:val="16"/>
          <w:szCs w:val="16"/>
          <w:color w:val="auto"/>
        </w:rPr>
      </w:pPr>
    </w:p>
    <w:p>
      <w:pPr>
        <w:ind w:left="1176"/>
        <w:spacing w:after="0"/>
        <w:rPr>
          <w:rFonts w:ascii="Arial" w:cs="Arial" w:eastAsia="Arial" w:hAnsi="Arial"/>
          <w:sz w:val="16"/>
          <w:szCs w:val="16"/>
          <w:color w:val="auto"/>
        </w:rPr>
      </w:pPr>
      <w:r>
        <w:rPr>
          <w:rFonts w:ascii="Arial" w:cs="Arial" w:eastAsia="Arial" w:hAnsi="Arial"/>
          <w:sz w:val="17"/>
          <w:szCs w:val="17"/>
          <w:color w:val="auto"/>
        </w:rPr>
        <w:t>15,297</w:t>
      </w:r>
    </w:p>
    <w:p>
      <w:pPr>
        <w:spacing w:after="0" w:line="30" w:lineRule="exact"/>
        <w:rPr>
          <w:rFonts w:ascii="Arial" w:cs="Arial" w:eastAsia="Arial" w:hAnsi="Arial"/>
          <w:sz w:val="16"/>
          <w:szCs w:val="16"/>
          <w:color w:val="auto"/>
        </w:rPr>
      </w:pPr>
    </w:p>
    <w:p>
      <w:pPr>
        <w:ind w:left="1276"/>
        <w:spacing w:after="0"/>
        <w:rPr>
          <w:rFonts w:ascii="Arial" w:cs="Arial" w:eastAsia="Arial" w:hAnsi="Arial"/>
          <w:sz w:val="16"/>
          <w:szCs w:val="16"/>
          <w:color w:val="auto"/>
        </w:rPr>
      </w:pPr>
      <w:r>
        <w:rPr>
          <w:rFonts w:ascii="Arial" w:cs="Arial" w:eastAsia="Arial" w:hAnsi="Arial"/>
          <w:sz w:val="17"/>
          <w:szCs w:val="17"/>
          <w:color w:val="auto"/>
        </w:rPr>
        <w:t>1,443</w:t>
      </w:r>
    </w:p>
    <w:p>
      <w:pPr>
        <w:spacing w:after="0" w:line="30" w:lineRule="exact"/>
        <w:rPr>
          <w:rFonts w:ascii="Arial" w:cs="Arial" w:eastAsia="Arial" w:hAnsi="Arial"/>
          <w:sz w:val="16"/>
          <w:szCs w:val="16"/>
          <w:color w:val="auto"/>
        </w:rPr>
      </w:pPr>
    </w:p>
    <w:p>
      <w:pPr>
        <w:ind w:left="1196"/>
        <w:spacing w:after="0"/>
        <w:rPr>
          <w:rFonts w:ascii="Arial" w:cs="Arial" w:eastAsia="Arial" w:hAnsi="Arial"/>
          <w:sz w:val="16"/>
          <w:szCs w:val="16"/>
          <w:color w:val="auto"/>
        </w:rPr>
      </w:pPr>
      <w:r>
        <w:rPr>
          <w:rFonts w:ascii="Arial" w:cs="Arial" w:eastAsia="Arial" w:hAnsi="Arial"/>
          <w:sz w:val="16"/>
          <w:szCs w:val="16"/>
          <w:color w:val="auto"/>
        </w:rPr>
        <w:t>(4,095)</w:t>
      </w:r>
    </w:p>
    <w:p>
      <w:pPr>
        <w:spacing w:after="0" w:line="55" w:lineRule="exact"/>
        <w:rPr>
          <w:rFonts w:ascii="Arial" w:cs="Arial" w:eastAsia="Arial" w:hAnsi="Arial"/>
          <w:sz w:val="16"/>
          <w:szCs w:val="16"/>
          <w:color w:val="auto"/>
        </w:rPr>
      </w:pPr>
    </w:p>
    <w:p>
      <w:pPr>
        <w:ind w:left="1176"/>
        <w:spacing w:after="0"/>
        <w:rPr>
          <w:rFonts w:ascii="Arial" w:cs="Arial" w:eastAsia="Arial" w:hAnsi="Arial"/>
          <w:sz w:val="16"/>
          <w:szCs w:val="16"/>
          <w:color w:val="auto"/>
        </w:rPr>
      </w:pPr>
      <w:r>
        <w:rPr>
          <w:rFonts w:ascii="Arial" w:cs="Arial" w:eastAsia="Arial" w:hAnsi="Arial"/>
          <w:sz w:val="17"/>
          <w:szCs w:val="17"/>
          <w:color w:val="auto"/>
        </w:rPr>
        <w:t>12,645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1144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-571500</wp:posOffset>
            </wp:positionV>
            <wp:extent cx="11144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-875665</wp:posOffset>
            </wp:positionV>
            <wp:extent cx="11144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-1466215</wp:posOffset>
            </wp:positionV>
            <wp:extent cx="11144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-2057400</wp:posOffset>
            </wp:positionV>
            <wp:extent cx="11144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4" w:lineRule="exact"/>
        <w:rPr>
          <w:sz w:val="20"/>
          <w:szCs w:val="20"/>
          <w:color w:val="auto"/>
        </w:rPr>
      </w:pPr>
    </w:p>
    <w:p>
      <w:pPr>
        <w:ind w:left="1276" w:hanging="1276"/>
        <w:spacing w:after="0"/>
        <w:tabs>
          <w:tab w:leader="none" w:pos="1276" w:val="left"/>
        </w:tabs>
        <w:numPr>
          <w:ilvl w:val="0"/>
          <w:numId w:val="49"/>
        </w:numPr>
        <w:rPr>
          <w:rFonts w:ascii="Arial" w:cs="Arial" w:eastAsia="Arial" w:hAnsi="Arial"/>
          <w:sz w:val="17"/>
          <w:szCs w:val="17"/>
          <w:color w:val="auto"/>
        </w:rPr>
      </w:pPr>
      <w:r>
        <w:rPr>
          <w:rFonts w:ascii="Arial" w:cs="Arial" w:eastAsia="Arial" w:hAnsi="Arial"/>
          <w:sz w:val="17"/>
          <w:szCs w:val="17"/>
          <w:color w:val="auto"/>
        </w:rPr>
        <w:t>7,542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1144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44450</wp:posOffset>
            </wp:positionV>
            <wp:extent cx="11144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84" w:space="720"/>
            <w:col w:w="1716"/>
          </w:cols>
          <w:pgMar w:left="320" w:top="118" w:right="359" w:bottom="1440" w:gutter="0" w:footer="0" w:header="0"/>
          <w:type w:val="continuous"/>
        </w:sectPr>
      </w:pPr>
    </w:p>
    <w:p>
      <w:pPr>
        <w:spacing w:after="0" w:line="70"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A summary of reclassifications out of accumulated other comprehensive income (loss), net of tax for fiscal years 2022, 2021 and 2020 is as follows:</w:t>
      </w:r>
    </w:p>
    <w:p>
      <w:pPr>
        <w:spacing w:after="0" w:line="46"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Fiscal Year Ended</w:t>
      </w:r>
    </w:p>
    <w:p>
      <w:pPr>
        <w:ind w:left="5100"/>
        <w:spacing w:after="0"/>
        <w:rPr>
          <w:sz w:val="20"/>
          <w:szCs w:val="20"/>
          <w:color w:val="auto"/>
        </w:rPr>
      </w:pPr>
      <w:r>
        <w:rPr>
          <w:rFonts w:ascii="Arial" w:cs="Arial" w:eastAsia="Arial" w:hAnsi="Arial"/>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3660" w:type="dxa"/>
            <w:vAlign w:val="bottom"/>
          </w:tcPr>
          <w:p>
            <w:pPr>
              <w:spacing w:after="0"/>
              <w:rPr>
                <w:sz w:val="17"/>
                <w:szCs w:val="17"/>
                <w:color w:val="auto"/>
              </w:rPr>
            </w:pPr>
          </w:p>
        </w:tc>
      </w:tr>
      <w:tr>
        <w:trPr>
          <w:trHeight w:val="133"/>
        </w:trPr>
        <w:tc>
          <w:tcPr>
            <w:tcW w:w="35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Details About Accumulated Other Comprehensive</w:t>
            </w:r>
          </w:p>
        </w:tc>
        <w:tc>
          <w:tcPr>
            <w:tcW w:w="4000" w:type="dxa"/>
            <w:vAlign w:val="bottom"/>
            <w:gridSpan w:val="8"/>
          </w:tcPr>
          <w:p>
            <w:pPr>
              <w:jc w:val="right"/>
              <w:spacing w:after="0" w:line="133" w:lineRule="exact"/>
              <w:rPr>
                <w:sz w:val="20"/>
                <w:szCs w:val="20"/>
                <w:color w:val="auto"/>
              </w:rPr>
            </w:pPr>
            <w:r>
              <w:rPr>
                <w:rFonts w:ascii="Arial" w:cs="Arial" w:eastAsia="Arial" w:hAnsi="Arial"/>
                <w:sz w:val="14"/>
                <w:szCs w:val="14"/>
                <w:b w:val="1"/>
                <w:bCs w:val="1"/>
                <w:color w:val="auto"/>
                <w:w w:val="90"/>
              </w:rPr>
              <w:t>Amounts Reclassified Out of Accumulated Other Comprehensive</w:t>
            </w:r>
          </w:p>
        </w:tc>
        <w:tc>
          <w:tcPr>
            <w:tcW w:w="3660" w:type="dxa"/>
            <w:vAlign w:val="bottom"/>
          </w:tcPr>
          <w:p>
            <w:pPr>
              <w:ind w:left="700"/>
              <w:spacing w:after="0" w:line="133" w:lineRule="exact"/>
              <w:rPr>
                <w:sz w:val="20"/>
                <w:szCs w:val="20"/>
                <w:color w:val="auto"/>
              </w:rPr>
            </w:pPr>
            <w:r>
              <w:rPr>
                <w:rFonts w:ascii="Arial" w:cs="Arial" w:eastAsia="Arial" w:hAnsi="Arial"/>
                <w:sz w:val="14"/>
                <w:szCs w:val="14"/>
                <w:b w:val="1"/>
                <w:bCs w:val="1"/>
                <w:color w:val="auto"/>
              </w:rPr>
              <w:t>Affected Line Item in the Consolidated</w:t>
            </w:r>
          </w:p>
        </w:tc>
      </w:tr>
      <w:tr>
        <w:trPr>
          <w:trHeight w:val="192"/>
        </w:trPr>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 Net of Tax Components</w:t>
            </w:r>
          </w:p>
        </w:tc>
        <w:tc>
          <w:tcPr>
            <w:tcW w:w="300" w:type="dxa"/>
            <w:vAlign w:val="bottom"/>
          </w:tcPr>
          <w:p>
            <w:pPr>
              <w:spacing w:after="0"/>
              <w:rPr>
                <w:sz w:val="16"/>
                <w:szCs w:val="16"/>
                <w:color w:val="auto"/>
              </w:rPr>
            </w:pPr>
          </w:p>
        </w:tc>
        <w:tc>
          <w:tcPr>
            <w:tcW w:w="2740" w:type="dxa"/>
            <w:vAlign w:val="bottom"/>
            <w:gridSpan w:val="6"/>
          </w:tcPr>
          <w:p>
            <w:pPr>
              <w:jc w:val="center"/>
              <w:ind w:left="577"/>
              <w:spacing w:after="0"/>
              <w:rPr>
                <w:sz w:val="20"/>
                <w:szCs w:val="20"/>
                <w:color w:val="auto"/>
              </w:rPr>
            </w:pPr>
            <w:r>
              <w:rPr>
                <w:rFonts w:ascii="Arial" w:cs="Arial" w:eastAsia="Arial" w:hAnsi="Arial"/>
                <w:sz w:val="14"/>
                <w:szCs w:val="14"/>
                <w:b w:val="1"/>
                <w:bCs w:val="1"/>
                <w:color w:val="auto"/>
                <w:w w:val="91"/>
              </w:rPr>
              <w:t>Income (Loss), Net of Tax</w:t>
            </w:r>
          </w:p>
        </w:tc>
        <w:tc>
          <w:tcPr>
            <w:tcW w:w="960" w:type="dxa"/>
            <w:vAlign w:val="bottom"/>
          </w:tcPr>
          <w:p>
            <w:pPr>
              <w:spacing w:after="0"/>
              <w:rPr>
                <w:sz w:val="16"/>
                <w:szCs w:val="16"/>
                <w:color w:val="auto"/>
              </w:rPr>
            </w:pPr>
          </w:p>
        </w:tc>
        <w:tc>
          <w:tcPr>
            <w:tcW w:w="3660" w:type="dxa"/>
            <w:vAlign w:val="bottom"/>
          </w:tcPr>
          <w:p>
            <w:pPr>
              <w:ind w:left="1120"/>
              <w:spacing w:after="0"/>
              <w:rPr>
                <w:sz w:val="20"/>
                <w:szCs w:val="20"/>
                <w:color w:val="auto"/>
              </w:rPr>
            </w:pPr>
            <w:r>
              <w:rPr>
                <w:rFonts w:ascii="Arial" w:cs="Arial" w:eastAsia="Arial" w:hAnsi="Arial"/>
                <w:sz w:val="14"/>
                <w:szCs w:val="14"/>
                <w:b w:val="1"/>
                <w:bCs w:val="1"/>
                <w:color w:val="auto"/>
              </w:rPr>
              <w:t>Statements of Operations</w:t>
            </w:r>
          </w:p>
        </w:tc>
      </w:tr>
      <w:tr>
        <w:trPr>
          <w:trHeight w:val="234"/>
        </w:trPr>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Interest rate swaps</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355"/>
              <w:spacing w:after="0"/>
              <w:rPr>
                <w:sz w:val="20"/>
                <w:szCs w:val="20"/>
                <w:color w:val="auto"/>
              </w:rPr>
            </w:pPr>
            <w:r>
              <w:rPr>
                <w:rFonts w:ascii="Arial" w:cs="Arial" w:eastAsia="Arial" w:hAnsi="Arial"/>
                <w:sz w:val="18"/>
                <w:szCs w:val="18"/>
                <w:color w:val="auto"/>
                <w:w w:val="88"/>
              </w:rPr>
              <w:t>4,763</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r>
      <w:tr>
        <w:trPr>
          <w:trHeight w:val="219"/>
        </w:trPr>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315"/>
              <w:spacing w:after="0"/>
              <w:rPr>
                <w:sz w:val="20"/>
                <w:szCs w:val="20"/>
                <w:color w:val="auto"/>
              </w:rPr>
            </w:pPr>
            <w:r>
              <w:rPr>
                <w:rFonts w:ascii="Arial" w:cs="Arial" w:eastAsia="Arial" w:hAnsi="Arial"/>
                <w:sz w:val="18"/>
                <w:szCs w:val="18"/>
                <w:color w:val="auto"/>
                <w:w w:val="91"/>
              </w:rPr>
              <w:t>(4,763)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(3,679)</w:t>
            </w:r>
          </w:p>
        </w:tc>
        <w:tc>
          <w:tcPr>
            <w:tcW w:w="3660" w:type="dxa"/>
            <w:vAlign w:val="bottom"/>
          </w:tcPr>
          <w:p>
            <w:pPr>
              <w:ind w:left="120"/>
              <w:spacing w:after="0"/>
              <w:rPr>
                <w:sz w:val="20"/>
                <w:szCs w:val="20"/>
                <w:color w:val="auto"/>
              </w:rPr>
            </w:pPr>
            <w:r>
              <w:rPr>
                <w:rFonts w:ascii="Arial" w:cs="Arial" w:eastAsia="Arial" w:hAnsi="Arial"/>
                <w:sz w:val="18"/>
                <w:szCs w:val="18"/>
                <w:color w:val="auto"/>
              </w:rPr>
              <w:t>Income before income taxes</w:t>
            </w:r>
          </w:p>
        </w:tc>
      </w:tr>
      <w:tr>
        <w:trPr>
          <w:trHeight w:val="226"/>
        </w:trPr>
        <w:tc>
          <w:tcPr>
            <w:tcW w:w="35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315"/>
              <w:spacing w:after="0"/>
              <w:rPr>
                <w:sz w:val="20"/>
                <w:szCs w:val="20"/>
                <w:color w:val="auto"/>
              </w:rPr>
            </w:pPr>
            <w:r>
              <w:rPr>
                <w:rFonts w:ascii="Arial" w:cs="Arial" w:eastAsia="Arial" w:hAnsi="Arial"/>
                <w:sz w:val="18"/>
                <w:szCs w:val="18"/>
                <w:color w:val="auto"/>
                <w:w w:val="91"/>
              </w:rPr>
              <w:t>(1,142)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(benefit) for income taxes</w:t>
            </w:r>
          </w:p>
        </w:tc>
      </w:tr>
      <w:tr>
        <w:trPr>
          <w:trHeight w:val="220"/>
        </w:trPr>
        <w:tc>
          <w:tcPr>
            <w:tcW w:w="3520" w:type="dxa"/>
            <w:vAlign w:val="bottom"/>
          </w:tcPr>
          <w:p>
            <w:pPr>
              <w:spacing w:after="0"/>
              <w:rPr>
                <w:sz w:val="19"/>
                <w:szCs w:val="19"/>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315"/>
              <w:spacing w:after="0"/>
              <w:rPr>
                <w:sz w:val="20"/>
                <w:szCs w:val="20"/>
                <w:color w:val="auto"/>
              </w:rPr>
            </w:pPr>
            <w:r>
              <w:rPr>
                <w:rFonts w:ascii="Arial" w:cs="Arial" w:eastAsia="Arial" w:hAnsi="Arial"/>
                <w:sz w:val="18"/>
                <w:szCs w:val="18"/>
                <w:color w:val="auto"/>
                <w:w w:val="91"/>
              </w:rPr>
              <w:t>(3,621)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3660" w:type="dxa"/>
            <w:vAlign w:val="bottom"/>
          </w:tcPr>
          <w:p>
            <w:pPr>
              <w:ind w:left="120"/>
              <w:spacing w:after="0"/>
              <w:rPr>
                <w:sz w:val="20"/>
                <w:szCs w:val="20"/>
                <w:color w:val="auto"/>
              </w:rPr>
            </w:pPr>
            <w:r>
              <w:rPr>
                <w:rFonts w:ascii="Arial" w:cs="Arial" w:eastAsia="Arial" w:hAnsi="Arial"/>
                <w:sz w:val="18"/>
                <w:szCs w:val="18"/>
                <w:color w:val="auto"/>
              </w:rPr>
              <w:t>Net income</w:t>
            </w:r>
          </w:p>
        </w:tc>
      </w:tr>
      <w:tr>
        <w:trPr>
          <w:trHeight w:val="20"/>
        </w:trPr>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440" w:hanging="434"/>
        <w:spacing w:after="0"/>
        <w:tabs>
          <w:tab w:leader="none" w:pos="4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 on a Recurring Basis</w:t>
      </w:r>
    </w:p>
    <w:p>
      <w:pPr>
        <w:spacing w:after="0" w:line="11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Our financial instruments include cash and cash equivalents, accounts receivable, restricted investment securities held in trust on deposit with various banks as collateral for our obligations relative to our landfill final capping, closure and post-closure costs, interest rate derivatives, contingent consideration related to acquisitions, trade payables and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interest rate derivatives included in the Level 2 tier below is calculated using discounted cash flow valuation methodologies based upon the one month LIBOR yield curves that are observable at commonly quoted intervals for the full term of the swaps. The fair value of contingent consideration - acquisition included in the Level 3 tier is calculated using a discounted cash flow valuation methodology based upon a probability-weighted analysis of success payments related to permit expansion. We recognize all derivatives accounted for on the balance sheet at fair value. See Note 12, </w:t>
      </w:r>
      <w:r>
        <w:rPr>
          <w:rFonts w:ascii="Arial" w:cs="Arial" w:eastAsia="Arial" w:hAnsi="Arial"/>
          <w:sz w:val="16"/>
          <w:szCs w:val="16"/>
          <w:i w:val="1"/>
          <w:iCs w:val="1"/>
          <w:color w:val="auto"/>
        </w:rPr>
        <w:t>Debt</w:t>
      </w:r>
      <w:r>
        <w:rPr>
          <w:rFonts w:ascii="Arial" w:cs="Arial" w:eastAsia="Arial" w:hAnsi="Arial"/>
          <w:sz w:val="16"/>
          <w:szCs w:val="16"/>
          <w:color w:val="auto"/>
        </w:rPr>
        <w:t xml:space="preserve"> for disclosure about the fair value of debt.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40" w:type="dxa"/>
            <w:vAlign w:val="bottom"/>
            <w:gridSpan w:val="11"/>
          </w:tcPr>
          <w:p>
            <w:pPr>
              <w:jc w:val="center"/>
              <w:ind w:right="178"/>
              <w:spacing w:after="0"/>
              <w:rPr>
                <w:sz w:val="20"/>
                <w:szCs w:val="20"/>
                <w:color w:val="auto"/>
              </w:rPr>
            </w:pPr>
            <w:r>
              <w:rPr>
                <w:rFonts w:ascii="Arial" w:cs="Arial" w:eastAsia="Arial" w:hAnsi="Arial"/>
                <w:sz w:val="14"/>
                <w:szCs w:val="14"/>
                <w:b w:val="1"/>
                <w:bCs w:val="1"/>
                <w:color w:val="auto"/>
                <w:w w:val="91"/>
              </w:rPr>
              <w:t>Fair Value Measurement at December 31, 2022 Using: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80"/>
              <w:spacing w:after="0" w:line="131" w:lineRule="exact"/>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 Other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vMerge w:val="restart"/>
          </w:tcPr>
          <w:p>
            <w:pPr>
              <w:jc w:val="right"/>
              <w:ind w:right="578"/>
              <w:spacing w:after="0"/>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3"/>
          </w:tcPr>
          <w:p>
            <w:pPr>
              <w:jc w:val="center"/>
              <w:ind w:right="380"/>
              <w:spacing w:after="0" w:line="143" w:lineRule="exact"/>
              <w:rPr>
                <w:sz w:val="20"/>
                <w:szCs w:val="20"/>
                <w:color w:val="auto"/>
              </w:rPr>
            </w:pPr>
            <w:r>
              <w:rPr>
                <w:rFonts w:ascii="Arial" w:cs="Arial" w:eastAsia="Arial" w:hAnsi="Arial"/>
                <w:sz w:val="14"/>
                <w:szCs w:val="14"/>
                <w:b w:val="1"/>
                <w:bCs w:val="1"/>
                <w:color w:val="auto"/>
                <w:w w:val="93"/>
              </w:rPr>
              <w:t>Active Markets for</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3"/>
          </w:tcPr>
          <w:p>
            <w:pPr>
              <w:jc w:val="center"/>
              <w:ind w:right="380"/>
              <w:spacing w:after="0" w:line="147" w:lineRule="exact"/>
              <w:rPr>
                <w:sz w:val="20"/>
                <w:szCs w:val="20"/>
                <w:color w:val="auto"/>
              </w:rPr>
            </w:pPr>
            <w:r>
              <w:rPr>
                <w:rFonts w:ascii="Arial" w:cs="Arial" w:eastAsia="Arial" w:hAnsi="Arial"/>
                <w:sz w:val="14"/>
                <w:szCs w:val="14"/>
                <w:b w:val="1"/>
                <w:bCs w:val="1"/>
                <w:color w:val="auto"/>
                <w:w w:val="88"/>
              </w:rPr>
              <w:t>Identical Assets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w w:val="91"/>
              </w:rPr>
              <w:t>Observable Inputs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right="178"/>
              <w:spacing w:after="0" w:line="147" w:lineRule="exact"/>
              <w:rPr>
                <w:sz w:val="20"/>
                <w:szCs w:val="20"/>
                <w:color w:val="auto"/>
              </w:rPr>
            </w:pPr>
            <w:r>
              <w:rPr>
                <w:rFonts w:ascii="Arial" w:cs="Arial" w:eastAsia="Arial" w:hAnsi="Arial"/>
                <w:sz w:val="14"/>
                <w:szCs w:val="14"/>
                <w:b w:val="1"/>
                <w:bCs w:val="1"/>
                <w:color w:val="auto"/>
                <w:w w:val="90"/>
              </w:rPr>
              <w:t>Unobservable 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(Level 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Interest rate swaps</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11,806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Restricted investment securities - landfill closure</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40" w:type="dxa"/>
            <w:vAlign w:val="bottom"/>
          </w:tcPr>
          <w:p>
            <w:pPr>
              <w:ind w:left="300"/>
              <w:spacing w:after="0" w:line="205" w:lineRule="exact"/>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8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8"/>
                <w:szCs w:val="18"/>
                <w:color w:val="auto"/>
              </w:rPr>
              <w:t>Liabilities:</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Contingent consideration - acquisition</w:t>
            </w: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8"/>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40" w:type="dxa"/>
            <w:vAlign w:val="bottom"/>
            <w:gridSpan w:val="11"/>
          </w:tcPr>
          <w:p>
            <w:pPr>
              <w:jc w:val="center"/>
              <w:ind w:right="138"/>
              <w:spacing w:after="0"/>
              <w:rPr>
                <w:sz w:val="20"/>
                <w:szCs w:val="20"/>
                <w:color w:val="auto"/>
              </w:rPr>
            </w:pPr>
            <w:r>
              <w:rPr>
                <w:rFonts w:ascii="Arial" w:cs="Arial" w:eastAsia="Arial" w:hAnsi="Arial"/>
                <w:sz w:val="14"/>
                <w:szCs w:val="14"/>
                <w:b w:val="1"/>
                <w:bCs w:val="1"/>
                <w:color w:val="auto"/>
                <w:w w:val="91"/>
              </w:rPr>
              <w:t>Fair Value Measurement at December 31, 2021 Using: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0" w:type="dxa"/>
            <w:vAlign w:val="bottom"/>
            <w:gridSpan w:val="3"/>
          </w:tcPr>
          <w:p>
            <w:pPr>
              <w:jc w:val="center"/>
              <w:ind w:right="340"/>
              <w:spacing w:after="0" w:line="127" w:lineRule="exact"/>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 Other</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89"/>
              </w:rPr>
              <w:t>Significant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3"/>
          </w:tcPr>
          <w:p>
            <w:pPr>
              <w:jc w:val="center"/>
              <w:ind w:right="340"/>
              <w:spacing w:after="0" w:line="147" w:lineRule="exact"/>
              <w:rPr>
                <w:sz w:val="20"/>
                <w:szCs w:val="20"/>
                <w:color w:val="auto"/>
              </w:rPr>
            </w:pPr>
            <w:r>
              <w:rPr>
                <w:rFonts w:ascii="Arial" w:cs="Arial" w:eastAsia="Arial" w:hAnsi="Arial"/>
                <w:sz w:val="14"/>
                <w:szCs w:val="14"/>
                <w:b w:val="1"/>
                <w:bCs w:val="1"/>
                <w:color w:val="auto"/>
                <w:w w:val="93"/>
              </w:rPr>
              <w:t>Active Markets for</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40"/>
              <w:spacing w:after="0" w:line="137" w:lineRule="exact"/>
              <w:rPr>
                <w:sz w:val="20"/>
                <w:szCs w:val="20"/>
                <w:color w:val="auto"/>
              </w:rPr>
            </w:pPr>
            <w:r>
              <w:rPr>
                <w:rFonts w:ascii="Arial" w:cs="Arial" w:eastAsia="Arial" w:hAnsi="Arial"/>
                <w:sz w:val="14"/>
                <w:szCs w:val="14"/>
                <w:b w:val="1"/>
                <w:bCs w:val="1"/>
                <w:color w:val="auto"/>
                <w:w w:val="88"/>
              </w:rPr>
              <w:t>Identical Assets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3"/>
          </w:tcPr>
          <w:p>
            <w:pPr>
              <w:jc w:val="center"/>
              <w:ind w:right="360"/>
              <w:spacing w:after="0" w:line="137" w:lineRule="exact"/>
              <w:rPr>
                <w:sz w:val="20"/>
                <w:szCs w:val="20"/>
                <w:color w:val="auto"/>
              </w:rPr>
            </w:pPr>
            <w:r>
              <w:rPr>
                <w:rFonts w:ascii="Arial" w:cs="Arial" w:eastAsia="Arial" w:hAnsi="Arial"/>
                <w:sz w:val="14"/>
                <w:szCs w:val="14"/>
                <w:b w:val="1"/>
                <w:bCs w:val="1"/>
                <w:color w:val="auto"/>
                <w:w w:val="91"/>
              </w:rPr>
              <w:t>Observable Inputs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tcPr>
          <w:p>
            <w:pPr>
              <w:jc w:val="center"/>
              <w:ind w:right="138"/>
              <w:spacing w:after="0" w:line="137" w:lineRule="exact"/>
              <w:rPr>
                <w:sz w:val="20"/>
                <w:szCs w:val="20"/>
                <w:color w:val="auto"/>
              </w:rPr>
            </w:pPr>
            <w:r>
              <w:rPr>
                <w:rFonts w:ascii="Arial" w:cs="Arial" w:eastAsia="Arial" w:hAnsi="Arial"/>
                <w:sz w:val="14"/>
                <w:szCs w:val="14"/>
                <w:b w:val="1"/>
                <w:bCs w:val="1"/>
                <w:color w:val="auto"/>
                <w:w w:val="90"/>
              </w:rPr>
              <w:t>Unobservable Inputs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ind w:left="46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(Level 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Assets:</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Interest rate swaps</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 investment securities - landfill closure</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2,122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504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Liabilities:</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Interest rate swaps</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5,176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Contingent consideration - acquisition</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5,176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1,919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40" w:hanging="434"/>
        <w:spacing w:after="0"/>
        <w:tabs>
          <w:tab w:leader="none" w:pos="4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offer our eligible employees the opportunity to contribute to a 401(k) plan (“401(k) Plan”). Under the provisions of the 401(k) Plan participants may direct us to defer a portion of their compensation to the 401(k) Plan, subject to Internal Revenue Code limitations. In fiscal year 2022, we provided an employer matching contribution for hourly employees equal to 100% of every dollar an employee invests up to 1% of annual income and 50% of additional employee contributions up to a maximum contribution into the 401(k) Plan of 3% of annual income. In fiscal year 2022, we provided an employer matching contribution for salaried employees equal to 50% of every dollar an employee invests in the 401(k) Plan up to a maximum contribution of one thousand five hundred dollars or up to 2% of annual income, whichever is greater, per employee per calendar year. Participants vest in employer contributions ratable over a two-year period. Employer contributions for fiscal years 2022, 2021 and 2020 amounted to $3,558, $2,811 and $2,357, respectively.</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1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offer our eligible employees the opportunity to participate in an employee stock purchase plan. Under this plan, qualified employees may purchase shares of Class A common stock by payroll deduction at a 15% discount from the market price. Class A common stock issued under this plan during fiscal years 2022, 2021 and 2020 amounted to 22, 20 and 20 shares, respectively. As of December 31, 2022, 32 shares of Class A common stock were available for distribution under this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11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contribute to a multiemployer defined benefit pension plan. The Pension Plan, under the terms of a collective bargaining agreement covers certain of our union represented employees. In fiscal year 2019, we reached an agreement to withdraw from the Pension Plan by entering into Withdrawal and Re-entry Agreements with the Pension Plan. The withdrawal generated a fixed yearly contingent liability for us for a period of approximately seventeen (17) years, that capped our gross payments at $4,224, significantly reducing our cash exposure from the potential $18,511 withdrawal liability as determined based on a complete withdrawal prior to withdrawing from the Pension Plan. As of December 31, 2022, we had a remaining obligation of $1,586 in aggregate principal amount associated with our withdrawal. Upon re-entry as a new employer in the Pension Plan, our contributions are projected to fully fund the defined benefits accrued by our employees in the Pension Plan, thereby eliminating future accruals of withdrawal liability. As of December 31, 2022, our employees were fully funded, subject to the terms of the Withdrawal and Re-entry Agreements. Subsequent withdrawal from the Pension Plan, under certain circumstances, may result in a change in the payment schedule required to settle the remaining obligation associated with our withdrawal. During fiscal years 2022, 2021 and 2020, we made contributions to the Pension Plan of $442, $398 and $390, respectively.</w:t>
      </w:r>
    </w:p>
    <w:p>
      <w:pPr>
        <w:spacing w:after="0" w:line="165" w:lineRule="exact"/>
        <w:rPr>
          <w:sz w:val="20"/>
          <w:szCs w:val="20"/>
          <w:color w:val="auto"/>
        </w:rPr>
      </w:pPr>
    </w:p>
    <w:p>
      <w:pPr>
        <w:ind w:left="440" w:hanging="434"/>
        <w:spacing w:after="0"/>
        <w:tabs>
          <w:tab w:leader="none" w:pos="4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provision (benefit) for income taxes is as follows:</w:t>
      </w:r>
    </w:p>
    <w:p>
      <w:pPr>
        <w:spacing w:after="0" w:line="35"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Fiscal Year Ended</w:t>
      </w:r>
    </w:p>
    <w:p>
      <w:pPr>
        <w:spacing w:after="0" w:line="1"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1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5"/>
        </w:trPr>
        <w:tc>
          <w:tcPr>
            <w:tcW w:w="7040" w:type="dxa"/>
            <w:vAlign w:val="bottom"/>
          </w:tcPr>
          <w:p>
            <w:pPr>
              <w:ind w:left="340"/>
              <w:spacing w:after="0"/>
              <w:rPr>
                <w:sz w:val="20"/>
                <w:szCs w:val="20"/>
                <w:color w:val="auto"/>
              </w:rPr>
            </w:pPr>
            <w:r>
              <w:rPr>
                <w:rFonts w:ascii="Arial" w:cs="Arial" w:eastAsia="Arial" w:hAnsi="Arial"/>
                <w:sz w:val="18"/>
                <w:szCs w:val="18"/>
                <w:color w:val="auto"/>
              </w:rPr>
              <w:t>Current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(951)</w:t>
            </w:r>
          </w:p>
        </w:tc>
      </w:tr>
      <w:tr>
        <w:trPr>
          <w:trHeight w:val="226"/>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(35,177)</w:t>
            </w:r>
          </w:p>
        </w:tc>
      </w:tr>
      <w:tr>
        <w:trPr>
          <w:trHeight w:val="219"/>
        </w:trPr>
        <w:tc>
          <w:tcPr>
            <w:tcW w:w="70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(36,128)</w:t>
            </w:r>
          </w:p>
        </w:tc>
      </w:tr>
      <w:tr>
        <w:trPr>
          <w:trHeight w:val="207"/>
        </w:trPr>
        <w:tc>
          <w:tcPr>
            <w:tcW w:w="7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5"/>
        </w:trPr>
        <w:tc>
          <w:tcPr>
            <w:tcW w:w="7040" w:type="dxa"/>
            <w:vAlign w:val="bottom"/>
          </w:tcPr>
          <w:p>
            <w:pPr>
              <w:ind w:left="340"/>
              <w:spacing w:after="0"/>
              <w:rPr>
                <w:sz w:val="20"/>
                <w:szCs w:val="20"/>
                <w:color w:val="auto"/>
              </w:rPr>
            </w:pPr>
            <w:r>
              <w:rPr>
                <w:rFonts w:ascii="Arial" w:cs="Arial" w:eastAsia="Arial" w:hAnsi="Arial"/>
                <w:sz w:val="18"/>
                <w:szCs w:val="18"/>
                <w:color w:val="auto"/>
              </w:rPr>
              <w:t>Current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26"/>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(17,111)</w:t>
            </w:r>
          </w:p>
        </w:tc>
      </w:tr>
      <w:tr>
        <w:trPr>
          <w:trHeight w:val="219"/>
        </w:trPr>
        <w:tc>
          <w:tcPr>
            <w:tcW w:w="70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(16,676)</w:t>
            </w:r>
          </w:p>
        </w:tc>
      </w:tr>
      <w:tr>
        <w:trPr>
          <w:trHeight w:val="244"/>
        </w:trPr>
        <w:tc>
          <w:tcPr>
            <w:tcW w:w="704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On a periodic basis, we reassess the valuation allowance on our deferred income tax assets, weighing positive and negative evidence to assess the recoverability of the deferred tax assets. In the fourth quarter of fiscal year 2020, we assessed the valuation allowance and considered positive evidence, including significant cumulative consolidated income over the three years ended December 31, 2020, revenue growth and expectations of future profitability, and negative evidence, including the impact of a negative change in the economic climate, significant risks and uncertainties in the business and restrictions on tax loss utilization in certain state jurisdictions. After assessing both the positive evidence and the negative evidence, we determined it was more likely than not that the majority of our deferred tax assets would be realized in the future and released the valuation allowance on the majority of our net operating loss carryforwards and other deferred tax assets as of December 31, 2020, resulting in a benefit from income taxes of $61,317. Following reassessment in fiscal year 2021 and fiscal year 2022, our judgement with regard to the realizability of our deferred tax assets remains consistent. As of December 31, 2022, we maintained a valuation allowance of $4,668 primarily related to deferred tax assets that would generate capital losses when realized and deferred tax assets related to certain state jurisdictions.</w:t>
      </w:r>
    </w:p>
    <w:p>
      <w:pPr>
        <w:spacing w:after="0" w:line="75"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In assessing the realizability of carryforwards and other deferred tax assets, management considers whether it is more likely than not that some portion or all of the deferred tax assets will not be realized. We adjust the valuation allowance in the period management determines it is more likely than not that deferred tax assets will or will not be realized. The change in the valuation allowance was a decrease of $1,814 for fiscal year 2022 primarily due to changes in state laws related to the utilization of net operating losses. In determining the need for a valuation allowance, we have assessed the available means of recovering deferred tax assets, including the ability to carryback net operating losses, the existence of reversing temporary differences, and available sources of future taxable income. We have also considered the ability to implement certain strategies,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such as a potential sale of assets that would, if necessary, be implemented to accelerate taxable income and use expiring deferred tax assets.</w:t>
      </w:r>
    </w:p>
    <w:p>
      <w:pPr>
        <w:spacing w:after="0" w:line="12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differences in the provision (benefit) for income taxes and the amounts determined by applying the Federal statutory rate to income before income taxes are as follows:</w:t>
      </w:r>
    </w:p>
    <w:p>
      <w:pPr>
        <w:spacing w:after="0" w:line="1"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Fiscal Year Ended</w:t>
      </w:r>
    </w:p>
    <w:p>
      <w:pPr>
        <w:spacing w:after="0" w:line="1"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5"/>
        </w:trPr>
        <w:tc>
          <w:tcPr>
            <w:tcW w:w="6820" w:type="dxa"/>
            <w:vAlign w:val="bottom"/>
          </w:tcPr>
          <w:p>
            <w:pPr>
              <w:ind w:left="20"/>
              <w:spacing w:after="0"/>
              <w:rPr>
                <w:sz w:val="20"/>
                <w:szCs w:val="20"/>
                <w:color w:val="auto"/>
              </w:rPr>
            </w:pPr>
            <w:r>
              <w:rPr>
                <w:rFonts w:ascii="Arial" w:cs="Arial" w:eastAsia="Arial" w:hAnsi="Arial"/>
                <w:sz w:val="18"/>
                <w:szCs w:val="18"/>
                <w:color w:val="auto"/>
              </w:rPr>
              <w:t>Tax at statutory rate</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15,743</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12,190</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8,043</w:t>
            </w: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6,087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1,615</w:t>
            </w:r>
          </w:p>
        </w:tc>
      </w:tr>
      <w:tr>
        <w:trPr>
          <w:trHeight w:val="225"/>
        </w:trPr>
        <w:tc>
          <w:tcPr>
            <w:tcW w:w="68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4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(61,317)</w:t>
            </w: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effect of change in state valuation allowance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3,803</w:t>
            </w:r>
          </w:p>
        </w:tc>
      </w:tr>
      <w:tr>
        <w:trPr>
          <w:trHeight w:val="225"/>
        </w:trPr>
        <w:tc>
          <w:tcPr>
            <w:tcW w:w="6820" w:type="dxa"/>
            <w:vAlign w:val="bottom"/>
          </w:tcPr>
          <w:p>
            <w:pPr>
              <w:ind w:left="20"/>
              <w:spacing w:after="0"/>
              <w:rPr>
                <w:sz w:val="20"/>
                <w:szCs w:val="20"/>
                <w:color w:val="auto"/>
              </w:rPr>
            </w:pPr>
            <w:r>
              <w:rPr>
                <w:rFonts w:ascii="Arial" w:cs="Arial" w:eastAsia="Arial" w:hAnsi="Arial"/>
                <w:sz w:val="18"/>
                <w:szCs w:val="18"/>
                <w:color w:val="auto"/>
              </w:rPr>
              <w:t>Non-deductible officer compensation</w:t>
            </w:r>
          </w:p>
        </w:tc>
        <w:tc>
          <w:tcPr>
            <w:tcW w:w="34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487</w:t>
            </w: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656</w:t>
            </w:r>
          </w:p>
        </w:tc>
      </w:tr>
      <w:tr>
        <w:trPr>
          <w:trHeight w:val="225"/>
        </w:trPr>
        <w:tc>
          <w:tcPr>
            <w:tcW w:w="6820" w:type="dxa"/>
            <w:vAlign w:val="bottom"/>
          </w:tcPr>
          <w:p>
            <w:pPr>
              <w:ind w:left="20"/>
              <w:spacing w:after="0"/>
              <w:rPr>
                <w:sz w:val="20"/>
                <w:szCs w:val="20"/>
                <w:color w:val="auto"/>
              </w:rPr>
            </w:pPr>
            <w:r>
              <w:rPr>
                <w:rFonts w:ascii="Arial" w:cs="Arial" w:eastAsia="Arial" w:hAnsi="Arial"/>
                <w:sz w:val="18"/>
                <w:szCs w:val="18"/>
                <w:color w:val="auto"/>
              </w:rPr>
              <w:t>Deductible stock awards</w:t>
            </w:r>
          </w:p>
        </w:tc>
        <w:tc>
          <w:tcPr>
            <w:tcW w:w="34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(3,790)</w:t>
            </w: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(130)</w:t>
            </w:r>
          </w:p>
        </w:tc>
      </w:tr>
      <w:tr>
        <w:trPr>
          <w:trHeight w:val="225"/>
        </w:trPr>
        <w:tc>
          <w:tcPr>
            <w:tcW w:w="6820" w:type="dxa"/>
            <w:vAlign w:val="bottom"/>
          </w:tcPr>
          <w:p>
            <w:pPr>
              <w:ind w:left="20"/>
              <w:spacing w:after="0"/>
              <w:rPr>
                <w:sz w:val="20"/>
                <w:szCs w:val="20"/>
                <w:color w:val="auto"/>
              </w:rPr>
            </w:pPr>
            <w:r>
              <w:rPr>
                <w:rFonts w:ascii="Arial" w:cs="Arial" w:eastAsia="Arial" w:hAnsi="Arial"/>
                <w:sz w:val="18"/>
                <w:szCs w:val="18"/>
                <w:color w:val="auto"/>
              </w:rPr>
              <w:t>Deferred tax adjustments</w:t>
            </w:r>
          </w:p>
        </w:tc>
        <w:tc>
          <w:tcPr>
            <w:tcW w:w="3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(2,047)</w:t>
            </w: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(124)</w:t>
            </w:r>
          </w:p>
        </w:tc>
      </w:tr>
      <w:tr>
        <w:trPr>
          <w:trHeight w:val="219"/>
        </w:trPr>
        <w:tc>
          <w:tcPr>
            <w:tcW w:w="6820" w:type="dxa"/>
            <w:vAlign w:val="bottom"/>
          </w:tcPr>
          <w:p>
            <w:pPr>
              <w:ind w:left="20"/>
              <w:spacing w:after="0" w:line="205" w:lineRule="exact"/>
              <w:rPr>
                <w:sz w:val="20"/>
                <w:szCs w:val="20"/>
                <w:color w:val="auto"/>
              </w:rPr>
            </w:pPr>
            <w:r>
              <w:rPr>
                <w:rFonts w:ascii="Arial" w:cs="Arial" w:eastAsia="Arial" w:hAnsi="Arial"/>
                <w:sz w:val="18"/>
                <w:szCs w:val="18"/>
                <w:color w:val="auto"/>
              </w:rPr>
              <w:t>Provision (benefit) for income taxes</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21,887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16,946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(52,804)</w:t>
            </w:r>
          </w:p>
        </w:tc>
      </w:tr>
      <w:tr>
        <w:trPr>
          <w:trHeight w:val="20"/>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Deferred income taxes reflect the impact of temporary differences between the amounts of assets and liabilities recognized for financial reporting purposes and such amounts recognized for income tax purposes. A summary of deferred tax assets and liabilities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8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80" w:type="dxa"/>
            <w:vAlign w:val="bottom"/>
          </w:tcPr>
          <w:p>
            <w:pPr>
              <w:ind w:left="340"/>
              <w:spacing w:after="0"/>
              <w:rPr>
                <w:sz w:val="20"/>
                <w:szCs w:val="20"/>
                <w:color w:val="auto"/>
              </w:rPr>
            </w:pPr>
            <w:r>
              <w:rPr>
                <w:rFonts w:ascii="Arial" w:cs="Arial" w:eastAsia="Arial" w:hAnsi="Arial"/>
                <w:sz w:val="18"/>
                <w:szCs w:val="18"/>
                <w:color w:val="auto"/>
              </w:rPr>
              <w:t>Accrued expenses and reserves</w:t>
            </w:r>
          </w:p>
        </w:tc>
        <w:tc>
          <w:tcPr>
            <w:tcW w:w="3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43,437</w:t>
            </w:r>
          </w:p>
        </w:tc>
        <w:tc>
          <w:tcPr>
            <w:tcW w:w="1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41,723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w:t>
            </w:r>
          </w:p>
        </w:tc>
        <w:tc>
          <w:tcPr>
            <w:tcW w:w="3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80" w:type="dxa"/>
            <w:vAlign w:val="bottom"/>
          </w:tcPr>
          <w:p>
            <w:pPr>
              <w:ind w:left="340"/>
              <w:spacing w:after="0"/>
              <w:rPr>
                <w:sz w:val="20"/>
                <w:szCs w:val="20"/>
                <w:color w:val="auto"/>
              </w:rPr>
            </w:pPr>
            <w:r>
              <w:rPr>
                <w:rFonts w:ascii="Arial" w:cs="Arial" w:eastAsia="Arial" w:hAnsi="Arial"/>
                <w:sz w:val="18"/>
                <w:szCs w:val="18"/>
                <w:color w:val="auto"/>
              </w:rPr>
              <w:t>General business and state tax credit carryforwards</w:t>
            </w:r>
          </w:p>
        </w:tc>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awards</w:t>
            </w:r>
          </w:p>
        </w:tc>
        <w:tc>
          <w:tcPr>
            <w:tcW w:w="3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80" w:type="dxa"/>
            <w:vAlign w:val="bottom"/>
          </w:tcPr>
          <w:p>
            <w:pPr>
              <w:ind w:left="340"/>
              <w:spacing w:after="0"/>
              <w:rPr>
                <w:sz w:val="20"/>
                <w:szCs w:val="20"/>
                <w:color w:val="auto"/>
              </w:rPr>
            </w:pPr>
            <w:r>
              <w:rPr>
                <w:rFonts w:ascii="Arial" w:cs="Arial" w:eastAsia="Arial" w:hAnsi="Arial"/>
                <w:sz w:val="18"/>
                <w:szCs w:val="18"/>
                <w:color w:val="auto"/>
              </w:rPr>
              <w:t>Unrealized loss on swaps</w:t>
            </w:r>
          </w:p>
        </w:tc>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3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80" w:type="dxa"/>
            <w:vAlign w:val="bottom"/>
          </w:tcPr>
          <w:p>
            <w:pPr>
              <w:ind w:left="660"/>
              <w:spacing w:after="0" w:line="205" w:lineRule="exact"/>
              <w:rPr>
                <w:sz w:val="20"/>
                <w:szCs w:val="20"/>
                <w:color w:val="auto"/>
              </w:rPr>
            </w:pPr>
            <w:r>
              <w:rPr>
                <w:rFonts w:ascii="Arial" w:cs="Arial" w:eastAsia="Arial" w:hAnsi="Arial"/>
                <w:sz w:val="18"/>
                <w:szCs w:val="18"/>
                <w:color w:val="auto"/>
              </w:rPr>
              <w:t>Total deferred tax assets</w:t>
            </w:r>
          </w:p>
        </w:tc>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68,969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80,678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Less: valuation allowance</w:t>
            </w:r>
          </w:p>
        </w:tc>
        <w:tc>
          <w:tcPr>
            <w:tcW w:w="33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80" w:type="dxa"/>
            <w:vAlign w:val="bottom"/>
            <w:tcBorders>
              <w:bottom w:val="single" w:sz="8" w:color="CCEEFF"/>
            </w:tcBorders>
          </w:tcPr>
          <w:p>
            <w:pPr>
              <w:ind w:left="660"/>
              <w:spacing w:after="0" w:line="205" w:lineRule="exact"/>
              <w:rPr>
                <w:sz w:val="20"/>
                <w:szCs w:val="20"/>
                <w:color w:val="auto"/>
              </w:rPr>
            </w:pPr>
            <w:r>
              <w:rPr>
                <w:rFonts w:ascii="Arial" w:cs="Arial" w:eastAsia="Arial" w:hAnsi="Arial"/>
                <w:sz w:val="18"/>
                <w:szCs w:val="18"/>
                <w:color w:val="auto"/>
              </w:rPr>
              <w:t>Total deferred tax assets after valuation allowance</w:t>
            </w:r>
          </w:p>
        </w:tc>
        <w:tc>
          <w:tcPr>
            <w:tcW w:w="3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Deferred tax liabilities:</w:t>
            </w:r>
          </w:p>
        </w:tc>
        <w:tc>
          <w:tcPr>
            <w:tcW w:w="3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80" w:type="dxa"/>
            <w:vAlign w:val="bottom"/>
          </w:tcPr>
          <w:p>
            <w:pPr>
              <w:ind w:left="340"/>
              <w:spacing w:after="0"/>
              <w:rPr>
                <w:sz w:val="20"/>
                <w:szCs w:val="20"/>
                <w:color w:val="auto"/>
              </w:rPr>
            </w:pPr>
            <w:r>
              <w:rPr>
                <w:rFonts w:ascii="Arial" w:cs="Arial" w:eastAsia="Arial" w:hAnsi="Arial"/>
                <w:sz w:val="18"/>
                <w:szCs w:val="18"/>
                <w:color w:val="auto"/>
              </w:rPr>
              <w:t>Amortization of intangibles</w:t>
            </w:r>
          </w:p>
        </w:tc>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swaps</w:t>
            </w:r>
          </w:p>
        </w:tc>
        <w:tc>
          <w:tcPr>
            <w:tcW w:w="3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80" w:type="dxa"/>
            <w:vAlign w:val="bottom"/>
          </w:tcPr>
          <w:p>
            <w:pPr>
              <w:ind w:left="340"/>
              <w:spacing w:after="0"/>
              <w:rPr>
                <w:sz w:val="20"/>
                <w:szCs w:val="20"/>
                <w:color w:val="auto"/>
              </w:rPr>
            </w:pPr>
            <w:r>
              <w:rPr>
                <w:rFonts w:ascii="Arial" w:cs="Arial" w:eastAsia="Arial" w:hAnsi="Arial"/>
                <w:sz w:val="18"/>
                <w:szCs w:val="18"/>
                <w:color w:val="auto"/>
              </w:rPr>
              <w:t>Tax over book depreciation of property and equipment</w:t>
            </w:r>
          </w:p>
        </w:tc>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80" w:type="dxa"/>
            <w:vAlign w:val="bottom"/>
            <w:tcBorders>
              <w:bottom w:val="single" w:sz="8" w:color="CCEEFF"/>
            </w:tcBorders>
          </w:tcPr>
          <w:p>
            <w:pPr>
              <w:ind w:left="660"/>
              <w:spacing w:after="0" w:line="205" w:lineRule="exact"/>
              <w:rPr>
                <w:sz w:val="20"/>
                <w:szCs w:val="20"/>
                <w:color w:val="auto"/>
              </w:rPr>
            </w:pPr>
            <w:r>
              <w:rPr>
                <w:rFonts w:ascii="Arial" w:cs="Arial" w:eastAsia="Arial" w:hAnsi="Arial"/>
                <w:sz w:val="18"/>
                <w:szCs w:val="18"/>
                <w:color w:val="auto"/>
              </w:rPr>
              <w:t>Total deferred tax liabilities</w:t>
            </w:r>
          </w:p>
        </w:tc>
        <w:tc>
          <w:tcPr>
            <w:tcW w:w="33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(41,835)</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80" w:type="dxa"/>
            <w:vAlign w:val="bottom"/>
            <w:shd w:val="clear" w:color="auto" w:fill="CCEEFF"/>
          </w:tcPr>
          <w:p>
            <w:pPr>
              <w:ind w:left="660"/>
              <w:spacing w:after="0" w:line="206" w:lineRule="exact"/>
              <w:rPr>
                <w:sz w:val="20"/>
                <w:szCs w:val="20"/>
                <w:color w:val="auto"/>
              </w:rPr>
            </w:pPr>
            <w:r>
              <w:rPr>
                <w:rFonts w:ascii="Arial" w:cs="Arial" w:eastAsia="Arial" w:hAnsi="Arial"/>
                <w:sz w:val="18"/>
                <w:szCs w:val="18"/>
                <w:color w:val="auto"/>
              </w:rPr>
              <w:t>Net deferred tax asset</w:t>
            </w:r>
          </w:p>
        </w:tc>
        <w:tc>
          <w:tcPr>
            <w:tcW w:w="3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2371"/>
              <w:spacing w:after="0"/>
              <w:rPr>
                <w:sz w:val="20"/>
                <w:szCs w:val="20"/>
                <w:color w:val="auto"/>
              </w:rPr>
            </w:pPr>
            <w:r>
              <w:rPr>
                <w:rFonts w:ascii="Arial" w:cs="Arial" w:eastAsia="Arial" w:hAnsi="Arial"/>
                <w:sz w:val="18"/>
                <w:szCs w:val="18"/>
                <w:color w:val="auto"/>
              </w:rPr>
              <w:t>97</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488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88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The net deferred tax asset at December 31, 2022 is reflected on the consolidated balance sheet as a long-term deferred federal and state tax asset of $22,903 and a long-term deferred state tax liability of $(437).</w:t>
      </w:r>
    </w:p>
    <w:p>
      <w:pPr>
        <w:spacing w:after="0" w:line="87"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As of December 31, 2022, we have, for federal income tax purposes, net operating loss carryforwards of approximately $5,864 that expire in the fiscal years ending December 31, 2032 through 2037 and $46,453, which do not expire. We have state net operating loss carryforwards of approximately $29,306 that expire in the fiscal years ending December 31, 2023 through 2041 or that do not expire in certain jurisdictions. In addition, we have $6,663 general business credit carryforwards which expire in the fiscal years ending December 31, 2023 through 2041 and $411 state credit carryforwards which expire in fiscal years ending December 31, 2038 through 2039. Sections 382 and 383 of the Internal Revenue Code can limit the amount of net operating loss and credit carryforwards which may be used in a tax year in the event of certain stock ownership changes. With the exception of $1,756 federal net operating losses we acquired through acquisitions, we are not currently subject to these limitations but could become subject to them if there were significant changes in the ownership of our stock.</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provisions of FASB ASC 740-10-25-5 prescribe the minimum recognition threshold that a tax position is required to meet before being recognized in the financial statements. Additionally, FASB ASC 740-10-25-5 provides guidance on derecognition, measurement, classification, interest and penalties, accounting in interim periods, disclosure and transition. Under FASB ASC 740-10-25-5, an entity may only recognize or continue to recognize tax positions that meet a “more likely than not” threshold. To the extent interest and penalties are not assessed with respect to uncertain tax positions, amounts accrued are reflected as a reduction of the overall income tax provision. As of December 31, 2022 and 2021, we did not have any uncertain tax positions.</w:t>
      </w:r>
    </w:p>
    <w:p>
      <w:pPr>
        <w:spacing w:after="0" w:line="58"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We are subject to U.S. federal income tax, as well as the income tax of multiple state jurisdictions. For federal tax purposes, income tax returns from years ending 2019 through 2022 are open for assessment. Tax years 1998 through 2018 are open for examination to the extent of any NOLs or credits that have been carried forward from those years.</w:t>
      </w:r>
    </w:p>
    <w:p>
      <w:pPr>
        <w:spacing w:after="0" w:line="342" w:lineRule="exact"/>
        <w:rPr>
          <w:sz w:val="20"/>
          <w:szCs w:val="20"/>
          <w:color w:val="auto"/>
        </w:rPr>
      </w:pPr>
    </w:p>
    <w:p>
      <w:pPr>
        <w:ind w:left="440" w:hanging="434"/>
        <w:spacing w:after="0"/>
        <w:tabs>
          <w:tab w:leader="none" w:pos="4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OTHER ITEMS AND CHARGES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Southbridge Landfill Closure Charge, Net</w:t>
      </w:r>
    </w:p>
    <w:p>
      <w:pPr>
        <w:spacing w:after="0" w:line="11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the fiscal year ended December 31, 2017, we initiated a plan to cease operations of the Town of Southbridge, Massachusetts landfill (“Southbridge Landfill”) and later closed it in November 2018 when Southbridge Landfill reached its final capacity</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in fiscal years 2022, 2021 and 2020, we recorded charges associated with the closure of the Southbridge Landfill as follows:</w:t>
      </w:r>
    </w:p>
    <w:p>
      <w:pPr>
        <w:spacing w:after="0" w:line="5"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Fiscal Year Ended</w:t>
      </w:r>
    </w:p>
    <w:p>
      <w:pPr>
        <w:spacing w:after="0" w:line="1"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Legal and transaction costs </w:t>
            </w:r>
            <w:r>
              <w:rPr>
                <w:rFonts w:ascii="Arial" w:cs="Arial" w:eastAsia="Arial" w:hAnsi="Arial"/>
                <w:sz w:val="14"/>
                <w:szCs w:val="14"/>
                <w:color w:val="auto"/>
              </w:rPr>
              <w:t>(1)</w:t>
            </w: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r>
      <w:tr>
        <w:trPr>
          <w:trHeight w:val="239"/>
        </w:trPr>
        <w:tc>
          <w:tcPr>
            <w:tcW w:w="6640" w:type="dxa"/>
            <w:vAlign w:val="bottom"/>
          </w:tcPr>
          <w:p>
            <w:pPr>
              <w:ind w:left="20"/>
              <w:spacing w:after="0"/>
              <w:rPr>
                <w:sz w:val="20"/>
                <w:szCs w:val="20"/>
                <w:color w:val="auto"/>
              </w:rPr>
            </w:pPr>
            <w:r>
              <w:rPr>
                <w:rFonts w:ascii="Arial" w:cs="Arial" w:eastAsia="Arial" w:hAnsi="Arial"/>
                <w:sz w:val="18"/>
                <w:szCs w:val="18"/>
                <w:color w:val="auto"/>
              </w:rPr>
              <w:t xml:space="preserve">Contract settlement charge </w:t>
            </w:r>
            <w:r>
              <w:rPr>
                <w:rFonts w:ascii="Arial" w:cs="Arial" w:eastAsia="Arial" w:hAnsi="Arial"/>
                <w:sz w:val="14"/>
                <w:szCs w:val="14"/>
                <w:color w:val="auto"/>
              </w:rPr>
              <w:t>(2)</w:t>
            </w:r>
          </w:p>
        </w:tc>
        <w:tc>
          <w:tcPr>
            <w:tcW w:w="94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Landfill closure project charge (credit) </w:t>
            </w:r>
            <w:r>
              <w:rPr>
                <w:rFonts w:ascii="Arial" w:cs="Arial" w:eastAsia="Arial" w:hAnsi="Arial"/>
                <w:sz w:val="14"/>
                <w:szCs w:val="14"/>
                <w:color w:val="auto"/>
              </w:rPr>
              <w:t>(3)</w:t>
            </w:r>
          </w:p>
        </w:tc>
        <w:tc>
          <w:tcPr>
            <w:tcW w:w="9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39"/>
        </w:trPr>
        <w:tc>
          <w:tcPr>
            <w:tcW w:w="6640" w:type="dxa"/>
            <w:vAlign w:val="bottom"/>
          </w:tcPr>
          <w:p>
            <w:pPr>
              <w:ind w:left="20"/>
              <w:spacing w:after="0"/>
              <w:rPr>
                <w:sz w:val="20"/>
                <w:szCs w:val="20"/>
                <w:color w:val="auto"/>
              </w:rPr>
            </w:pPr>
            <w:r>
              <w:rPr>
                <w:rFonts w:ascii="Arial" w:cs="Arial" w:eastAsia="Arial" w:hAnsi="Arial"/>
                <w:sz w:val="18"/>
                <w:szCs w:val="18"/>
                <w:color w:val="auto"/>
              </w:rPr>
              <w:t xml:space="preserve">Legal settlement charge </w:t>
            </w:r>
            <w:r>
              <w:rPr>
                <w:rFonts w:ascii="Arial" w:cs="Arial" w:eastAsia="Arial" w:hAnsi="Arial"/>
                <w:sz w:val="14"/>
                <w:szCs w:val="14"/>
                <w:color w:val="auto"/>
              </w:rPr>
              <w:t>(4)</w:t>
            </w:r>
          </w:p>
        </w:tc>
        <w:tc>
          <w:tcPr>
            <w:tcW w:w="94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4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Environmental remediation charge </w:t>
            </w:r>
            <w:r>
              <w:rPr>
                <w:rFonts w:ascii="Arial" w:cs="Arial" w:eastAsia="Arial" w:hAnsi="Arial"/>
                <w:sz w:val="14"/>
                <w:szCs w:val="14"/>
                <w:color w:val="auto"/>
              </w:rPr>
              <w:t>(5)</w:t>
            </w:r>
          </w:p>
        </w:tc>
        <w:tc>
          <w:tcPr>
            <w:tcW w:w="9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19"/>
        </w:trPr>
        <w:tc>
          <w:tcPr>
            <w:tcW w:w="6640" w:type="dxa"/>
            <w:vAlign w:val="bottom"/>
          </w:tcPr>
          <w:p>
            <w:pPr>
              <w:ind w:left="20"/>
              <w:spacing w:after="0" w:line="205" w:lineRule="exact"/>
              <w:rPr>
                <w:sz w:val="20"/>
                <w:szCs w:val="20"/>
                <w:color w:val="auto"/>
              </w:rPr>
            </w:pPr>
            <w:r>
              <w:rPr>
                <w:rFonts w:ascii="Arial" w:cs="Arial" w:eastAsia="Arial" w:hAnsi="Arial"/>
                <w:sz w:val="18"/>
                <w:szCs w:val="18"/>
                <w:color w:val="auto"/>
              </w:rPr>
              <w:t>Southbridge Landfill closure charge, net</w:t>
            </w:r>
          </w:p>
        </w:tc>
        <w:tc>
          <w:tcPr>
            <w:tcW w:w="94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1,436</w:t>
            </w: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4,587</w:t>
            </w:r>
          </w:p>
        </w:tc>
      </w:tr>
      <w:tr>
        <w:trPr>
          <w:trHeight w:val="20"/>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80" w:hanging="314"/>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incurred legal costs as well as other transaction costs associated with various matters as part of the Southbridge Landfill closure.</w:t>
      </w:r>
    </w:p>
    <w:p>
      <w:pPr>
        <w:spacing w:after="0" w:line="58" w:lineRule="exact"/>
        <w:rPr>
          <w:rFonts w:ascii="Arial" w:cs="Arial" w:eastAsia="Arial" w:hAnsi="Arial"/>
          <w:sz w:val="18"/>
          <w:szCs w:val="18"/>
          <w:color w:val="auto"/>
        </w:rPr>
      </w:pPr>
    </w:p>
    <w:p>
      <w:pPr>
        <w:ind w:left="480" w:right="200" w:hanging="314"/>
        <w:spacing w:after="0" w:line="293" w:lineRule="auto"/>
        <w:tabs>
          <w:tab w:leader="none" w:pos="474"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updated the cost estimates associated with a contract settlement charge associated with the Southbridge Landfill closure and the remaining future obligations due to the Town of Southbridge under the landfill operating agreement with the Town of Southbridge.</w:t>
      </w:r>
    </w:p>
    <w:p>
      <w:pPr>
        <w:spacing w:after="0" w:line="1" w:lineRule="exact"/>
        <w:rPr>
          <w:rFonts w:ascii="Arial" w:cs="Arial" w:eastAsia="Arial" w:hAnsi="Arial"/>
          <w:sz w:val="17"/>
          <w:szCs w:val="17"/>
          <w:color w:val="auto"/>
        </w:rPr>
      </w:pPr>
    </w:p>
    <w:p>
      <w:pPr>
        <w:ind w:left="480" w:hanging="314"/>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recorded a landfill closure project (credit) charge associated with revised costs under the closure plan at Southbridge Landfill.</w:t>
      </w:r>
    </w:p>
    <w:p>
      <w:pPr>
        <w:spacing w:after="0" w:line="58" w:lineRule="exact"/>
        <w:rPr>
          <w:rFonts w:ascii="Arial" w:cs="Arial" w:eastAsia="Arial" w:hAnsi="Arial"/>
          <w:sz w:val="18"/>
          <w:szCs w:val="18"/>
          <w:color w:val="auto"/>
        </w:rPr>
      </w:pPr>
    </w:p>
    <w:p>
      <w:pPr>
        <w:ind w:left="480" w:right="200" w:hanging="314"/>
        <w:spacing w:after="0" w:line="256" w:lineRule="auto"/>
        <w:tabs>
          <w:tab w:leader="none" w:pos="474"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We established reserves and made payments associated with legal settlements associated with claims against us as part of the Southbridge Landfill closure. See Note 10, </w:t>
      </w:r>
      <w:r>
        <w:rPr>
          <w:rFonts w:ascii="Arial" w:cs="Arial" w:eastAsia="Arial" w:hAnsi="Arial"/>
          <w:sz w:val="18"/>
          <w:szCs w:val="18"/>
          <w:i w:val="1"/>
          <w:iCs w:val="1"/>
          <w:color w:val="auto"/>
        </w:rPr>
        <w:t>Final Capping, Closure and Post-Closure Costs</w:t>
      </w:r>
      <w:r>
        <w:rPr>
          <w:rFonts w:ascii="Arial" w:cs="Arial" w:eastAsia="Arial" w:hAnsi="Arial"/>
          <w:sz w:val="18"/>
          <w:szCs w:val="18"/>
          <w:color w:val="auto"/>
        </w:rPr>
        <w:t xml:space="preserve"> for further discussion over our asset retirement obligations associated with our active and closed landfills.</w:t>
      </w:r>
    </w:p>
    <w:p>
      <w:pPr>
        <w:spacing w:after="0" w:line="29" w:lineRule="exact"/>
        <w:rPr>
          <w:rFonts w:ascii="Arial" w:cs="Arial" w:eastAsia="Arial" w:hAnsi="Arial"/>
          <w:sz w:val="18"/>
          <w:szCs w:val="18"/>
          <w:color w:val="auto"/>
        </w:rPr>
      </w:pPr>
    </w:p>
    <w:p>
      <w:pPr>
        <w:ind w:left="480" w:hanging="314"/>
        <w:spacing w:after="0"/>
        <w:tabs>
          <w:tab w:leader="none" w:pos="4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recorded an environmental remediation reversal associated with the completion of environmental remediation at the Southbridge Landfill.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from Acquisition Activities</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In the fiscal years 2022, 2021 and 2020, we recorded charges of $4,613, $5,304 and $1,862, respectively, comprised primarily of legal, consulting and other similar costs associated with the acquisition and integration of acquired businesses or select development projects. See Note 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for disclosure regarding acquisition activity.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Charge</w:t>
      </w:r>
    </w:p>
    <w:p>
      <w:pPr>
        <w:spacing w:after="0" w:line="118"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color w:val="auto"/>
        </w:rPr>
        <w:t xml:space="preserve">In fiscal year 2022, we recorded a charge of $759 associated with the investigation of potential remediation at an inactive waste disposal site that adjoins one of the landfills we operate. In fiscal year 2021, we recorded a charge of $924 associated with a settlement agreement to conduct restoration of a stream bed on lands adjoining one of our landfills. See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disclosure regarding environmental remediation liabilities.</w:t>
      </w:r>
    </w:p>
    <w:p>
      <w:pPr>
        <w:spacing w:after="0" w:line="148" w:lineRule="exact"/>
        <w:rPr>
          <w:sz w:val="20"/>
          <w:szCs w:val="20"/>
          <w:color w:val="auto"/>
        </w:rPr>
      </w:pPr>
    </w:p>
    <w:p>
      <w:pPr>
        <w:ind w:left="440" w:hanging="434"/>
        <w:spacing w:after="0"/>
        <w:tabs>
          <w:tab w:leader="none" w:pos="4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is as follows:</w:t>
      </w:r>
    </w:p>
    <w:p>
      <w:pPr>
        <w:spacing w:after="0" w:line="35"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Fiscal Year Ended</w:t>
      </w:r>
    </w:p>
    <w:p>
      <w:pPr>
        <w:spacing w:after="0" w:line="1"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91,106</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4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04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50,101</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5"/>
        </w:trPr>
        <w:tc>
          <w:tcPr>
            <w:tcW w:w="7040" w:type="dxa"/>
            <w:vAlign w:val="bottom"/>
          </w:tcPr>
          <w:p>
            <w:pPr>
              <w:ind w:left="20"/>
              <w:spacing w:after="0"/>
              <w:rPr>
                <w:sz w:val="20"/>
                <w:szCs w:val="20"/>
                <w:color w:val="auto"/>
              </w:rPr>
            </w:pPr>
            <w:r>
              <w:rPr>
                <w:rFonts w:ascii="Arial" w:cs="Arial" w:eastAsia="Arial" w:hAnsi="Arial"/>
                <w:sz w:val="18"/>
                <w:szCs w:val="18"/>
                <w:color w:val="auto"/>
              </w:rPr>
              <w:t>Unvested restricted stock</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weighted average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19"/>
        </w:trPr>
        <w:tc>
          <w:tcPr>
            <w:tcW w:w="7040" w:type="dxa"/>
            <w:vAlign w:val="bottom"/>
          </w:tcPr>
          <w:p>
            <w:pPr>
              <w:ind w:left="20"/>
              <w:spacing w:after="0" w:line="205" w:lineRule="exact"/>
              <w:rPr>
                <w:sz w:val="20"/>
                <w:szCs w:val="20"/>
                <w:color w:val="auto"/>
              </w:rPr>
            </w:pPr>
            <w:r>
              <w:rPr>
                <w:rFonts w:ascii="Arial" w:cs="Arial" w:eastAsia="Arial" w:hAnsi="Arial"/>
                <w:sz w:val="18"/>
                <w:szCs w:val="18"/>
                <w:color w:val="auto"/>
              </w:rPr>
              <w:t>Basic weighted average common shares outstanding</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48,793</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4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Impact of potentially dilutive securities: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Dilutive effect of stock options and stock awards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Diluted weighted average common shares outstanding</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49,045</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Antidilutive potentially issuable shares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04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111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20.</w:t>
        <w:tab/>
        <w:t>RELATED PARTY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11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fiscal years 2022, 2021 and 2020, we retained the services of Casella Construction, Inc. ("CCI"), a company substantially owned by sons of John Casella, our Chairman and Chief Executive Officer, and Douglas Casella, a member of our Board of Directors, as a contractor in developing or closing certain landfills owned by us as well as providing transportation and construction services. Total purchased services charged to operations or capitalized to landfills for fiscal years 2022, 2021 and 2020 were $12,297, $15,206 and $12,601, respectively, of which $1,891 and $1,325 were outstanding and included in either accounts payable or other current liabilities as of December 31, 2022 and December 31, 2021, respectively.</w:t>
      </w:r>
    </w:p>
    <w:p>
      <w:pPr>
        <w:spacing w:after="0" w:line="7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In addition to the total purchased services, we provided various waste collection and disposal services to CCI. Total revenues recorded for fiscal years 2022, 2021 and 2020 were $141, $430 and $288,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fiscal year ended April 30, 1994, we entered into two leases for operating facilities with a partnership of which John Casella, our Chairman and Chief Executive Officer, and Douglas Casella, a member of our Board of Directors, are the general partners. The leases have since been extended through August 2023. The terms of the lease agreements require monthly payments of approximately $29. Total expense charged to operations for fiscal years 2022, 2021 and 2020 under these agreements was $273, $297 and $319, respectively.</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Post-closure</w:t>
      </w:r>
    </w:p>
    <w:p>
      <w:pPr>
        <w:spacing w:after="0" w:line="11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have agreed to pay the cost of post-closure on a landfill owned by John Casella, our Chairman and Chief Executive Officer, and Douglas Casella, a member of our Board of Directors. We paid the cost of closing this landfill in 1992, and the post-closure maintenance obligations are expected to last until notified by the permitting authority. In fiscal years 2022, 2021 and 2020, we paid $10, $12 and $8, respectively, pursuant to this agreement. As of December 31, 2022 and December 31, 2021, we have accrued $17 and $14, respectively, for costs associated with its post-closure obligations.</w:t>
      </w:r>
    </w:p>
    <w:p>
      <w:pPr>
        <w:spacing w:after="0" w:line="156" w:lineRule="exact"/>
        <w:rPr>
          <w:sz w:val="20"/>
          <w:szCs w:val="20"/>
          <w:color w:val="auto"/>
        </w:rPr>
      </w:pPr>
    </w:p>
    <w:p>
      <w:pPr>
        <w:ind w:left="440" w:hanging="434"/>
        <w:spacing w:after="0"/>
        <w:tabs>
          <w:tab w:leader="none" w:pos="4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1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We report selected information about our reportable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services, including landfill, transfer station and transportation services, landfill gas-to-energy services, and processing services in the northeastern United States. Our Resource Solutions operating segment, which includes our larger-scale recycling and commodity brokerage operations along with our organics services and large scale commercial and industrial services,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derived from two lines-of-service: processing services and our Customer Solutions business. Revenues from processing services are derived from customers in the form of processing fees, tipping fees, commodity sales, and organic material sales. Revenues from our Customer Solutions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Corporate Entities results reflect those costs not allocated to our reportable operating segments.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Outside</w:t>
            </w:r>
          </w:p>
        </w:tc>
        <w:tc>
          <w:tcPr>
            <w:tcW w:w="20" w:type="dxa"/>
            <w:vAlign w:val="bottom"/>
          </w:tcPr>
          <w:p>
            <w:pPr>
              <w:spacing w:after="0"/>
              <w:rPr>
                <w:sz w:val="14"/>
                <w:szCs w:val="14"/>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Inter-company</w:t>
            </w:r>
          </w:p>
        </w:tc>
        <w:tc>
          <w:tcPr>
            <w:tcW w:w="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 and</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4"/>
                <w:szCs w:val="14"/>
                <w:color w:val="auto"/>
              </w:rPr>
            </w:pPr>
          </w:p>
        </w:tc>
        <w:tc>
          <w:tcPr>
            <w:tcW w:w="8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88"/>
              </w:rPr>
              <w:t>Total assets</w:t>
            </w:r>
          </w:p>
        </w:tc>
        <w:tc>
          <w:tcPr>
            <w:tcW w:w="0" w:type="dxa"/>
            <w:vAlign w:val="bottom"/>
          </w:tcPr>
          <w:p>
            <w:pPr>
              <w:spacing w:after="0"/>
              <w:rPr>
                <w:sz w:val="1"/>
                <w:szCs w:val="1"/>
                <w:color w:val="auto"/>
              </w:rPr>
            </w:pPr>
          </w:p>
        </w:tc>
      </w:tr>
      <w:tr>
        <w:trPr>
          <w:trHeight w:val="190"/>
        </w:trPr>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5"/>
              </w:rPr>
              <w:t>revenue</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4"/>
              </w:rPr>
              <w:t>expense, net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expenditures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340,058</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16,559</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372,895</w:t>
            </w:r>
          </w:p>
        </w:tc>
        <w:tc>
          <w:tcPr>
            <w:tcW w:w="0" w:type="dxa"/>
            <w:vAlign w:val="bottom"/>
          </w:tcPr>
          <w:p>
            <w:pPr>
              <w:spacing w:after="0"/>
              <w:rPr>
                <w:sz w:val="1"/>
                <w:szCs w:val="1"/>
                <w:color w:val="auto"/>
              </w:rPr>
            </w:pPr>
          </w:p>
        </w:tc>
      </w:tr>
      <w:tr>
        <w:trPr>
          <w:trHeight w:val="225"/>
        </w:trPr>
        <w:tc>
          <w:tcPr>
            <w:tcW w:w="1820" w:type="dxa"/>
            <w:vAlign w:val="bottom"/>
            <w:gridSpan w:val="3"/>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445,153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65,190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183,286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737,658</w:t>
            </w:r>
          </w:p>
        </w:tc>
        <w:tc>
          <w:tcPr>
            <w:tcW w:w="0" w:type="dxa"/>
            <w:vAlign w:val="bottom"/>
          </w:tcPr>
          <w:p>
            <w:pPr>
              <w:spacing w:after="0"/>
              <w:rPr>
                <w:sz w:val="1"/>
                <w:szCs w:val="1"/>
                <w:color w:val="auto"/>
              </w:rPr>
            </w:pPr>
          </w:p>
        </w:tc>
      </w:tr>
      <w:tr>
        <w:trPr>
          <w:trHeight w:val="227"/>
        </w:trPr>
        <w:tc>
          <w:tcPr>
            <w:tcW w:w="1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191,118</w:t>
            </w:r>
          </w:p>
        </w:tc>
        <w:tc>
          <w:tcPr>
            <w:tcW w:w="0" w:type="dxa"/>
            <w:vAlign w:val="bottom"/>
          </w:tcPr>
          <w:p>
            <w:pPr>
              <w:spacing w:after="0"/>
              <w:rPr>
                <w:sz w:val="1"/>
                <w:szCs w:val="1"/>
                <w:color w:val="auto"/>
              </w:rPr>
            </w:pPr>
          </w:p>
        </w:tc>
      </w:tr>
      <w:tr>
        <w:trPr>
          <w:trHeight w:val="225"/>
        </w:trPr>
        <w:tc>
          <w:tcPr>
            <w:tcW w:w="1820" w:type="dxa"/>
            <w:vAlign w:val="bottom"/>
            <w:gridSpan w:val="3"/>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147,544</w:t>
            </w:r>
          </w:p>
        </w:tc>
        <w:tc>
          <w:tcPr>
            <w:tcW w:w="0" w:type="dxa"/>
            <w:vAlign w:val="bottom"/>
          </w:tcPr>
          <w:p>
            <w:pPr>
              <w:spacing w:after="0"/>
              <w:rPr>
                <w:sz w:val="1"/>
                <w:szCs w:val="1"/>
                <w:color w:val="auto"/>
              </w:rPr>
            </w:pPr>
          </w:p>
        </w:tc>
      </w:tr>
      <w:tr>
        <w:trPr>
          <w:trHeight w:val="226"/>
        </w:trPr>
        <w:tc>
          <w:tcPr>
            <w:tcW w:w="1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1,085,089</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126,351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95,394</w:t>
            </w: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1,449,215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8"/>
        </w:trPr>
        <w:tc>
          <w:tcPr>
            <w:tcW w:w="3040" w:type="dxa"/>
            <w:vAlign w:val="bottom"/>
            <w:gridSpan w:val="7"/>
          </w:tcPr>
          <w:p>
            <w:pPr>
              <w:spacing w:after="0"/>
              <w:rPr>
                <w:sz w:val="20"/>
                <w:szCs w:val="20"/>
                <w:color w:val="auto"/>
              </w:rPr>
            </w:pPr>
            <w:r>
              <w:rPr>
                <w:rFonts w:ascii="Arial" w:cs="Arial" w:eastAsia="Arial" w:hAnsi="Arial"/>
                <w:sz w:val="18"/>
                <w:szCs w:val="18"/>
                <w:b w:val="1"/>
                <w:bCs w:val="1"/>
                <w:color w:val="auto"/>
                <w:w w:val="93"/>
              </w:rPr>
              <w:t>Fiscal Year Ended December 31, 2021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Outside</w:t>
            </w:r>
          </w:p>
        </w:tc>
        <w:tc>
          <w:tcPr>
            <w:tcW w:w="20" w:type="dxa"/>
            <w:vAlign w:val="bottom"/>
          </w:tcPr>
          <w:p>
            <w:pPr>
              <w:spacing w:after="0"/>
              <w:rPr>
                <w:sz w:val="13"/>
                <w:szCs w:val="13"/>
                <w:color w:val="auto"/>
              </w:rPr>
            </w:pPr>
          </w:p>
        </w:tc>
        <w:tc>
          <w:tcPr>
            <w:tcW w:w="11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Inter-company</w:t>
            </w:r>
          </w:p>
        </w:tc>
        <w:tc>
          <w:tcPr>
            <w:tcW w:w="2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 and</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3"/>
                <w:szCs w:val="13"/>
                <w:color w:val="auto"/>
              </w:rPr>
            </w:pPr>
          </w:p>
        </w:tc>
        <w:tc>
          <w:tcPr>
            <w:tcW w:w="8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88"/>
              </w:rPr>
              <w:t>Total assets</w:t>
            </w:r>
          </w:p>
        </w:tc>
        <w:tc>
          <w:tcPr>
            <w:tcW w:w="0" w:type="dxa"/>
            <w:vAlign w:val="bottom"/>
          </w:tcPr>
          <w:p>
            <w:pPr>
              <w:spacing w:after="0"/>
              <w:rPr>
                <w:sz w:val="1"/>
                <w:szCs w:val="1"/>
                <w:color w:val="auto"/>
              </w:rPr>
            </w:pPr>
          </w:p>
        </w:tc>
      </w:tr>
      <w:tr>
        <w:trPr>
          <w:trHeight w:val="193"/>
        </w:trPr>
        <w:tc>
          <w:tcPr>
            <w:tcW w:w="17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expense, net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expenditures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264,569</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12,937</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357,446</w:t>
            </w:r>
          </w:p>
        </w:tc>
        <w:tc>
          <w:tcPr>
            <w:tcW w:w="0" w:type="dxa"/>
            <w:vAlign w:val="bottom"/>
          </w:tcPr>
          <w:p>
            <w:pPr>
              <w:spacing w:after="0"/>
              <w:rPr>
                <w:sz w:val="1"/>
                <w:szCs w:val="1"/>
                <w:color w:val="auto"/>
              </w:rPr>
            </w:pPr>
          </w:p>
        </w:tc>
      </w:tr>
      <w:tr>
        <w:trPr>
          <w:trHeight w:val="225"/>
        </w:trPr>
        <w:tc>
          <w:tcPr>
            <w:tcW w:w="1820" w:type="dxa"/>
            <w:vAlign w:val="bottom"/>
            <w:gridSpan w:val="3"/>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389,520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132,914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72,892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163,728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688,826</w:t>
            </w:r>
          </w:p>
        </w:tc>
        <w:tc>
          <w:tcPr>
            <w:tcW w:w="0" w:type="dxa"/>
            <w:vAlign w:val="bottom"/>
          </w:tcPr>
          <w:p>
            <w:pPr>
              <w:spacing w:after="0"/>
              <w:rPr>
                <w:sz w:val="1"/>
                <w:szCs w:val="1"/>
                <w:color w:val="auto"/>
              </w:rPr>
            </w:pPr>
          </w:p>
        </w:tc>
      </w:tr>
      <w:tr>
        <w:trPr>
          <w:trHeight w:val="227"/>
        </w:trPr>
        <w:tc>
          <w:tcPr>
            <w:tcW w:w="1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127,304</w:t>
            </w:r>
          </w:p>
        </w:tc>
        <w:tc>
          <w:tcPr>
            <w:tcW w:w="0" w:type="dxa"/>
            <w:vAlign w:val="bottom"/>
          </w:tcPr>
          <w:p>
            <w:pPr>
              <w:spacing w:after="0"/>
              <w:rPr>
                <w:sz w:val="1"/>
                <w:szCs w:val="1"/>
                <w:color w:val="auto"/>
              </w:rPr>
            </w:pPr>
          </w:p>
        </w:tc>
      </w:tr>
      <w:tr>
        <w:trPr>
          <w:trHeight w:val="225"/>
        </w:trPr>
        <w:tc>
          <w:tcPr>
            <w:tcW w:w="1820" w:type="dxa"/>
            <w:vAlign w:val="bottom"/>
            <w:gridSpan w:val="3"/>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110,004</w:t>
            </w:r>
          </w:p>
        </w:tc>
        <w:tc>
          <w:tcPr>
            <w:tcW w:w="0" w:type="dxa"/>
            <w:vAlign w:val="bottom"/>
          </w:tcPr>
          <w:p>
            <w:pPr>
              <w:spacing w:after="0"/>
              <w:rPr>
                <w:sz w:val="1"/>
                <w:szCs w:val="1"/>
                <w:color w:val="auto"/>
              </w:rPr>
            </w:pPr>
          </w:p>
        </w:tc>
      </w:tr>
      <w:tr>
        <w:trPr>
          <w:trHeight w:val="226"/>
        </w:trPr>
        <w:tc>
          <w:tcPr>
            <w:tcW w:w="1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(202,298)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889,211</w:t>
            </w:r>
          </w:p>
        </w:tc>
        <w:tc>
          <w:tcPr>
            <w:tcW w:w="100" w:type="dxa"/>
            <w:vAlign w:val="bottom"/>
          </w:tcPr>
          <w:p>
            <w:pPr>
              <w:spacing w:after="0"/>
              <w:rPr>
                <w:sz w:val="19"/>
                <w:szCs w:val="19"/>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103,590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77,660</w:t>
            </w: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20,927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123,295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232,860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1,283,580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16"/>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Outside</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Inter-company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Depreciation and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ind w:left="100"/>
              <w:spacing w:after="0"/>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4"/>
                <w:szCs w:val="14"/>
                <w:color w:val="auto"/>
              </w:rPr>
            </w:pPr>
          </w:p>
        </w:tc>
        <w:tc>
          <w:tcPr>
            <w:tcW w:w="1060" w:type="dxa"/>
            <w:vAlign w:val="bottom"/>
            <w:gridSpan w:val="4"/>
          </w:tcPr>
          <w:p>
            <w:pPr>
              <w:ind w:left="20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90"/>
        </w:trPr>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7"/>
              </w:rPr>
              <w:t>revenues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4"/>
                <w:szCs w:val="14"/>
                <w:b w:val="1"/>
                <w:bCs w:val="1"/>
                <w:color w:val="auto"/>
                <w:w w:val="91"/>
              </w:rPr>
              <w:t>expense, net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9"/>
              </w:rPr>
              <w:t>expenditures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53,102</w:t>
            </w:r>
          </w:p>
        </w:tc>
        <w:tc>
          <w:tcPr>
            <w:tcW w:w="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30,873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Western</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357,989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116,658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56,457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42,688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71,989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149,984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642,003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7,357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14,044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Corporate Entities</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21,451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(180,435)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774,584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90,782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59,297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22,068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108,108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194,901</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1,193,898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8"/>
        </w:trPr>
        <w:tc>
          <w:tcPr>
            <w:tcW w:w="5520" w:type="dxa"/>
            <w:vAlign w:val="bottom"/>
            <w:gridSpan w:val="17"/>
          </w:tcPr>
          <w:p>
            <w:pPr>
              <w:spacing w:after="0"/>
              <w:rPr>
                <w:sz w:val="20"/>
                <w:szCs w:val="20"/>
                <w:color w:val="auto"/>
              </w:rPr>
            </w:pPr>
            <w:r>
              <w:rPr>
                <w:rFonts w:ascii="Arial" w:cs="Arial" w:eastAsia="Arial" w:hAnsi="Arial"/>
                <w:sz w:val="18"/>
                <w:szCs w:val="18"/>
                <w:color w:val="auto"/>
                <w:w w:val="91"/>
              </w:rPr>
              <w:t>Amount of our total revenue attributable to services provided are as follows: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5"/>
          </w:tcPr>
          <w:p>
            <w:pPr>
              <w:jc w:val="center"/>
              <w:ind w:left="38"/>
              <w:spacing w:after="0"/>
              <w:rPr>
                <w:sz w:val="20"/>
                <w:szCs w:val="20"/>
                <w:color w:val="auto"/>
              </w:rPr>
            </w:pPr>
            <w:r>
              <w:rPr>
                <w:rFonts w:ascii="Arial" w:cs="Arial" w:eastAsia="Arial" w:hAnsi="Arial"/>
                <w:sz w:val="14"/>
                <w:szCs w:val="14"/>
                <w:b w:val="1"/>
                <w:bCs w:val="1"/>
                <w:color w:val="auto"/>
                <w:w w:val="91"/>
              </w:rPr>
              <w:t>Fiscal Year Ended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center"/>
              <w:ind w:left="58"/>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539,587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49.7 %</w:t>
            </w:r>
          </w:p>
        </w:tc>
        <w:tc>
          <w:tcPr>
            <w:tcW w:w="46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442,685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391,438</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Disposal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227,971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6"/>
              </w:rPr>
              <w:t>196,985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175,546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Power generation</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Processing</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10,134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7,218</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40" w:type="dxa"/>
            <w:vAlign w:val="bottom"/>
            <w:gridSpan w:val="3"/>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Solid waste operations</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785,211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654,089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578,274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Processing</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119,045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93,323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62,539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Solutions</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180,833</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141,799</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133,771</w:t>
            </w:r>
          </w:p>
        </w:tc>
        <w:tc>
          <w:tcPr>
            <w:tcW w:w="12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60" w:type="dxa"/>
            <w:vAlign w:val="bottom"/>
            <w:tcBorders>
              <w:bottom w:val="single" w:sz="8" w:color="CCEEFF"/>
            </w:tcBorders>
            <w:gridSpan w:val="5"/>
          </w:tcPr>
          <w:p>
            <w:pPr>
              <w:ind w:left="340"/>
              <w:spacing w:after="0" w:line="205" w:lineRule="exact"/>
              <w:rPr>
                <w:sz w:val="20"/>
                <w:szCs w:val="20"/>
                <w:color w:val="auto"/>
              </w:rPr>
            </w:pPr>
            <w:r>
              <w:rPr>
                <w:rFonts w:ascii="Arial" w:cs="Arial" w:eastAsia="Arial" w:hAnsi="Arial"/>
                <w:sz w:val="18"/>
                <w:szCs w:val="18"/>
                <w:color w:val="auto"/>
              </w:rPr>
              <w:t>Resource Solutions operations</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299,878</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27.6 %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235,122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196,310</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8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1,085,089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c>
          <w:tcPr>
            <w:tcW w:w="46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889,211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774,584</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180"/>
        <w:spacing w:after="0" w:line="458"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2022. The term “disclosure controls and procedures,” as defined in Rules 13a-15(e) and 15d-15(e) under the Securities Exchange Act of 1934, as amended, means controls and other procedures of a company that are designed to ensure that information required to be disclosed by a company in the reports that it files or submits under the Securities Exchange Act of 1934, as amended,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Securities Exchange Act of 1934, as amended,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8"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as amended.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Our management assessed the effectiveness of our internal control over financial reporting as of December 31, 2022. In making this assessment, our management used the criteria set forth by the Committee of Sponsoring Organizations of the Treadway Commission in Internal Control-Integrated Framework in 2013. Based on its assessment, management concluded that, as of December 31, 2022, our internal control over financial reporting is effective based on those criteria. The effectiveness of our internal control over financial reporting as of December 31, 2022 has been audited by RSM US LLP, an independent registered public accounting firm. RSM US LLP has issued an attestation report on our internal control over financial reporting, which is included herein.</w:t>
      </w:r>
    </w:p>
    <w:p>
      <w:pPr>
        <w:spacing w:after="0" w:line="6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We completed the acquisitions of Dickson's Environmental Services, Inc. ("Dickson") on July 21, 2022; Northstar Pulp &amp; Paper, Co. Inc. and Northstar Disposal Corp. (collectively "Northstar") on March 1, 2022; and Shanks Enterprises, Inc. ("Shanks") on December 1, 2022. Since we have not yet fully incorporated the internal controls and procedures of Dickson, Northstar and Shanks into our internal control over financial reporting, management excluded Dickson, Northstar and Shanks from its assessment of the effectiveness of the Company’s internal control over financial reporting as of December 31, 2022. Collectively, Dickson, Northstar and Shanks constituted approximately 3% of our total assets as of December 31, 2022 and 3% of our total revenues for the year ended December 31,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auto"/>
        </w:rPr>
        <w:t>No change in our internal control over financial reporting occurred during the fiscal quarter ended December 31, 2022 that has materially affected, or is reasonably likely to materially affect, our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Pursuant to Item 5.03 of Form 8-K - Amendments to Articles of Incorporation or Bylaws; Change in Fiscal Year</w:t>
      </w:r>
    </w:p>
    <w:p>
      <w:pPr>
        <w:spacing w:after="0" w:line="112"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On February 15, 2023, our Board of Directors (the “Board”) approved an amendment and restatement of the Company’s Third Amended and Restated By-Laws, as amended (as so amended and restated, the “Fourth Amended and Restated By-Laws”). The Fourth Amended and Restated By-Laws, which were effective upon adoption by the Board, include the following amendments: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Article I (Stockholders) was amended to, among other things:</w:t>
      </w:r>
    </w:p>
    <w:p>
      <w:pPr>
        <w:spacing w:after="0" w:line="112" w:lineRule="exact"/>
        <w:rPr>
          <w:sz w:val="20"/>
          <w:szCs w:val="20"/>
          <w:color w:val="auto"/>
        </w:rPr>
      </w:pPr>
    </w:p>
    <w:p>
      <w:pPr>
        <w:ind w:left="640" w:hanging="315"/>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expressly permit the Company to hold stockholder meetings solely by means of remote communication;</w:t>
      </w:r>
    </w:p>
    <w:p>
      <w:pPr>
        <w:spacing w:after="0" w:line="112" w:lineRule="exact"/>
        <w:rPr>
          <w:rFonts w:ascii="Arial" w:cs="Arial" w:eastAsia="Arial" w:hAnsi="Arial"/>
          <w:sz w:val="18"/>
          <w:szCs w:val="18"/>
          <w:color w:val="auto"/>
        </w:rPr>
      </w:pPr>
    </w:p>
    <w:p>
      <w:pPr>
        <w:ind w:left="640" w:right="140" w:hanging="315"/>
        <w:spacing w:after="0" w:line="253" w:lineRule="auto"/>
        <w:tabs>
          <w:tab w:leader="none" w:pos="63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address the record date for stockholder meetings separately from the record date for purposes other than stockholder meetings and expressly permit the Board to separate the record date for determining stockholders entitled to vote at a stockholder meeting from the record date for determining stockholders entitled to notice of such meeting, or bifurcated record dates, consistent with Section 213 of the Delaware General Corporation Law (“DGCL”);</w:t>
      </w:r>
    </w:p>
    <w:p>
      <w:pPr>
        <w:spacing w:after="0" w:line="84" w:lineRule="exact"/>
        <w:rPr>
          <w:rFonts w:ascii="Arial" w:cs="Arial" w:eastAsia="Arial" w:hAnsi="Arial"/>
          <w:sz w:val="18"/>
          <w:szCs w:val="18"/>
          <w:color w:val="auto"/>
        </w:rPr>
      </w:pPr>
    </w:p>
    <w:p>
      <w:pPr>
        <w:ind w:left="640" w:right="740" w:hanging="315"/>
        <w:spacing w:after="0" w:line="266" w:lineRule="auto"/>
        <w:tabs>
          <w:tab w:leader="none" w:pos="634" w:val="left"/>
        </w:tabs>
        <w:numPr>
          <w:ilvl w:val="0"/>
          <w:numId w:val="57"/>
        </w:numPr>
        <w:rPr>
          <w:rFonts w:ascii="Arial" w:cs="Arial" w:eastAsia="Arial" w:hAnsi="Arial"/>
          <w:sz w:val="18"/>
          <w:szCs w:val="18"/>
          <w:color w:val="auto"/>
        </w:rPr>
      </w:pPr>
      <w:r>
        <w:rPr>
          <w:rFonts w:ascii="Arial" w:cs="Arial" w:eastAsia="Arial" w:hAnsi="Arial"/>
          <w:sz w:val="18"/>
          <w:szCs w:val="18"/>
          <w:color w:val="auto"/>
        </w:rPr>
        <w:t>clarify that notices of stockholder meetings (i) must include the information required by Section 222 of the DGCL and (ii) may be given to stockholders in accordance with Section 232 of the DGCL;</w:t>
      </w:r>
    </w:p>
    <w:p>
      <w:pPr>
        <w:spacing w:after="0" w:line="73" w:lineRule="exact"/>
        <w:rPr>
          <w:rFonts w:ascii="Arial" w:cs="Arial" w:eastAsia="Arial" w:hAnsi="Arial"/>
          <w:sz w:val="18"/>
          <w:szCs w:val="18"/>
          <w:color w:val="auto"/>
        </w:rPr>
      </w:pPr>
    </w:p>
    <w:p>
      <w:pPr>
        <w:ind w:left="640" w:right="500" w:hanging="315"/>
        <w:spacing w:after="0" w:line="266" w:lineRule="auto"/>
        <w:tabs>
          <w:tab w:leader="none" w:pos="634" w:val="left"/>
        </w:tabs>
        <w:numPr>
          <w:ilvl w:val="0"/>
          <w:numId w:val="57"/>
        </w:numPr>
        <w:rPr>
          <w:rFonts w:ascii="Arial" w:cs="Arial" w:eastAsia="Arial" w:hAnsi="Arial"/>
          <w:sz w:val="18"/>
          <w:szCs w:val="18"/>
          <w:color w:val="auto"/>
        </w:rPr>
      </w:pPr>
      <w:r>
        <w:rPr>
          <w:rFonts w:ascii="Arial" w:cs="Arial" w:eastAsia="Arial" w:hAnsi="Arial"/>
          <w:sz w:val="18"/>
          <w:szCs w:val="18"/>
          <w:color w:val="auto"/>
        </w:rPr>
        <w:t>eliminate the former requirement that the list of stockholders entitled to vote at a stockholder meeting also be made available during the actual meeting;</w:t>
      </w:r>
    </w:p>
    <w:p>
      <w:pPr>
        <w:spacing w:after="0" w:line="73" w:lineRule="exact"/>
        <w:rPr>
          <w:rFonts w:ascii="Arial" w:cs="Arial" w:eastAsia="Arial" w:hAnsi="Arial"/>
          <w:sz w:val="18"/>
          <w:szCs w:val="18"/>
          <w:color w:val="auto"/>
        </w:rPr>
      </w:pPr>
    </w:p>
    <w:p>
      <w:pPr>
        <w:ind w:left="640" w:hanging="315"/>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clarify that only the chairman of a meeting of stockholders may adjourn such meeting;</w:t>
      </w:r>
    </w:p>
    <w:p>
      <w:pPr>
        <w:spacing w:after="0" w:line="112" w:lineRule="exact"/>
        <w:rPr>
          <w:rFonts w:ascii="Arial" w:cs="Arial" w:eastAsia="Arial" w:hAnsi="Arial"/>
          <w:sz w:val="18"/>
          <w:szCs w:val="18"/>
          <w:color w:val="auto"/>
        </w:rPr>
      </w:pPr>
    </w:p>
    <w:p>
      <w:pPr>
        <w:ind w:left="640" w:right="240" w:hanging="315"/>
        <w:spacing w:after="0" w:line="266" w:lineRule="auto"/>
        <w:tabs>
          <w:tab w:leader="none" w:pos="63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address adjournment of stockholder meetings relying on remote communication due to a technical failure and the ability to have bifurcated record dates for adjourned meetings;</w:t>
      </w:r>
    </w:p>
    <w:p>
      <w:pPr>
        <w:spacing w:after="0" w:line="73" w:lineRule="exact"/>
        <w:rPr>
          <w:rFonts w:ascii="Arial" w:cs="Arial" w:eastAsia="Arial" w:hAnsi="Arial"/>
          <w:sz w:val="18"/>
          <w:szCs w:val="18"/>
          <w:color w:val="auto"/>
        </w:rPr>
      </w:pPr>
    </w:p>
    <w:p>
      <w:pPr>
        <w:ind w:left="640" w:right="20" w:hanging="315"/>
        <w:spacing w:after="0" w:line="329" w:lineRule="auto"/>
        <w:tabs>
          <w:tab w:leader="none" w:pos="634"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revise and enhance, in light of the universal proxy rules adopted by the Securities and Exchange Commission, procedural mechanics and disclosure requirements in connection with stockholder nominations of directors and submission of proposals regarding other business at stockholder meetings;</w:t>
      </w:r>
    </w:p>
    <w:p>
      <w:pPr>
        <w:spacing w:after="0" w:line="27" w:lineRule="exact"/>
        <w:rPr>
          <w:rFonts w:ascii="Arial" w:cs="Arial" w:eastAsia="Arial" w:hAnsi="Arial"/>
          <w:sz w:val="16"/>
          <w:szCs w:val="16"/>
          <w:color w:val="auto"/>
        </w:rPr>
      </w:pPr>
    </w:p>
    <w:p>
      <w:pPr>
        <w:ind w:left="640" w:hanging="315"/>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require that any person directly or indirectly soliciting proxies from the Company’s stockholders use a proxy card color other than white; and</w:t>
      </w:r>
    </w:p>
    <w:p>
      <w:pPr>
        <w:spacing w:after="0" w:line="123" w:lineRule="exact"/>
        <w:rPr>
          <w:rFonts w:ascii="Arial" w:cs="Arial" w:eastAsia="Arial" w:hAnsi="Arial"/>
          <w:sz w:val="17"/>
          <w:szCs w:val="17"/>
          <w:color w:val="auto"/>
        </w:rPr>
      </w:pPr>
    </w:p>
    <w:p>
      <w:pPr>
        <w:ind w:left="640" w:hanging="315"/>
        <w:spacing w:after="0" w:line="266" w:lineRule="auto"/>
        <w:tabs>
          <w:tab w:leader="none" w:pos="634"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that stockholders’ notices to the Company of nominations or other business must be in writing exclusively and must be delivered exclusively by hand or by certified or registered mail, return receipt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Article II (Directors) was amended to, among other things:</w:t>
      </w:r>
    </w:p>
    <w:p>
      <w:pPr>
        <w:spacing w:after="0" w:line="112" w:lineRule="exact"/>
        <w:rPr>
          <w:sz w:val="20"/>
          <w:szCs w:val="20"/>
          <w:color w:val="auto"/>
        </w:rPr>
      </w:pPr>
    </w:p>
    <w:p>
      <w:pPr>
        <w:ind w:left="640" w:hanging="315"/>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for electronic transmission of notices and consents; and</w:t>
      </w:r>
    </w:p>
    <w:p>
      <w:pPr>
        <w:spacing w:after="0" w:line="112" w:lineRule="exact"/>
        <w:rPr>
          <w:rFonts w:ascii="Arial" w:cs="Arial" w:eastAsia="Arial" w:hAnsi="Arial"/>
          <w:sz w:val="18"/>
          <w:szCs w:val="18"/>
          <w:color w:val="auto"/>
        </w:rPr>
      </w:pPr>
    </w:p>
    <w:p>
      <w:pPr>
        <w:ind w:left="640" w:right="40" w:hanging="315"/>
        <w:spacing w:after="0" w:line="266" w:lineRule="auto"/>
        <w:tabs>
          <w:tab w:leader="none" w:pos="63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 provisions for special notice and quorum requirements for Board meetings during an emergency situation of the type described in Section 110(a) of the DGCL and limit the liability of directors acting pursuant to such provisions to willful misconduct.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Article IV (Capital Stock) was amended to, among other things:</w:t>
      </w:r>
    </w:p>
    <w:p>
      <w:pPr>
        <w:spacing w:after="0" w:line="112" w:lineRule="exact"/>
        <w:rPr>
          <w:sz w:val="20"/>
          <w:szCs w:val="20"/>
          <w:color w:val="auto"/>
        </w:rPr>
      </w:pPr>
    </w:p>
    <w:p>
      <w:pPr>
        <w:ind w:left="640" w:hanging="315"/>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that shares can be uncertificated to the extent determined by the Board; and</w:t>
      </w:r>
    </w:p>
    <w:p>
      <w:pPr>
        <w:spacing w:after="0" w:line="112" w:lineRule="exact"/>
        <w:rPr>
          <w:rFonts w:ascii="Arial" w:cs="Arial" w:eastAsia="Arial" w:hAnsi="Arial"/>
          <w:sz w:val="18"/>
          <w:szCs w:val="18"/>
          <w:color w:val="auto"/>
        </w:rPr>
      </w:pPr>
    </w:p>
    <w:p>
      <w:pPr>
        <w:ind w:left="640" w:hanging="315"/>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address the record date for purposes other than stockholder meetings separately from the record date for stockholder meetings.</w:t>
      </w:r>
    </w:p>
    <w:p>
      <w:pPr>
        <w:spacing w:after="0" w:line="11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Article V (General Provisions) was amended to, among other things, provide for electronic transmission of any waiver of notice that is required to be given by law, the Company’s certificate of incorporation or the Company’s by-laws.</w:t>
      </w:r>
    </w:p>
    <w:p>
      <w:pPr>
        <w:spacing w:after="0" w:line="73"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The Fourth Amended and Restated By-Laws also include certain technical, conforming and clarifying changes. The foregoing description of the Fourth Amended and Restated By-Laws is qualified in its entirety by reference to the full text of the Fourth Amended and Restated By-Laws, which is attached to this Annual Report on Form 10-K as Exhibit 3.2 and incorporated in this Item 9B. “Other Information” by reference.</w:t>
      </w:r>
    </w:p>
    <w:p>
      <w:pPr>
        <w:spacing w:after="0" w:line="166" w:lineRule="exact"/>
        <w:rPr>
          <w:sz w:val="20"/>
          <w:szCs w:val="20"/>
          <w:color w:val="auto"/>
        </w:rPr>
      </w:pPr>
    </w:p>
    <w:p>
      <w:pPr>
        <w:ind w:right="3140"/>
        <w:spacing w:after="0" w:line="396"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None.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information required by this Item (except for information required with respect to our executive officers which is set forth under “</w:t>
      </w:r>
      <w:r>
        <w:rPr>
          <w:rFonts w:ascii="Arial" w:cs="Arial" w:eastAsia="Arial" w:hAnsi="Arial"/>
          <w:sz w:val="18"/>
          <w:szCs w:val="18"/>
          <w:i w:val="1"/>
          <w:iCs w:val="1"/>
          <w:color w:val="auto"/>
        </w:rPr>
        <w:t>Information about our</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w:t>
      </w:r>
      <w:r>
        <w:rPr>
          <w:rFonts w:ascii="Arial" w:cs="Arial" w:eastAsia="Arial" w:hAnsi="Arial"/>
          <w:sz w:val="18"/>
          <w:szCs w:val="18"/>
          <w:color w:val="auto"/>
        </w:rPr>
        <w:t>” in Item 1 of Part I of this Annual Report on Form 10-K) has been omitted from this Annual Report on Form 10-K, and is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by reference from our definitive proxy statement for the 2023 Annual Meeting of Stockholders that we intend to file with the Securities and Exchange Commission within 120 days after the end of fiscal year ended December 31, 2022 (the "Proxy Statement"), under the sections captioned "Board of Directors", "Corporate Governance" and "Ownership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8" w:lineRule="exact"/>
        <w:rPr>
          <w:sz w:val="20"/>
          <w:szCs w:val="20"/>
          <w:color w:val="auto"/>
        </w:rPr>
      </w:pPr>
    </w:p>
    <w:p>
      <w:pPr>
        <w:jc w:val="both"/>
        <w:ind w:right="260"/>
        <w:spacing w:after="0" w:line="329" w:lineRule="auto"/>
        <w:rPr>
          <w:sz w:val="20"/>
          <w:szCs w:val="20"/>
          <w:color w:val="auto"/>
        </w:rPr>
      </w:pPr>
      <w:r>
        <w:rPr>
          <w:rFonts w:ascii="Arial" w:cs="Arial" w:eastAsia="Arial" w:hAnsi="Arial"/>
          <w:sz w:val="16"/>
          <w:szCs w:val="16"/>
          <w:color w:val="auto"/>
        </w:rPr>
        <w:t>The information required by this Item (other than the information required by Item 402(v) of Regulation S-K) is incorporated herein by reference from the Proxy Statement under the sections captioned "Executive and Director Compensation and Related Matters" and "Corporate Governance".</w:t>
      </w:r>
    </w:p>
    <w:p>
      <w:pPr>
        <w:spacing w:after="0" w:line="128" w:lineRule="exact"/>
        <w:rPr>
          <w:sz w:val="20"/>
          <w:szCs w:val="20"/>
          <w:color w:val="auto"/>
        </w:rPr>
      </w:pPr>
    </w:p>
    <w:p>
      <w:pPr>
        <w:ind w:right="700"/>
        <w:spacing w:after="0" w:line="273"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6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The information required by this Item (except for the information required with respect to equity compensation plan information, which is set forth under “Equity Compensation Plan Information” below) is incorporated herein by reference from the Proxy Statement under the section captioned “Ownership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information about the securities authorized for issuance under our equity compensation plans as of December 31,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
        </w:trPr>
        <w:tc>
          <w:tcPr>
            <w:tcW w:w="54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37"/>
        </w:trPr>
        <w:tc>
          <w:tcPr>
            <w:tcW w:w="540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2"/>
              </w:rPr>
              <w:t>available for future</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8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securities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Weighted-average</w:t>
            </w:r>
          </w:p>
        </w:tc>
        <w:tc>
          <w:tcPr>
            <w:tcW w:w="18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3"/>
              </w:rPr>
              <w:t>issuance</w:t>
            </w: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1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6"/>
              </w:rPr>
              <w:t>to be issued upon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under equity</w:t>
            </w: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1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exercise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8"/>
              </w:rPr>
              <w:t>exercise price of</w:t>
            </w:r>
          </w:p>
        </w:tc>
        <w:tc>
          <w:tcPr>
            <w:tcW w:w="1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7"/>
              </w:rPr>
              <w:t>outstanding</w:t>
            </w: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6"/>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options, warrants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0"/>
              </w:rPr>
              <w:t>options, warrants</w:t>
            </w:r>
          </w:p>
        </w:tc>
        <w:tc>
          <w:tcPr>
            <w:tcW w:w="1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securities reflected</w:t>
            </w:r>
          </w:p>
        </w:tc>
        <w:tc>
          <w:tcPr>
            <w:tcW w:w="0" w:type="dxa"/>
            <w:vAlign w:val="bottom"/>
          </w:tcPr>
          <w:p>
            <w:pPr>
              <w:spacing w:after="0"/>
              <w:rPr>
                <w:sz w:val="1"/>
                <w:szCs w:val="1"/>
                <w:color w:val="auto"/>
              </w:rPr>
            </w:pPr>
          </w:p>
        </w:tc>
      </w:tr>
      <w:tr>
        <w:trPr>
          <w:trHeight w:val="194"/>
        </w:trPr>
        <w:tc>
          <w:tcPr>
            <w:tcW w:w="5400" w:type="dxa"/>
            <w:vAlign w:val="bottom"/>
            <w:tcBorders>
              <w:bottom w:val="single" w:sz="8" w:color="CCEEFF"/>
            </w:tcBorders>
            <w:vMerge w:val="continue"/>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and rights (1)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2"/>
              </w:rPr>
              <w:t>and rights (2)</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column (a) (3))</w:t>
            </w: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8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297,969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55.60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829,182</w:t>
            </w:r>
          </w:p>
        </w:tc>
        <w:tc>
          <w:tcPr>
            <w:tcW w:w="0" w:type="dxa"/>
            <w:vAlign w:val="bottom"/>
          </w:tcPr>
          <w:p>
            <w:pPr>
              <w:spacing w:after="0"/>
              <w:rPr>
                <w:sz w:val="1"/>
                <w:szCs w:val="1"/>
                <w:color w:val="auto"/>
              </w:rPr>
            </w:pPr>
          </w:p>
        </w:tc>
      </w:tr>
      <w:tr>
        <w:trPr>
          <w:trHeight w:val="22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86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540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297,969</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auto"/>
              </w:rPr>
              <w:t>55.60</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829,182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480" w:right="700" w:hanging="314"/>
        <w:spacing w:after="0" w:line="312" w:lineRule="auto"/>
        <w:tabs>
          <w:tab w:leader="none" w:pos="474" w:val="left"/>
        </w:tabs>
        <w:numPr>
          <w:ilvl w:val="0"/>
          <w:numId w:val="60"/>
        </w:numPr>
        <w:rPr>
          <w:rFonts w:ascii="Arial" w:cs="Arial" w:eastAsia="Arial" w:hAnsi="Arial"/>
          <w:sz w:val="16"/>
          <w:szCs w:val="16"/>
          <w:color w:val="auto"/>
        </w:rPr>
      </w:pPr>
      <w:r>
        <w:rPr>
          <w:rFonts w:ascii="Arial" w:cs="Arial" w:eastAsia="Arial" w:hAnsi="Arial"/>
          <w:sz w:val="16"/>
          <w:szCs w:val="16"/>
          <w:color w:val="auto"/>
        </w:rPr>
        <w:t>Performance stock units, including market-based performance stock units are included at the 100% attainment level. Attainment of maximum performance targets and market achievements could result in the issuance of an additional 98,465 shares of Class A common stock.</w:t>
      </w:r>
    </w:p>
    <w:p>
      <w:pPr>
        <w:ind w:left="480" w:right="160" w:hanging="314"/>
        <w:spacing w:after="0" w:line="266" w:lineRule="auto"/>
        <w:tabs>
          <w:tab w:leader="none" w:pos="47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excludes restricted stock units and other equity-based awards that do not have an exercise price.</w:t>
      </w:r>
    </w:p>
    <w:p>
      <w:pPr>
        <w:spacing w:after="0" w:line="19" w:lineRule="exact"/>
        <w:rPr>
          <w:rFonts w:ascii="Arial" w:cs="Arial" w:eastAsia="Arial" w:hAnsi="Arial"/>
          <w:sz w:val="18"/>
          <w:szCs w:val="18"/>
          <w:color w:val="auto"/>
        </w:rPr>
      </w:pPr>
    </w:p>
    <w:p>
      <w:pPr>
        <w:ind w:left="480" w:hanging="314"/>
        <w:spacing w:after="0" w:line="266" w:lineRule="auto"/>
        <w:tabs>
          <w:tab w:leader="none" w:pos="474"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797,359 shares of our Class A common stock issuable under our 2016 Incentive Plan and 31,823 shares of our Class A common stock issuable under our Amended and Restated 1997 Employee Stock Purchase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herein by reference from the Proxy Statement under the section captioned "Corporate Governance".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1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The information required by this Item is incorporated herein by reference from the Proxy Statement under the section captioned "Proposal 3 - Ratification of the Appointment of Independent Auditors".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460" w:type="dxa"/>
            <w:vAlign w:val="bottom"/>
          </w:tcPr>
          <w:p>
            <w:pPr>
              <w:ind w:left="20"/>
              <w:spacing w:after="0"/>
              <w:rPr>
                <w:sz w:val="20"/>
                <w:szCs w:val="20"/>
                <w:color w:val="auto"/>
              </w:rPr>
            </w:pPr>
            <w:r>
              <w:rPr>
                <w:rFonts w:ascii="Arial" w:cs="Arial" w:eastAsia="Arial" w:hAnsi="Arial"/>
                <w:sz w:val="18"/>
                <w:szCs w:val="18"/>
                <w:color w:val="auto"/>
              </w:rPr>
              <w:t>(a)(1)</w:t>
            </w:r>
          </w:p>
        </w:tc>
        <w:tc>
          <w:tcPr>
            <w:tcW w:w="9780" w:type="dxa"/>
            <w:vAlign w:val="bottom"/>
            <w:gridSpan w:val="32"/>
          </w:tcPr>
          <w:p>
            <w:pPr>
              <w:ind w:left="420"/>
              <w:spacing w:after="0"/>
              <w:rPr>
                <w:sz w:val="20"/>
                <w:szCs w:val="20"/>
                <w:color w:val="auto"/>
              </w:rPr>
            </w:pPr>
            <w:r>
              <w:rPr>
                <w:rFonts w:ascii="Arial" w:cs="Arial" w:eastAsia="Arial" w:hAnsi="Arial"/>
                <w:sz w:val="18"/>
                <w:szCs w:val="18"/>
                <w:color w:val="auto"/>
              </w:rPr>
              <w:t>Consolidated Financial Statements included under Item 8.</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32"/>
          </w:tcPr>
          <w:p>
            <w:pPr>
              <w:ind w:left="420"/>
              <w:spacing w:after="0"/>
              <w:rPr>
                <w:sz w:val="20"/>
                <w:szCs w:val="20"/>
                <w:color w:val="auto"/>
              </w:rPr>
            </w:pPr>
            <w:r>
              <w:rPr>
                <w:rFonts w:ascii="Arial" w:cs="Arial" w:eastAsia="Arial" w:hAnsi="Arial"/>
                <w:sz w:val="18"/>
                <w:szCs w:val="18"/>
                <w:color w:val="auto"/>
              </w:rPr>
              <w:t>Report of Independent Registered Public Accounting Firm – RSM US LLP.</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32"/>
          </w:tcPr>
          <w:p>
            <w:pPr>
              <w:ind w:left="420"/>
              <w:spacing w:after="0"/>
              <w:rPr>
                <w:sz w:val="20"/>
                <w:szCs w:val="20"/>
                <w:color w:val="auto"/>
              </w:rPr>
            </w:pPr>
            <w:r>
              <w:rPr>
                <w:rFonts w:ascii="Arial" w:cs="Arial" w:eastAsia="Arial" w:hAnsi="Arial"/>
                <w:sz w:val="18"/>
                <w:szCs w:val="18"/>
                <w:color w:val="auto"/>
              </w:rPr>
              <w:t>Consolidated Balance Sheets as of December 31, 2022 and December 31, 2021.</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32"/>
          </w:tcPr>
          <w:p>
            <w:pPr>
              <w:ind w:left="420"/>
              <w:spacing w:after="0"/>
              <w:rPr>
                <w:sz w:val="20"/>
                <w:szCs w:val="20"/>
                <w:color w:val="auto"/>
              </w:rPr>
            </w:pPr>
            <w:r>
              <w:rPr>
                <w:rFonts w:ascii="Arial" w:cs="Arial" w:eastAsia="Arial" w:hAnsi="Arial"/>
                <w:sz w:val="18"/>
                <w:szCs w:val="18"/>
                <w:color w:val="auto"/>
              </w:rPr>
              <w:t>Consolidated Statements of Operations for fiscal years 2022, 2021 and 2020.</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32"/>
          </w:tcPr>
          <w:p>
            <w:pPr>
              <w:ind w:left="420"/>
              <w:spacing w:after="0"/>
              <w:rPr>
                <w:sz w:val="20"/>
                <w:szCs w:val="20"/>
                <w:color w:val="auto"/>
              </w:rPr>
            </w:pPr>
            <w:r>
              <w:rPr>
                <w:rFonts w:ascii="Arial" w:cs="Arial" w:eastAsia="Arial" w:hAnsi="Arial"/>
                <w:sz w:val="18"/>
                <w:szCs w:val="18"/>
                <w:color w:val="auto"/>
              </w:rPr>
              <w:t>Consolidated Statements of Comprehensive Income for fiscal years 2022, 2021 and 2020.</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32"/>
          </w:tcPr>
          <w:p>
            <w:pPr>
              <w:ind w:left="420"/>
              <w:spacing w:after="0"/>
              <w:rPr>
                <w:sz w:val="20"/>
                <w:szCs w:val="20"/>
                <w:color w:val="auto"/>
              </w:rPr>
            </w:pPr>
            <w:r>
              <w:rPr>
                <w:rFonts w:ascii="Arial" w:cs="Arial" w:eastAsia="Arial" w:hAnsi="Arial"/>
                <w:sz w:val="18"/>
                <w:szCs w:val="18"/>
                <w:color w:val="auto"/>
              </w:rPr>
              <w:t>Consolidated Statement of Stockholders’ Equity for fiscal years 2022, 2021 and 2020.</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32"/>
          </w:tcPr>
          <w:p>
            <w:pPr>
              <w:ind w:left="420"/>
              <w:spacing w:after="0"/>
              <w:rPr>
                <w:sz w:val="20"/>
                <w:szCs w:val="20"/>
                <w:color w:val="auto"/>
              </w:rPr>
            </w:pPr>
            <w:r>
              <w:rPr>
                <w:rFonts w:ascii="Arial" w:cs="Arial" w:eastAsia="Arial" w:hAnsi="Arial"/>
                <w:sz w:val="18"/>
                <w:szCs w:val="18"/>
                <w:color w:val="auto"/>
              </w:rPr>
              <w:t>Consolidated Statements of Cash Flows for fiscal years 2022, 2021 and 2020.</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32"/>
          </w:tcPr>
          <w:p>
            <w:pPr>
              <w:ind w:left="420"/>
              <w:spacing w:after="0"/>
              <w:rPr>
                <w:sz w:val="20"/>
                <w:szCs w:val="20"/>
                <w:color w:val="auto"/>
              </w:rPr>
            </w:pPr>
            <w:r>
              <w:rPr>
                <w:rFonts w:ascii="Arial" w:cs="Arial" w:eastAsia="Arial" w:hAnsi="Arial"/>
                <w:sz w:val="18"/>
                <w:szCs w:val="18"/>
                <w:color w:val="auto"/>
              </w:rPr>
              <w:t>Notes to Consolidated Financial Statements.</w:t>
            </w:r>
          </w:p>
        </w:tc>
        <w:tc>
          <w:tcPr>
            <w:tcW w:w="0" w:type="dxa"/>
            <w:vAlign w:val="bottom"/>
          </w:tcPr>
          <w:p>
            <w:pPr>
              <w:spacing w:after="0"/>
              <w:rPr>
                <w:sz w:val="1"/>
                <w:szCs w:val="1"/>
                <w:color w:val="auto"/>
              </w:rPr>
            </w:pPr>
          </w:p>
        </w:tc>
      </w:tr>
      <w:tr>
        <w:trPr>
          <w:trHeight w:val="492"/>
        </w:trPr>
        <w:tc>
          <w:tcPr>
            <w:tcW w:w="1460" w:type="dxa"/>
            <w:vAlign w:val="bottom"/>
          </w:tcPr>
          <w:p>
            <w:pPr>
              <w:ind w:left="20"/>
              <w:spacing w:after="0"/>
              <w:rPr>
                <w:sz w:val="20"/>
                <w:szCs w:val="20"/>
                <w:color w:val="auto"/>
              </w:rPr>
            </w:pPr>
            <w:r>
              <w:rPr>
                <w:rFonts w:ascii="Arial" w:cs="Arial" w:eastAsia="Arial" w:hAnsi="Arial"/>
                <w:sz w:val="18"/>
                <w:szCs w:val="18"/>
                <w:color w:val="auto"/>
              </w:rPr>
              <w:t>(a)(2)</w:t>
            </w:r>
          </w:p>
        </w:tc>
        <w:tc>
          <w:tcPr>
            <w:tcW w:w="9780" w:type="dxa"/>
            <w:vAlign w:val="bottom"/>
            <w:gridSpan w:val="32"/>
          </w:tcPr>
          <w:p>
            <w:pPr>
              <w:ind w:left="420"/>
              <w:spacing w:after="0"/>
              <w:rPr>
                <w:sz w:val="20"/>
                <w:szCs w:val="20"/>
                <w:color w:val="auto"/>
              </w:rPr>
            </w:pPr>
            <w:r>
              <w:rPr>
                <w:rFonts w:ascii="Arial" w:cs="Arial" w:eastAsia="Arial" w:hAnsi="Arial"/>
                <w:sz w:val="18"/>
                <w:szCs w:val="18"/>
                <w:color w:val="auto"/>
              </w:rPr>
              <w:t>Financial Statement Schedules:</w:t>
            </w: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9780" w:type="dxa"/>
            <w:vAlign w:val="bottom"/>
            <w:gridSpan w:val="32"/>
          </w:tcPr>
          <w:p>
            <w:pPr>
              <w:ind w:left="420"/>
              <w:spacing w:after="0" w:line="175" w:lineRule="exact"/>
              <w:rPr>
                <w:sz w:val="20"/>
                <w:szCs w:val="20"/>
                <w:color w:val="auto"/>
              </w:rPr>
            </w:pPr>
            <w:r>
              <w:rPr>
                <w:rFonts w:ascii="Arial" w:cs="Arial" w:eastAsia="Arial" w:hAnsi="Arial"/>
                <w:sz w:val="18"/>
                <w:szCs w:val="18"/>
                <w:color w:val="auto"/>
                <w:w w:val="93"/>
              </w:rPr>
              <w:t>All schedules have been omitted because the required information is not significant or is included in the consolidated financial</w:t>
            </w: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9780" w:type="dxa"/>
            <w:vAlign w:val="bottom"/>
            <w:gridSpan w:val="32"/>
          </w:tcPr>
          <w:p>
            <w:pPr>
              <w:ind w:left="420"/>
              <w:spacing w:after="0"/>
              <w:rPr>
                <w:sz w:val="20"/>
                <w:szCs w:val="20"/>
                <w:color w:val="auto"/>
              </w:rPr>
            </w:pPr>
            <w:r>
              <w:rPr>
                <w:rFonts w:ascii="Arial" w:cs="Arial" w:eastAsia="Arial" w:hAnsi="Arial"/>
                <w:sz w:val="18"/>
                <w:szCs w:val="18"/>
                <w:color w:val="auto"/>
              </w:rPr>
              <w:t>statements or notes thereto, or is not applicable.</w:t>
            </w:r>
          </w:p>
        </w:tc>
        <w:tc>
          <w:tcPr>
            <w:tcW w:w="0" w:type="dxa"/>
            <w:vAlign w:val="bottom"/>
          </w:tcPr>
          <w:p>
            <w:pPr>
              <w:spacing w:after="0"/>
              <w:rPr>
                <w:sz w:val="1"/>
                <w:szCs w:val="1"/>
                <w:color w:val="auto"/>
              </w:rPr>
            </w:pPr>
          </w:p>
        </w:tc>
      </w:tr>
      <w:tr>
        <w:trPr>
          <w:trHeight w:val="505"/>
        </w:trPr>
        <w:tc>
          <w:tcPr>
            <w:tcW w:w="1460" w:type="dxa"/>
            <w:vAlign w:val="bottom"/>
          </w:tcPr>
          <w:p>
            <w:pPr>
              <w:ind w:left="20"/>
              <w:spacing w:after="0"/>
              <w:rPr>
                <w:sz w:val="20"/>
                <w:szCs w:val="20"/>
                <w:color w:val="auto"/>
              </w:rPr>
            </w:pPr>
            <w:r>
              <w:rPr>
                <w:rFonts w:ascii="Arial" w:cs="Arial" w:eastAsia="Arial" w:hAnsi="Arial"/>
                <w:sz w:val="18"/>
                <w:szCs w:val="18"/>
                <w:color w:val="auto"/>
              </w:rPr>
              <w:t>(a)(3)</w:t>
            </w:r>
          </w:p>
        </w:tc>
        <w:tc>
          <w:tcPr>
            <w:tcW w:w="9780" w:type="dxa"/>
            <w:vAlign w:val="bottom"/>
            <w:gridSpan w:val="32"/>
          </w:tcPr>
          <w:p>
            <w:pPr>
              <w:ind w:left="42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254"/>
        </w:trPr>
        <w:tc>
          <w:tcPr>
            <w:tcW w:w="1460" w:type="dxa"/>
            <w:vAlign w:val="bottom"/>
          </w:tcPr>
          <w:p>
            <w:pPr>
              <w:ind w:left="500"/>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80" w:type="dxa"/>
            <w:vAlign w:val="bottom"/>
            <w:gridSpan w:val="25"/>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4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80" w:type="dxa"/>
            <w:vAlign w:val="bottom"/>
            <w:tcBorders>
              <w:bottom w:val="single" w:sz="8" w:color="auto"/>
            </w:tcBorders>
            <w:gridSpan w:val="25"/>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460" w:type="dxa"/>
            <w:vAlign w:val="bottom"/>
          </w:tcPr>
          <w:p>
            <w:pPr>
              <w:ind w:left="22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20" w:type="dxa"/>
            <w:vAlign w:val="bottom"/>
            <w:gridSpan w:val="30"/>
          </w:tcPr>
          <w:p>
            <w:pPr>
              <w:spacing w:after="0"/>
              <w:rPr>
                <w:rFonts w:ascii="Arial" w:cs="Arial" w:eastAsia="Arial" w:hAnsi="Arial"/>
                <w:sz w:val="18"/>
                <w:szCs w:val="18"/>
                <w:color w:val="0000FF"/>
                <w:w w:val="90"/>
              </w:rPr>
            </w:pPr>
            <w:hyperlink r:id="rId142">
              <w:r>
                <w:rPr>
                  <w:rFonts w:ascii="Arial" w:cs="Arial" w:eastAsia="Arial" w:hAnsi="Arial"/>
                  <w:sz w:val="18"/>
                  <w:szCs w:val="18"/>
                  <w:color w:val="0000FF"/>
                  <w:w w:val="90"/>
                </w:rPr>
                <w:t>Second Amended and Restated Certificate of Incorporation of Casella Waste Systems, Inc., as amended (incorporated herein by</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3"/>
          </w:tcPr>
          <w:p>
            <w:pPr>
              <w:spacing w:after="0" w:line="153" w:lineRule="exact"/>
              <w:rPr>
                <w:rFonts w:ascii="Arial" w:cs="Arial" w:eastAsia="Arial" w:hAnsi="Arial"/>
                <w:sz w:val="17"/>
                <w:szCs w:val="17"/>
                <w:color w:val="0000FF"/>
                <w:w w:val="95"/>
              </w:rPr>
            </w:pPr>
            <w:hyperlink r:id="rId142">
              <w:r>
                <w:rPr>
                  <w:rFonts w:ascii="Arial" w:cs="Arial" w:eastAsia="Arial" w:hAnsi="Arial"/>
                  <w:sz w:val="17"/>
                  <w:szCs w:val="17"/>
                  <w:color w:val="0000FF"/>
                  <w:w w:val="95"/>
                </w:rPr>
                <w:t>reference to Exhibit 3.1 to the quarterly report on Form 10-Q of Casella as filed on December 7, 2007(file no. 000-23211)).</w:t>
              </w:r>
            </w:hyperlink>
          </w:p>
        </w:tc>
        <w:tc>
          <w:tcPr>
            <w:tcW w:w="32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460" w:type="dxa"/>
            <w:vAlign w:val="bottom"/>
          </w:tcPr>
          <w:p>
            <w:pPr>
              <w:ind w:left="220"/>
              <w:spacing w:after="0"/>
              <w:rPr>
                <w:sz w:val="20"/>
                <w:szCs w:val="20"/>
                <w:color w:val="auto"/>
              </w:rPr>
            </w:pPr>
            <w:r>
              <w:rPr>
                <w:rFonts w:ascii="Arial" w:cs="Arial" w:eastAsia="Arial" w:hAnsi="Arial"/>
                <w:sz w:val="18"/>
                <w:szCs w:val="18"/>
                <w:color w:val="auto"/>
              </w:rPr>
              <w:t>3.2 +</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30"/>
          </w:tcPr>
          <w:p>
            <w:pPr>
              <w:spacing w:after="0"/>
              <w:rPr>
                <w:sz w:val="20"/>
                <w:szCs w:val="20"/>
                <w:color w:val="auto"/>
              </w:rPr>
            </w:pPr>
            <w:r>
              <w:rPr>
                <w:rFonts w:ascii="Arial" w:cs="Arial" w:eastAsia="Arial" w:hAnsi="Arial"/>
                <w:sz w:val="18"/>
                <w:szCs w:val="18"/>
                <w:color w:val="0000FF"/>
              </w:rPr>
              <w:t>Fourth Amended and Restated By-Laws of Casella Waste Systems, Inc.</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60" w:type="dxa"/>
            <w:vAlign w:val="bottom"/>
          </w:tcPr>
          <w:p>
            <w:pPr>
              <w:ind w:left="22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0"/>
          </w:tcPr>
          <w:p>
            <w:pPr>
              <w:spacing w:after="0"/>
              <w:rPr>
                <w:rFonts w:ascii="Arial" w:cs="Arial" w:eastAsia="Arial" w:hAnsi="Arial"/>
                <w:sz w:val="18"/>
                <w:szCs w:val="18"/>
                <w:color w:val="0000FF"/>
                <w:w w:val="91"/>
              </w:rPr>
            </w:pPr>
            <w:hyperlink r:id="rId143">
              <w:r>
                <w:rPr>
                  <w:rFonts w:ascii="Arial" w:cs="Arial" w:eastAsia="Arial" w:hAnsi="Arial"/>
                  <w:sz w:val="18"/>
                  <w:szCs w:val="18"/>
                  <w:color w:val="0000FF"/>
                  <w:w w:val="91"/>
                </w:rPr>
                <w:t>Form of stock certificate of Casella Class A common stock (incorporated herein by reference to Exhibit 4 to Amendment No. 2 to</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4"/>
          </w:tcPr>
          <w:p>
            <w:pPr>
              <w:spacing w:after="0" w:line="153" w:lineRule="exact"/>
              <w:rPr>
                <w:rFonts w:ascii="Arial" w:cs="Arial" w:eastAsia="Arial" w:hAnsi="Arial"/>
                <w:sz w:val="17"/>
                <w:szCs w:val="17"/>
                <w:color w:val="0000FF"/>
              </w:rPr>
            </w:pPr>
            <w:hyperlink r:id="rId143">
              <w:r>
                <w:rPr>
                  <w:rFonts w:ascii="Arial" w:cs="Arial" w:eastAsia="Arial" w:hAnsi="Arial"/>
                  <w:sz w:val="17"/>
                  <w:szCs w:val="17"/>
                  <w:color w:val="0000FF"/>
                </w:rPr>
                <w:t>the registration statement on Form S-1 of Casella as filed on October 9, 1997 (file no. 333-33135)).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460" w:type="dxa"/>
            <w:vAlign w:val="bottom"/>
          </w:tcPr>
          <w:p>
            <w:pPr>
              <w:ind w:left="220"/>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30"/>
          </w:tcPr>
          <w:p>
            <w:pPr>
              <w:spacing w:after="0"/>
              <w:rPr>
                <w:rFonts w:ascii="Arial" w:cs="Arial" w:eastAsia="Arial" w:hAnsi="Arial"/>
                <w:sz w:val="18"/>
                <w:szCs w:val="18"/>
                <w:color w:val="0000FF"/>
                <w:w w:val="93"/>
              </w:rPr>
            </w:pPr>
            <w:hyperlink r:id="rId144">
              <w:r>
                <w:rPr>
                  <w:rFonts w:ascii="Arial" w:cs="Arial" w:eastAsia="Arial" w:hAnsi="Arial"/>
                  <w:sz w:val="18"/>
                  <w:szCs w:val="18"/>
                  <w:color w:val="0000FF"/>
                  <w:w w:val="93"/>
                </w:rPr>
                <w:t>Certificate of Designation creating Series A Convertible Preferred Stock (incorporated herein by reference to Exhibit 4.1 to the</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5"/>
              </w:rPr>
            </w:pPr>
            <w:hyperlink r:id="rId144">
              <w:r>
                <w:rPr>
                  <w:rFonts w:ascii="Arial" w:cs="Arial" w:eastAsia="Arial" w:hAnsi="Arial"/>
                  <w:sz w:val="17"/>
                  <w:szCs w:val="17"/>
                  <w:color w:val="0000FF"/>
                  <w:w w:val="95"/>
                </w:rPr>
                <w:t>current report on Form 8-K of Casella as filed on August 18, 2000 (file no. 000-23211)).</w:t>
              </w:r>
            </w:hyperlink>
          </w:p>
        </w:tc>
        <w:tc>
          <w:tcPr>
            <w:tcW w:w="27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460" w:type="dxa"/>
            <w:vAlign w:val="bottom"/>
          </w:tcPr>
          <w:p>
            <w:pPr>
              <w:ind w:left="220"/>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30"/>
          </w:tcPr>
          <w:p>
            <w:pPr>
              <w:spacing w:after="0"/>
              <w:rPr>
                <w:rFonts w:ascii="Arial" w:cs="Arial" w:eastAsia="Arial" w:hAnsi="Arial"/>
                <w:sz w:val="18"/>
                <w:szCs w:val="18"/>
                <w:color w:val="0000FF"/>
                <w:w w:val="90"/>
              </w:rPr>
            </w:pPr>
            <w:hyperlink r:id="rId145">
              <w:r>
                <w:rPr>
                  <w:rFonts w:ascii="Arial" w:cs="Arial" w:eastAsia="Arial" w:hAnsi="Arial"/>
                  <w:sz w:val="18"/>
                  <w:szCs w:val="18"/>
                  <w:color w:val="0000FF"/>
                  <w:w w:val="90"/>
                </w:rPr>
                <w:t xml:space="preserve">Description of Securities Registered Under Section 12 of the Exchange Act </w:t>
              </w:r>
            </w:hyperlink>
            <w:r>
              <w:rPr>
                <w:rFonts w:ascii="Arial" w:cs="Arial" w:eastAsia="Arial" w:hAnsi="Arial"/>
                <w:sz w:val="18"/>
                <w:szCs w:val="18"/>
                <w:color w:val="0000FF"/>
                <w:w w:val="90"/>
              </w:rPr>
              <w:t>(incorporated herein by reference to Exhibit 4.3 to the</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20" w:type="dxa"/>
            <w:vAlign w:val="bottom"/>
            <w:gridSpan w:val="30"/>
          </w:tcPr>
          <w:p>
            <w:pPr>
              <w:spacing w:after="0" w:line="180" w:lineRule="exact"/>
              <w:rPr>
                <w:sz w:val="20"/>
                <w:szCs w:val="20"/>
                <w:color w:val="auto"/>
              </w:rPr>
            </w:pPr>
            <w:r>
              <w:rPr>
                <w:rFonts w:ascii="Arial" w:cs="Arial" w:eastAsia="Arial" w:hAnsi="Arial"/>
                <w:sz w:val="18"/>
                <w:szCs w:val="18"/>
                <w:color w:val="0000FF"/>
              </w:rPr>
              <w:t>annual report on Form 10-K of Casella as filed on February 19, 2021 (file no. 000-23211)).</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460" w:type="dxa"/>
            <w:vAlign w:val="bottom"/>
          </w:tcPr>
          <w:p>
            <w:pPr>
              <w:ind w:left="220"/>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tcBorders>
              <w:bottom w:val="single" w:sz="8" w:color="0000FF"/>
            </w:tcBorders>
            <w:gridSpan w:val="15"/>
          </w:tcPr>
          <w:p>
            <w:pPr>
              <w:spacing w:after="0"/>
              <w:rPr>
                <w:rFonts w:ascii="Arial" w:cs="Arial" w:eastAsia="Arial" w:hAnsi="Arial"/>
                <w:sz w:val="18"/>
                <w:szCs w:val="18"/>
                <w:color w:val="0000FF"/>
                <w:w w:val="89"/>
              </w:rPr>
            </w:pPr>
            <w:hyperlink r:id="rId146">
              <w:r>
                <w:rPr>
                  <w:rFonts w:ascii="Arial" w:cs="Arial" w:eastAsia="Arial" w:hAnsi="Arial"/>
                  <w:sz w:val="18"/>
                  <w:szCs w:val="18"/>
                  <w:color w:val="0000FF"/>
                  <w:w w:val="89"/>
                </w:rPr>
                <w:t>FAME Financing Agreement, dated as of August 1, 2015, between Casella and the Finance Authority of Maine (incorporated</w:t>
              </w:r>
            </w:hyperlink>
          </w:p>
        </w:tc>
        <w:tc>
          <w:tcPr>
            <w:tcW w:w="4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30"/>
          </w:tcPr>
          <w:p>
            <w:pPr>
              <w:spacing w:after="0" w:line="153" w:lineRule="exact"/>
              <w:rPr>
                <w:rFonts w:ascii="Arial" w:cs="Arial" w:eastAsia="Arial" w:hAnsi="Arial"/>
                <w:sz w:val="17"/>
                <w:szCs w:val="17"/>
                <w:color w:val="0000FF"/>
                <w:w w:val="97"/>
              </w:rPr>
            </w:pPr>
            <w:hyperlink r:id="rId146">
              <w:r>
                <w:rPr>
                  <w:rFonts w:ascii="Arial" w:cs="Arial" w:eastAsia="Arial" w:hAnsi="Arial"/>
                  <w:sz w:val="17"/>
                  <w:szCs w:val="17"/>
                  <w:color w:val="0000FF"/>
                  <w:w w:val="97"/>
                </w:rPr>
                <w:t>herein by reference to Exhibit 4.1 to the current report on Form 8-K of Casella as filed on August 27, 2015 (file no. 000-23211)).</w:t>
              </w:r>
            </w:hyperlink>
          </w:p>
        </w:tc>
        <w:tc>
          <w:tcPr>
            <w:tcW w:w="0" w:type="dxa"/>
            <w:vAlign w:val="bottom"/>
          </w:tcPr>
          <w:p>
            <w:pPr>
              <w:spacing w:after="0"/>
              <w:rPr>
                <w:sz w:val="1"/>
                <w:szCs w:val="1"/>
                <w:color w:val="auto"/>
              </w:rPr>
            </w:pPr>
          </w:p>
        </w:tc>
      </w:tr>
      <w:tr>
        <w:trPr>
          <w:trHeight w:val="273"/>
        </w:trPr>
        <w:tc>
          <w:tcPr>
            <w:tcW w:w="1460" w:type="dxa"/>
            <w:vAlign w:val="bottom"/>
          </w:tcPr>
          <w:p>
            <w:pPr>
              <w:ind w:left="22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140" w:type="dxa"/>
            <w:vAlign w:val="bottom"/>
            <w:tcBorders>
              <w:top w:val="single" w:sz="8" w:color="0000FF"/>
            </w:tcBorders>
            <w:gridSpan w:val="22"/>
          </w:tcPr>
          <w:p>
            <w:pPr>
              <w:spacing w:after="0"/>
              <w:rPr>
                <w:rFonts w:ascii="Arial" w:cs="Arial" w:eastAsia="Arial" w:hAnsi="Arial"/>
                <w:sz w:val="18"/>
                <w:szCs w:val="18"/>
                <w:color w:val="0000FF"/>
                <w:w w:val="89"/>
              </w:rPr>
            </w:pPr>
            <w:hyperlink r:id="rId147">
              <w:r>
                <w:rPr>
                  <w:rFonts w:ascii="Arial" w:cs="Arial" w:eastAsia="Arial" w:hAnsi="Arial"/>
                  <w:sz w:val="18"/>
                  <w:szCs w:val="18"/>
                  <w:color w:val="0000FF"/>
                  <w:w w:val="89"/>
                </w:rPr>
                <w:t>FAME Guaranty Agreement, dated as of August 1, 2015, by and between the guarantors named therein and U.S. Bank National</w:t>
              </w:r>
            </w:hyperlink>
          </w:p>
        </w:tc>
        <w:tc>
          <w:tcPr>
            <w:tcW w:w="18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9"/>
          </w:tcPr>
          <w:p>
            <w:pPr>
              <w:spacing w:after="0" w:line="153" w:lineRule="exact"/>
              <w:rPr>
                <w:rFonts w:ascii="Arial" w:cs="Arial" w:eastAsia="Arial" w:hAnsi="Arial"/>
                <w:sz w:val="17"/>
                <w:szCs w:val="17"/>
                <w:color w:val="0000FF"/>
                <w:w w:val="95"/>
              </w:rPr>
            </w:pPr>
            <w:hyperlink r:id="rId147">
              <w:r>
                <w:rPr>
                  <w:rFonts w:ascii="Arial" w:cs="Arial" w:eastAsia="Arial" w:hAnsi="Arial"/>
                  <w:sz w:val="17"/>
                  <w:szCs w:val="17"/>
                  <w:color w:val="0000FF"/>
                  <w:w w:val="95"/>
                </w:rPr>
                <w:t>Association, as trustee (incorporated herein by reference to Exhibit 4.2 to the current report on Form 8-K of Casella as filed on</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5"/>
              </w:rPr>
            </w:pPr>
            <w:hyperlink r:id="rId147">
              <w:r>
                <w:rPr>
                  <w:rFonts w:ascii="Arial" w:cs="Arial" w:eastAsia="Arial" w:hAnsi="Arial"/>
                  <w:sz w:val="17"/>
                  <w:szCs w:val="17"/>
                  <w:color w:val="0000FF"/>
                  <w:w w:val="95"/>
                </w:rPr>
                <w:t>August 27, 2015 (file no. 000-23211)).</w:t>
              </w:r>
            </w:hyperlink>
          </w:p>
        </w:tc>
        <w:tc>
          <w:tcPr>
            <w:tcW w:w="6220" w:type="dxa"/>
            <w:vAlign w:val="bottom"/>
            <w:tcBorders>
              <w:top w:val="single" w:sz="8" w:color="0000FF"/>
            </w:tcBorders>
            <w:gridSpan w:val="14"/>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460" w:type="dxa"/>
            <w:vAlign w:val="bottom"/>
          </w:tcPr>
          <w:p>
            <w:pPr>
              <w:ind w:left="220"/>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30"/>
          </w:tcPr>
          <w:p>
            <w:pPr>
              <w:spacing w:after="0"/>
              <w:rPr>
                <w:rFonts w:ascii="Arial" w:cs="Arial" w:eastAsia="Arial" w:hAnsi="Arial"/>
                <w:sz w:val="18"/>
                <w:szCs w:val="18"/>
                <w:color w:val="0000FF"/>
                <w:w w:val="94"/>
              </w:rPr>
            </w:pPr>
            <w:hyperlink r:id="rId148">
              <w:r>
                <w:rPr>
                  <w:rFonts w:ascii="Arial" w:cs="Arial" w:eastAsia="Arial" w:hAnsi="Arial"/>
                  <w:sz w:val="18"/>
                  <w:szCs w:val="18"/>
                  <w:color w:val="0000FF"/>
                  <w:w w:val="94"/>
                </w:rPr>
                <w:t>Loan Agreement, dated as of December 1, 2014, between New York State Environmental Facilities Corporation and Casella</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4"/>
          </w:tcPr>
          <w:p>
            <w:pPr>
              <w:spacing w:after="0" w:line="153" w:lineRule="exact"/>
              <w:rPr>
                <w:rFonts w:ascii="Arial" w:cs="Arial" w:eastAsia="Arial" w:hAnsi="Arial"/>
                <w:sz w:val="17"/>
                <w:szCs w:val="17"/>
                <w:color w:val="0000FF"/>
                <w:w w:val="95"/>
              </w:rPr>
            </w:pPr>
            <w:hyperlink r:id="rId148">
              <w:r>
                <w:rPr>
                  <w:rFonts w:ascii="Arial" w:cs="Arial" w:eastAsia="Arial" w:hAnsi="Arial"/>
                  <w:sz w:val="17"/>
                  <w:szCs w:val="17"/>
                  <w:color w:val="0000FF"/>
                  <w:w w:val="95"/>
                </w:rPr>
                <w:t>(incorporated herein by reference to Exhibit 4.1 to the current report on Form 8-K of Casella as filed on December 18, 2014</w:t>
              </w:r>
            </w:hyperlink>
          </w:p>
        </w:tc>
        <w:tc>
          <w:tcPr>
            <w:tcW w:w="500" w:type="dxa"/>
            <w:vAlign w:val="bottom"/>
            <w:gridSpan w:val="16"/>
          </w:tcPr>
          <w:p>
            <w:pPr>
              <w:ind w:left="20"/>
              <w:spacing w:after="0" w:line="153" w:lineRule="exact"/>
              <w:rPr>
                <w:rFonts w:ascii="Arial" w:cs="Arial" w:eastAsia="Arial" w:hAnsi="Arial"/>
                <w:sz w:val="17"/>
                <w:szCs w:val="17"/>
                <w:color w:val="0000FF"/>
              </w:rPr>
            </w:pPr>
            <w:hyperlink r:id="rId148">
              <w:r>
                <w:rPr>
                  <w:rFonts w:ascii="Arial" w:cs="Arial" w:eastAsia="Arial" w:hAnsi="Arial"/>
                  <w:sz w:val="17"/>
                  <w:szCs w:val="17"/>
                  <w:color w:val="0000FF"/>
                </w:rPr>
                <w:t>(file</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3"/>
              </w:rPr>
            </w:pPr>
            <w:hyperlink r:id="rId148">
              <w:r>
                <w:rPr>
                  <w:rFonts w:ascii="Arial" w:cs="Arial" w:eastAsia="Arial" w:hAnsi="Arial"/>
                  <w:sz w:val="17"/>
                  <w:szCs w:val="17"/>
                  <w:color w:val="0000FF"/>
                  <w:w w:val="93"/>
                </w:rPr>
                <w:t>no. 000-23211)).</w:t>
              </w:r>
            </w:hyperlink>
          </w:p>
        </w:tc>
        <w:tc>
          <w:tcPr>
            <w:tcW w:w="792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460" w:type="dxa"/>
            <w:vAlign w:val="bottom"/>
          </w:tcPr>
          <w:p>
            <w:pPr>
              <w:ind w:left="220"/>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40" w:type="dxa"/>
            <w:vAlign w:val="bottom"/>
            <w:tcBorders>
              <w:bottom w:val="single" w:sz="8" w:color="0000FF"/>
            </w:tcBorders>
            <w:gridSpan w:val="18"/>
          </w:tcPr>
          <w:p>
            <w:pPr>
              <w:spacing w:after="0"/>
              <w:rPr>
                <w:rFonts w:ascii="Arial" w:cs="Arial" w:eastAsia="Arial" w:hAnsi="Arial"/>
                <w:sz w:val="18"/>
                <w:szCs w:val="18"/>
                <w:color w:val="0000FF"/>
                <w:w w:val="87"/>
              </w:rPr>
            </w:pPr>
            <w:hyperlink r:id="rId149">
              <w:r>
                <w:rPr>
                  <w:rFonts w:ascii="Arial" w:cs="Arial" w:eastAsia="Arial" w:hAnsi="Arial"/>
                  <w:sz w:val="18"/>
                  <w:szCs w:val="18"/>
                  <w:color w:val="0000FF"/>
                  <w:w w:val="87"/>
                </w:rPr>
                <w:t>NYSEFC Amended and Restated Guaranty Agreement, dated as of June 1, 2016, by and between the guarantors named therein</w:t>
              </w:r>
            </w:hyperlink>
          </w:p>
        </w:tc>
        <w:tc>
          <w:tcPr>
            <w:tcW w:w="280" w:type="dxa"/>
            <w:vAlign w:val="bottom"/>
            <w:gridSpan w:val="12"/>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30"/>
          </w:tcPr>
          <w:p>
            <w:pPr>
              <w:spacing w:after="0" w:line="153" w:lineRule="exact"/>
              <w:rPr>
                <w:rFonts w:ascii="Arial" w:cs="Arial" w:eastAsia="Arial" w:hAnsi="Arial"/>
                <w:sz w:val="17"/>
                <w:szCs w:val="17"/>
                <w:color w:val="0000FF"/>
                <w:w w:val="95"/>
              </w:rPr>
            </w:pPr>
            <w:hyperlink r:id="rId149">
              <w:r>
                <w:rPr>
                  <w:rFonts w:ascii="Arial" w:cs="Arial" w:eastAsia="Arial" w:hAnsi="Arial"/>
                  <w:sz w:val="17"/>
                  <w:szCs w:val="17"/>
                  <w:color w:val="0000FF"/>
                  <w:w w:val="95"/>
                </w:rPr>
                <w:t>and U.S. Bank National Association, as Trustee (incorporated herein by reference to Exhibit 4.1 to the current report on Form 8-K</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4"/>
              </w:rPr>
            </w:pPr>
            <w:hyperlink r:id="rId149">
              <w:r>
                <w:rPr>
                  <w:rFonts w:ascii="Arial" w:cs="Arial" w:eastAsia="Arial" w:hAnsi="Arial"/>
                  <w:sz w:val="17"/>
                  <w:szCs w:val="17"/>
                  <w:color w:val="0000FF"/>
                  <w:w w:val="94"/>
                </w:rPr>
                <w:t>of Casella as filed on June 2, 2016 (file no. 000-23211)).</w:t>
              </w:r>
            </w:hyperlink>
          </w:p>
        </w:tc>
        <w:tc>
          <w:tcPr>
            <w:tcW w:w="52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460" w:type="dxa"/>
            <w:vAlign w:val="bottom"/>
          </w:tcPr>
          <w:p>
            <w:pPr>
              <w:ind w:left="220"/>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30"/>
          </w:tcPr>
          <w:p>
            <w:pPr>
              <w:spacing w:after="0"/>
              <w:rPr>
                <w:rFonts w:ascii="Arial" w:cs="Arial" w:eastAsia="Arial" w:hAnsi="Arial"/>
                <w:sz w:val="18"/>
                <w:szCs w:val="18"/>
                <w:color w:val="0000FF"/>
                <w:w w:val="94"/>
              </w:rPr>
            </w:pPr>
            <w:hyperlink r:id="rId150">
              <w:r>
                <w:rPr>
                  <w:rFonts w:ascii="Arial" w:cs="Arial" w:eastAsia="Arial" w:hAnsi="Arial"/>
                  <w:sz w:val="18"/>
                  <w:szCs w:val="18"/>
                  <w:color w:val="0000FF"/>
                  <w:w w:val="94"/>
                </w:rPr>
                <w:t>BFA Guaranty Agreement, dated as of October 1, 2014, by and among U.S. Bank National Association, as Trustee, and the</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12"/>
          </w:tcPr>
          <w:p>
            <w:pPr>
              <w:spacing w:after="0" w:line="153" w:lineRule="exact"/>
              <w:rPr>
                <w:rFonts w:ascii="Arial" w:cs="Arial" w:eastAsia="Arial" w:hAnsi="Arial"/>
                <w:sz w:val="17"/>
                <w:szCs w:val="17"/>
                <w:color w:val="0000FF"/>
                <w:w w:val="95"/>
              </w:rPr>
            </w:pPr>
            <w:hyperlink r:id="rId150">
              <w:r>
                <w:rPr>
                  <w:rFonts w:ascii="Arial" w:cs="Arial" w:eastAsia="Arial" w:hAnsi="Arial"/>
                  <w:sz w:val="17"/>
                  <w:szCs w:val="17"/>
                  <w:color w:val="0000FF"/>
                  <w:w w:val="95"/>
                </w:rPr>
                <w:t>guarantors identified therein (incorporated herein by reference to Exhibit 10.1 to the current report on Form 8-K of Casella</w:t>
              </w:r>
            </w:hyperlink>
          </w:p>
        </w:tc>
        <w:tc>
          <w:tcPr>
            <w:tcW w:w="580" w:type="dxa"/>
            <w:vAlign w:val="bottom"/>
            <w:gridSpan w:val="18"/>
          </w:tcPr>
          <w:p>
            <w:pPr>
              <w:ind w:left="20"/>
              <w:spacing w:after="0" w:line="153" w:lineRule="exact"/>
              <w:rPr>
                <w:rFonts w:ascii="Arial" w:cs="Arial" w:eastAsia="Arial" w:hAnsi="Arial"/>
                <w:sz w:val="17"/>
                <w:szCs w:val="17"/>
                <w:color w:val="0000FF"/>
              </w:rPr>
            </w:pPr>
            <w:hyperlink r:id="rId150">
              <w:r>
                <w:rPr>
                  <w:rFonts w:ascii="Arial" w:cs="Arial" w:eastAsia="Arial" w:hAnsi="Arial"/>
                  <w:sz w:val="17"/>
                  <w:szCs w:val="17"/>
                  <w:color w:val="0000FF"/>
                </w:rPr>
                <w:t>as filed</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5"/>
              </w:rPr>
            </w:pPr>
            <w:hyperlink r:id="rId150">
              <w:r>
                <w:rPr>
                  <w:rFonts w:ascii="Arial" w:cs="Arial" w:eastAsia="Arial" w:hAnsi="Arial"/>
                  <w:sz w:val="17"/>
                  <w:szCs w:val="17"/>
                  <w:color w:val="0000FF"/>
                  <w:w w:val="95"/>
                </w:rPr>
                <w:t>on October 16, 2014 (file no. 000-23211)).</w:t>
              </w:r>
            </w:hyperlink>
          </w:p>
        </w:tc>
        <w:tc>
          <w:tcPr>
            <w:tcW w:w="624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460" w:type="dxa"/>
            <w:vAlign w:val="bottom"/>
          </w:tcPr>
          <w:p>
            <w:pPr>
              <w:ind w:left="220"/>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30"/>
          </w:tcPr>
          <w:p>
            <w:pPr>
              <w:spacing w:after="0"/>
              <w:rPr>
                <w:rFonts w:ascii="Arial" w:cs="Arial" w:eastAsia="Arial" w:hAnsi="Arial"/>
                <w:sz w:val="18"/>
                <w:szCs w:val="18"/>
                <w:color w:val="0000FF"/>
                <w:w w:val="91"/>
              </w:rPr>
            </w:pPr>
            <w:hyperlink r:id="rId151">
              <w:r>
                <w:rPr>
                  <w:rFonts w:ascii="Arial" w:cs="Arial" w:eastAsia="Arial" w:hAnsi="Arial"/>
                  <w:sz w:val="18"/>
                  <w:szCs w:val="18"/>
                  <w:color w:val="0000FF"/>
                  <w:w w:val="91"/>
                </w:rPr>
                <w:t>Financing Agreement dated as of March 1, 2013 between Casella and the Vermont Economic Development Authority, relating to</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3"/>
          </w:tcPr>
          <w:p>
            <w:pPr>
              <w:spacing w:after="0" w:line="153" w:lineRule="exact"/>
              <w:rPr>
                <w:rFonts w:ascii="Arial" w:cs="Arial" w:eastAsia="Arial" w:hAnsi="Arial"/>
                <w:sz w:val="17"/>
                <w:szCs w:val="17"/>
                <w:color w:val="0000FF"/>
                <w:w w:val="95"/>
              </w:rPr>
            </w:pPr>
            <w:hyperlink r:id="rId151">
              <w:r>
                <w:rPr>
                  <w:rFonts w:ascii="Arial" w:cs="Arial" w:eastAsia="Arial" w:hAnsi="Arial"/>
                  <w:sz w:val="17"/>
                  <w:szCs w:val="17"/>
                  <w:color w:val="0000FF"/>
                  <w:w w:val="95"/>
                </w:rPr>
                <w:t>issuance of Vermont Economic Development Authority Solid Waste Disposal Revenue Bonds (incorporated herein by reference</w:t>
              </w:r>
            </w:hyperlink>
          </w:p>
        </w:tc>
        <w:tc>
          <w:tcPr>
            <w:tcW w:w="160" w:type="dxa"/>
            <w:vAlign w:val="bottom"/>
            <w:gridSpan w:val="7"/>
          </w:tcPr>
          <w:p>
            <w:pPr>
              <w:spacing w:after="0" w:line="153" w:lineRule="exact"/>
              <w:rPr>
                <w:rFonts w:ascii="Arial" w:cs="Arial" w:eastAsia="Arial" w:hAnsi="Arial"/>
                <w:sz w:val="17"/>
                <w:szCs w:val="17"/>
                <w:color w:val="0000FF"/>
                <w:w w:val="98"/>
              </w:rPr>
            </w:pPr>
            <w:hyperlink r:id="rId151">
              <w:r>
                <w:rPr>
                  <w:rFonts w:ascii="Arial" w:cs="Arial" w:eastAsia="Arial" w:hAnsi="Arial"/>
                  <w:sz w:val="17"/>
                  <w:szCs w:val="17"/>
                  <w:color w:val="0000FF"/>
                  <w:w w:val="98"/>
                </w:rPr>
                <w:t>to</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0" w:type="dxa"/>
            <w:vAlign w:val="bottom"/>
            <w:tcBorders>
              <w:top w:val="single" w:sz="8" w:color="0000FF"/>
              <w:bottom w:val="single" w:sz="8" w:color="0000FF"/>
            </w:tcBorders>
            <w:gridSpan w:val="11"/>
          </w:tcPr>
          <w:p>
            <w:pPr>
              <w:spacing w:after="0" w:line="153" w:lineRule="exact"/>
              <w:rPr>
                <w:rFonts w:ascii="Arial" w:cs="Arial" w:eastAsia="Arial" w:hAnsi="Arial"/>
                <w:sz w:val="17"/>
                <w:szCs w:val="17"/>
                <w:color w:val="0000FF"/>
                <w:w w:val="96"/>
              </w:rPr>
            </w:pPr>
            <w:hyperlink r:id="rId151">
              <w:r>
                <w:rPr>
                  <w:rFonts w:ascii="Arial" w:cs="Arial" w:eastAsia="Arial" w:hAnsi="Arial"/>
                  <w:sz w:val="17"/>
                  <w:szCs w:val="17"/>
                  <w:color w:val="0000FF"/>
                  <w:w w:val="96"/>
                </w:rPr>
                <w:t>Exhibit 10.1 to the current report on Form 8-K of Casella as filed April 5, 2013 (file no. 000-23211)).</w:t>
              </w:r>
            </w:hyperlink>
          </w:p>
        </w:tc>
        <w:tc>
          <w:tcPr>
            <w:tcW w:w="206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923"/>
        </w:trPr>
        <w:tc>
          <w:tcPr>
            <w:tcW w:w="1460" w:type="dxa"/>
            <w:vAlign w:val="bottom"/>
          </w:tcPr>
          <w:p>
            <w:pPr>
              <w:spacing w:after="0"/>
              <w:rPr>
                <w:sz w:val="24"/>
                <w:szCs w:val="24"/>
                <w:color w:val="auto"/>
              </w:rPr>
            </w:pPr>
          </w:p>
        </w:tc>
        <w:tc>
          <w:tcPr>
            <w:tcW w:w="4480" w:type="dxa"/>
            <w:vAlign w:val="bottom"/>
            <w:gridSpan w:val="6"/>
          </w:tcPr>
          <w:p>
            <w:pPr>
              <w:ind w:left="4040"/>
              <w:spacing w:after="0"/>
              <w:rPr>
                <w:sz w:val="20"/>
                <w:szCs w:val="20"/>
                <w:color w:val="auto"/>
              </w:rPr>
            </w:pPr>
            <w:r>
              <w:rPr>
                <w:rFonts w:ascii="Arial" w:cs="Arial" w:eastAsia="Arial" w:hAnsi="Arial"/>
                <w:sz w:val="18"/>
                <w:szCs w:val="18"/>
                <w:color w:val="auto"/>
              </w:rPr>
              <w:t>105</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4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jc w:val="right"/>
              <w:spacing w:after="0"/>
              <w:rPr>
                <w:sz w:val="20"/>
                <w:szCs w:val="20"/>
                <w:color w:val="auto"/>
              </w:rPr>
            </w:pPr>
            <w:r>
              <w:rPr>
                <w:rFonts w:ascii="Arial" w:cs="Arial" w:eastAsia="Arial" w:hAnsi="Arial"/>
                <w:sz w:val="14"/>
                <w:szCs w:val="14"/>
                <w:b w:val="1"/>
                <w:bCs w:val="1"/>
                <w:color w:val="0000FF"/>
                <w:w w:val="89"/>
              </w:rPr>
              <w:t>Table of Contents</w:t>
            </w:r>
          </w:p>
        </w:tc>
        <w:tc>
          <w:tcPr>
            <w:tcW w:w="8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8"/>
        </w:trPr>
        <w:tc>
          <w:tcPr>
            <w:tcW w:w="1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20" w:type="dxa"/>
            <w:vAlign w:val="bottom"/>
            <w:gridSpan w:val="31"/>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7"/>
              </w:rPr>
              <w:t>No.</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20" w:type="dxa"/>
            <w:vAlign w:val="bottom"/>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Borders>
              <w:top w:val="single" w:sz="8" w:color="auto"/>
            </w:tcBorders>
          </w:tcPr>
          <w:p>
            <w:pPr>
              <w:jc w:val="right"/>
              <w:ind w:right="454"/>
              <w:spacing w:after="0"/>
              <w:rPr>
                <w:sz w:val="20"/>
                <w:szCs w:val="20"/>
                <w:color w:val="auto"/>
              </w:rPr>
            </w:pPr>
            <w:r>
              <w:rPr>
                <w:rFonts w:ascii="Arial" w:cs="Arial" w:eastAsia="Arial" w:hAnsi="Arial"/>
                <w:sz w:val="18"/>
                <w:szCs w:val="18"/>
                <w:color w:val="auto"/>
              </w:rPr>
              <w:t>4.10</w:t>
            </w: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340" w:type="dxa"/>
            <w:vAlign w:val="bottom"/>
            <w:tcBorders>
              <w:top w:val="single" w:sz="8" w:color="auto"/>
            </w:tcBorders>
            <w:gridSpan w:val="39"/>
          </w:tcPr>
          <w:p>
            <w:pPr>
              <w:spacing w:after="0"/>
              <w:rPr>
                <w:rFonts w:ascii="Arial" w:cs="Arial" w:eastAsia="Arial" w:hAnsi="Arial"/>
                <w:sz w:val="18"/>
                <w:szCs w:val="18"/>
                <w:color w:val="0000FF"/>
                <w:w w:val="94"/>
              </w:rPr>
            </w:pPr>
            <w:hyperlink r:id="rId154">
              <w:r>
                <w:rPr>
                  <w:rFonts w:ascii="Arial" w:cs="Arial" w:eastAsia="Arial" w:hAnsi="Arial"/>
                  <w:sz w:val="18"/>
                  <w:szCs w:val="18"/>
                  <w:color w:val="0000FF"/>
                  <w:w w:val="94"/>
                </w:rPr>
                <w:t>VEDA Guaranty Agreement, dated as of March 1, 2013, by and among U.S. Bank National Association, as Trustee, and the</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gridSpan w:val="39"/>
          </w:tcPr>
          <w:p>
            <w:pPr>
              <w:spacing w:after="0" w:line="153" w:lineRule="exact"/>
              <w:rPr>
                <w:rFonts w:ascii="Arial" w:cs="Arial" w:eastAsia="Arial" w:hAnsi="Arial"/>
                <w:sz w:val="17"/>
                <w:szCs w:val="17"/>
                <w:color w:val="0000FF"/>
                <w:w w:val="96"/>
              </w:rPr>
            </w:pPr>
            <w:hyperlink r:id="rId154">
              <w:r>
                <w:rPr>
                  <w:rFonts w:ascii="Arial" w:cs="Arial" w:eastAsia="Arial" w:hAnsi="Arial"/>
                  <w:sz w:val="17"/>
                  <w:szCs w:val="17"/>
                  <w:color w:val="0000FF"/>
                  <w:w w:val="96"/>
                </w:rPr>
                <w:t>guarantors identified therein (incorporated herein by reference to Exhibit 4.8 to the annual report on Form 10-K of Casella as filed</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tcBorders>
              <w:top w:val="single" w:sz="8" w:color="0000FF"/>
            </w:tcBorders>
            <w:gridSpan w:val="35"/>
          </w:tcPr>
          <w:p>
            <w:pPr>
              <w:spacing w:after="0" w:line="166" w:lineRule="exact"/>
              <w:rPr>
                <w:rFonts w:ascii="Arial" w:cs="Arial" w:eastAsia="Arial" w:hAnsi="Arial"/>
                <w:sz w:val="18"/>
                <w:szCs w:val="18"/>
                <w:color w:val="0000FF"/>
              </w:rPr>
            </w:pPr>
            <w:hyperlink r:id="rId154">
              <w:r>
                <w:rPr>
                  <w:rFonts w:ascii="Arial" w:cs="Arial" w:eastAsia="Arial" w:hAnsi="Arial"/>
                  <w:sz w:val="18"/>
                  <w:szCs w:val="18"/>
                  <w:color w:val="0000FF"/>
                </w:rPr>
                <w:t>on June 27, 2014 (file no. 000-23211)).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jc w:val="right"/>
              <w:ind w:right="474"/>
              <w:spacing w:after="0"/>
              <w:rPr>
                <w:sz w:val="20"/>
                <w:szCs w:val="20"/>
                <w:color w:val="auto"/>
              </w:rPr>
            </w:pPr>
            <w:r>
              <w:rPr>
                <w:rFonts w:ascii="Arial" w:cs="Arial" w:eastAsia="Arial" w:hAnsi="Arial"/>
                <w:sz w:val="18"/>
                <w:szCs w:val="18"/>
                <w:color w:val="auto"/>
              </w:rPr>
              <w:t>4.11</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40" w:type="dxa"/>
            <w:vAlign w:val="bottom"/>
            <w:tcBorders>
              <w:bottom w:val="single" w:sz="8" w:color="0000FF"/>
            </w:tcBorders>
            <w:gridSpan w:val="16"/>
          </w:tcPr>
          <w:p>
            <w:pPr>
              <w:spacing w:after="0"/>
              <w:rPr>
                <w:rFonts w:ascii="Arial" w:cs="Arial" w:eastAsia="Arial" w:hAnsi="Arial"/>
                <w:sz w:val="18"/>
                <w:szCs w:val="18"/>
                <w:color w:val="0000FF"/>
                <w:w w:val="88"/>
              </w:rPr>
            </w:pPr>
            <w:hyperlink r:id="rId155">
              <w:r>
                <w:rPr>
                  <w:rFonts w:ascii="Arial" w:cs="Arial" w:eastAsia="Arial" w:hAnsi="Arial"/>
                  <w:sz w:val="18"/>
                  <w:szCs w:val="18"/>
                  <w:color w:val="0000FF"/>
                  <w:w w:val="88"/>
                </w:rPr>
                <w:t>Financing Agreement dated as of March 1, 2013 between Casella and the Business Finance Authority of the State of New</w:t>
              </w:r>
            </w:hyperlink>
          </w:p>
        </w:tc>
        <w:tc>
          <w:tcPr>
            <w:tcW w:w="700" w:type="dxa"/>
            <w:vAlign w:val="bottom"/>
            <w:gridSpan w:val="23"/>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gridSpan w:val="39"/>
          </w:tcPr>
          <w:p>
            <w:pPr>
              <w:spacing w:after="0" w:line="153" w:lineRule="exact"/>
              <w:rPr>
                <w:rFonts w:ascii="Arial" w:cs="Arial" w:eastAsia="Arial" w:hAnsi="Arial"/>
                <w:sz w:val="17"/>
                <w:szCs w:val="17"/>
                <w:color w:val="0000FF"/>
                <w:w w:val="98"/>
              </w:rPr>
            </w:pPr>
            <w:hyperlink r:id="rId155">
              <w:r>
                <w:rPr>
                  <w:rFonts w:ascii="Arial" w:cs="Arial" w:eastAsia="Arial" w:hAnsi="Arial"/>
                  <w:sz w:val="17"/>
                  <w:szCs w:val="17"/>
                  <w:color w:val="0000FF"/>
                  <w:w w:val="98"/>
                </w:rPr>
                <w:t>Hampshire, relating to issuance of Business Finance Authority of the State of New Hampshire Solid Waste Disposal Revenue</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20" w:type="dxa"/>
            <w:vAlign w:val="bottom"/>
            <w:tcBorders>
              <w:top w:val="single" w:sz="8" w:color="0000FF"/>
            </w:tcBorders>
            <w:gridSpan w:val="23"/>
          </w:tcPr>
          <w:p>
            <w:pPr>
              <w:spacing w:after="0" w:line="166" w:lineRule="exact"/>
              <w:rPr>
                <w:rFonts w:ascii="Arial" w:cs="Arial" w:eastAsia="Arial" w:hAnsi="Arial"/>
                <w:sz w:val="18"/>
                <w:szCs w:val="18"/>
                <w:color w:val="0000FF"/>
                <w:w w:val="90"/>
              </w:rPr>
            </w:pPr>
            <w:hyperlink r:id="rId155">
              <w:r>
                <w:rPr>
                  <w:rFonts w:ascii="Arial" w:cs="Arial" w:eastAsia="Arial" w:hAnsi="Arial"/>
                  <w:sz w:val="18"/>
                  <w:szCs w:val="18"/>
                  <w:color w:val="0000FF"/>
                  <w:w w:val="90"/>
                </w:rPr>
                <w:t>Bonds (incorporated herein by reference to Exhibit 10.2 to the current report on Form 8-K of Casella as filed on April 5, 2013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13"/>
          </w:tcPr>
          <w:p>
            <w:pPr>
              <w:spacing w:after="0" w:line="166" w:lineRule="exact"/>
              <w:rPr>
                <w:rFonts w:ascii="Arial" w:cs="Arial" w:eastAsia="Arial" w:hAnsi="Arial"/>
                <w:sz w:val="18"/>
                <w:szCs w:val="18"/>
                <w:color w:val="0000FF"/>
              </w:rPr>
            </w:pPr>
            <w:hyperlink r:id="rId155">
              <w:r>
                <w:rPr>
                  <w:rFonts w:ascii="Arial" w:cs="Arial" w:eastAsia="Arial" w:hAnsi="Arial"/>
                  <w:sz w:val="18"/>
                  <w:szCs w:val="18"/>
                  <w:color w:val="0000FF"/>
                </w:rPr>
                <w:t>(file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3"/>
              </w:rPr>
            </w:pPr>
            <w:hyperlink r:id="rId155">
              <w:r>
                <w:rPr>
                  <w:rFonts w:ascii="Arial" w:cs="Arial" w:eastAsia="Arial" w:hAnsi="Arial"/>
                  <w:sz w:val="17"/>
                  <w:szCs w:val="17"/>
                  <w:color w:val="0000FF"/>
                  <w:w w:val="93"/>
                </w:rPr>
                <w:t>no. 000-23211)).</w:t>
              </w:r>
            </w:hyperlink>
          </w:p>
        </w:tc>
        <w:tc>
          <w:tcPr>
            <w:tcW w:w="8100" w:type="dxa"/>
            <w:vAlign w:val="bottom"/>
            <w:tcBorders>
              <w:top w:val="single" w:sz="8" w:color="0000FF"/>
            </w:tcBorders>
            <w:gridSpan w:val="3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454"/>
              <w:spacing w:after="0"/>
              <w:rPr>
                <w:sz w:val="20"/>
                <w:szCs w:val="20"/>
                <w:color w:val="auto"/>
              </w:rPr>
            </w:pPr>
            <w:r>
              <w:rPr>
                <w:rFonts w:ascii="Arial" w:cs="Arial" w:eastAsia="Arial" w:hAnsi="Arial"/>
                <w:sz w:val="18"/>
                <w:szCs w:val="18"/>
                <w:color w:val="auto"/>
              </w:rPr>
              <w:t>4.12</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9"/>
          </w:tcPr>
          <w:p>
            <w:pPr>
              <w:spacing w:after="0"/>
              <w:rPr>
                <w:rFonts w:ascii="Arial" w:cs="Arial" w:eastAsia="Arial" w:hAnsi="Arial"/>
                <w:sz w:val="18"/>
                <w:szCs w:val="18"/>
                <w:color w:val="0000FF"/>
                <w:w w:val="93"/>
              </w:rPr>
            </w:pPr>
            <w:hyperlink r:id="rId156">
              <w:r>
                <w:rPr>
                  <w:rFonts w:ascii="Arial" w:cs="Arial" w:eastAsia="Arial" w:hAnsi="Arial"/>
                  <w:sz w:val="18"/>
                  <w:szCs w:val="18"/>
                  <w:color w:val="0000FF"/>
                  <w:w w:val="93"/>
                </w:rPr>
                <w:t>Financing Agreement between Casella and Finance Authority of Maine, dated as of December 1, 2005, relating to issuance of</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24"/>
          </w:tcPr>
          <w:p>
            <w:pPr>
              <w:spacing w:after="0" w:line="153" w:lineRule="exact"/>
              <w:rPr>
                <w:rFonts w:ascii="Arial" w:cs="Arial" w:eastAsia="Arial" w:hAnsi="Arial"/>
                <w:sz w:val="17"/>
                <w:szCs w:val="17"/>
                <w:color w:val="0000FF"/>
              </w:rPr>
            </w:pPr>
            <w:hyperlink r:id="rId156">
              <w:r>
                <w:rPr>
                  <w:rFonts w:ascii="Arial" w:cs="Arial" w:eastAsia="Arial" w:hAnsi="Arial"/>
                  <w:sz w:val="17"/>
                  <w:szCs w:val="17"/>
                  <w:color w:val="0000FF"/>
                </w:rPr>
                <w:t>Finance Authority of Maine Solid Waste Disposal Revenue Bonds (Casella Waste Services, Inc. Project) Series 2005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80" w:type="dxa"/>
            <w:vAlign w:val="bottom"/>
            <w:tcBorders>
              <w:top w:val="single" w:sz="8" w:color="0000FF"/>
            </w:tcBorders>
            <w:gridSpan w:val="11"/>
          </w:tcPr>
          <w:p>
            <w:pPr>
              <w:spacing w:after="0" w:line="166" w:lineRule="exact"/>
              <w:rPr>
                <w:rFonts w:ascii="Arial" w:cs="Arial" w:eastAsia="Arial" w:hAnsi="Arial"/>
                <w:sz w:val="18"/>
                <w:szCs w:val="18"/>
                <w:color w:val="0000FF"/>
                <w:w w:val="90"/>
              </w:rPr>
            </w:pPr>
            <w:hyperlink r:id="rId156">
              <w:r>
                <w:rPr>
                  <w:rFonts w:ascii="Arial" w:cs="Arial" w:eastAsia="Arial" w:hAnsi="Arial"/>
                  <w:sz w:val="18"/>
                  <w:szCs w:val="18"/>
                  <w:color w:val="0000FF"/>
                  <w:w w:val="90"/>
                </w:rPr>
                <w:t>(incorporated herein by reference to Exhibit 10.1 to the current report on Form 8-K of Casella as filed on January 4,</w:t>
              </w:r>
            </w:hyperlink>
          </w:p>
        </w:tc>
        <w:tc>
          <w:tcPr>
            <w:tcW w:w="1060" w:type="dxa"/>
            <w:vAlign w:val="bottom"/>
            <w:gridSpan w:val="28"/>
          </w:tcPr>
          <w:p>
            <w:pPr>
              <w:spacing w:after="0" w:line="166" w:lineRule="exact"/>
              <w:rPr>
                <w:rFonts w:ascii="Arial" w:cs="Arial" w:eastAsia="Arial" w:hAnsi="Arial"/>
                <w:sz w:val="18"/>
                <w:szCs w:val="18"/>
                <w:color w:val="0000FF"/>
              </w:rPr>
            </w:pPr>
            <w:hyperlink r:id="rId156">
              <w:r>
                <w:rPr>
                  <w:rFonts w:ascii="Arial" w:cs="Arial" w:eastAsia="Arial" w:hAnsi="Arial"/>
                  <w:sz w:val="18"/>
                  <w:szCs w:val="18"/>
                  <w:color w:val="0000FF"/>
                </w:rPr>
                <w:t>2006 (file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3"/>
              </w:rPr>
            </w:pPr>
            <w:hyperlink r:id="rId156">
              <w:r>
                <w:rPr>
                  <w:rFonts w:ascii="Arial" w:cs="Arial" w:eastAsia="Arial" w:hAnsi="Arial"/>
                  <w:sz w:val="17"/>
                  <w:szCs w:val="17"/>
                  <w:color w:val="0000FF"/>
                  <w:w w:val="93"/>
                </w:rPr>
                <w:t>no. 000-23211)).</w:t>
              </w:r>
            </w:hyperlink>
          </w:p>
        </w:tc>
        <w:tc>
          <w:tcPr>
            <w:tcW w:w="7780" w:type="dxa"/>
            <w:vAlign w:val="bottom"/>
            <w:tcBorders>
              <w:top w:val="single" w:sz="8" w:color="0000FF"/>
            </w:tcBorders>
            <w:gridSpan w:val="24"/>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454"/>
              <w:spacing w:after="0"/>
              <w:rPr>
                <w:sz w:val="20"/>
                <w:szCs w:val="20"/>
                <w:color w:val="auto"/>
              </w:rPr>
            </w:pPr>
            <w:r>
              <w:rPr>
                <w:rFonts w:ascii="Arial" w:cs="Arial" w:eastAsia="Arial" w:hAnsi="Arial"/>
                <w:sz w:val="18"/>
                <w:szCs w:val="18"/>
                <w:color w:val="auto"/>
              </w:rPr>
              <w:t>4.13</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9"/>
          </w:tcPr>
          <w:p>
            <w:pPr>
              <w:spacing w:after="0"/>
              <w:rPr>
                <w:rFonts w:ascii="Arial" w:cs="Arial" w:eastAsia="Arial" w:hAnsi="Arial"/>
                <w:sz w:val="18"/>
                <w:szCs w:val="18"/>
                <w:color w:val="0000FF"/>
                <w:w w:val="92"/>
              </w:rPr>
            </w:pPr>
            <w:hyperlink r:id="rId157">
              <w:r>
                <w:rPr>
                  <w:rFonts w:ascii="Arial" w:cs="Arial" w:eastAsia="Arial" w:hAnsi="Arial"/>
                  <w:sz w:val="18"/>
                  <w:szCs w:val="18"/>
                  <w:color w:val="0000FF"/>
                  <w:w w:val="92"/>
                </w:rPr>
                <w:t>First Amendment dated as of February 1, 2012 to Financing Agreement dated as of December 1, 2005, by and among Finance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25"/>
          </w:tcPr>
          <w:p>
            <w:pPr>
              <w:spacing w:after="0" w:line="153" w:lineRule="exact"/>
              <w:rPr>
                <w:rFonts w:ascii="Arial" w:cs="Arial" w:eastAsia="Arial" w:hAnsi="Arial"/>
                <w:sz w:val="17"/>
                <w:szCs w:val="17"/>
                <w:color w:val="0000FF"/>
                <w:w w:val="93"/>
              </w:rPr>
            </w:pPr>
            <w:hyperlink r:id="rId157">
              <w:r>
                <w:rPr>
                  <w:rFonts w:ascii="Arial" w:cs="Arial" w:eastAsia="Arial" w:hAnsi="Arial"/>
                  <w:sz w:val="17"/>
                  <w:szCs w:val="17"/>
                  <w:color w:val="0000FF"/>
                  <w:w w:val="93"/>
                </w:rPr>
                <w:t>Authority of Maine, U.S. Bank National Association, as Trustee, Bank of America, as Credit Provider, and Casella (incorporated</w:t>
              </w:r>
            </w:hyperlink>
          </w:p>
        </w:tc>
        <w:tc>
          <w:tcPr>
            <w:tcW w:w="6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40" w:type="dxa"/>
            <w:vAlign w:val="bottom"/>
            <w:gridSpan w:val="29"/>
          </w:tcPr>
          <w:p>
            <w:pPr>
              <w:spacing w:after="0" w:line="166" w:lineRule="exact"/>
              <w:rPr>
                <w:rFonts w:ascii="Arial" w:cs="Arial" w:eastAsia="Arial" w:hAnsi="Arial"/>
                <w:sz w:val="18"/>
                <w:szCs w:val="18"/>
                <w:color w:val="0000FF"/>
                <w:w w:val="94"/>
              </w:rPr>
            </w:pPr>
            <w:hyperlink r:id="rId157">
              <w:r>
                <w:rPr>
                  <w:rFonts w:ascii="Arial" w:cs="Arial" w:eastAsia="Arial" w:hAnsi="Arial"/>
                  <w:sz w:val="18"/>
                  <w:szCs w:val="18"/>
                  <w:color w:val="0000FF"/>
                  <w:w w:val="94"/>
                </w:rPr>
                <w:t>herein by reference to Exhibit 10.1 to the quarterly report on Form 10-Q of Casella as filed on March 2, 2012 (file no. 000-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1"/>
              </w:rPr>
            </w:pPr>
            <w:hyperlink r:id="rId157">
              <w:r>
                <w:rPr>
                  <w:rFonts w:ascii="Arial" w:cs="Arial" w:eastAsia="Arial" w:hAnsi="Arial"/>
                  <w:sz w:val="17"/>
                  <w:szCs w:val="17"/>
                  <w:color w:val="0000FF"/>
                  <w:w w:val="91"/>
                </w:rPr>
                <w:t>23211)</w:t>
              </w:r>
              <w:r>
                <w:rPr>
                  <w:rFonts w:ascii="Arial" w:cs="Arial" w:eastAsia="Arial" w:hAnsi="Arial"/>
                  <w:sz w:val="17"/>
                  <w:szCs w:val="17"/>
                  <w:u w:val="single" w:color="auto"/>
                  <w:color w:val="0000FF"/>
                  <w:w w:val="91"/>
                </w:rPr>
                <w:t>)</w:t>
              </w:r>
              <w:r>
                <w:rPr>
                  <w:rFonts w:ascii="Arial" w:cs="Arial" w:eastAsia="Arial" w:hAnsi="Arial"/>
                  <w:sz w:val="17"/>
                  <w:szCs w:val="17"/>
                  <w:color w:val="0000FF"/>
                  <w:w w:val="91"/>
                </w:rPr>
                <w:t>.</w:t>
              </w:r>
            </w:hyperlink>
          </w:p>
        </w:tc>
        <w:tc>
          <w:tcPr>
            <w:tcW w:w="6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26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454"/>
              <w:spacing w:after="0"/>
              <w:rPr>
                <w:sz w:val="20"/>
                <w:szCs w:val="20"/>
                <w:color w:val="auto"/>
              </w:rPr>
            </w:pPr>
            <w:r>
              <w:rPr>
                <w:rFonts w:ascii="Arial" w:cs="Arial" w:eastAsia="Arial" w:hAnsi="Arial"/>
                <w:sz w:val="18"/>
                <w:szCs w:val="18"/>
                <w:color w:val="auto"/>
              </w:rPr>
              <w:t>4.14</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9"/>
          </w:tcPr>
          <w:p>
            <w:pPr>
              <w:spacing w:after="0"/>
              <w:rPr>
                <w:rFonts w:ascii="Arial" w:cs="Arial" w:eastAsia="Arial" w:hAnsi="Arial"/>
                <w:sz w:val="18"/>
                <w:szCs w:val="18"/>
                <w:color w:val="0000FF"/>
                <w:w w:val="89"/>
              </w:rPr>
            </w:pPr>
            <w:hyperlink r:id="rId158">
              <w:r>
                <w:rPr>
                  <w:rFonts w:ascii="Arial" w:cs="Arial" w:eastAsia="Arial" w:hAnsi="Arial"/>
                  <w:sz w:val="18"/>
                  <w:szCs w:val="18"/>
                  <w:color w:val="0000FF"/>
                  <w:w w:val="89"/>
                </w:rPr>
                <w:t>Second Amendment dated as of February 1, 2017 to Financing Agreement dated as of December 1, 2005, by and among Finance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30"/>
          </w:tcPr>
          <w:p>
            <w:pPr>
              <w:spacing w:after="0" w:line="153" w:lineRule="exact"/>
              <w:rPr>
                <w:rFonts w:ascii="Arial" w:cs="Arial" w:eastAsia="Arial" w:hAnsi="Arial"/>
                <w:sz w:val="17"/>
                <w:szCs w:val="17"/>
                <w:color w:val="0000FF"/>
                <w:w w:val="95"/>
              </w:rPr>
            </w:pPr>
            <w:hyperlink r:id="rId158">
              <w:r>
                <w:rPr>
                  <w:rFonts w:ascii="Arial" w:cs="Arial" w:eastAsia="Arial" w:hAnsi="Arial"/>
                  <w:sz w:val="17"/>
                  <w:szCs w:val="17"/>
                  <w:color w:val="0000FF"/>
                  <w:w w:val="95"/>
                </w:rPr>
                <w:t>Authority of Maine, U.S. Bank National Association, as Trustee, Bank of America, as Credit Provider, and Casella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40" w:type="dxa"/>
            <w:vAlign w:val="bottom"/>
            <w:tcBorders>
              <w:top w:val="single" w:sz="8" w:color="0000FF"/>
            </w:tcBorders>
            <w:gridSpan w:val="29"/>
          </w:tcPr>
          <w:p>
            <w:pPr>
              <w:spacing w:after="0" w:line="166" w:lineRule="exact"/>
              <w:rPr>
                <w:rFonts w:ascii="Arial" w:cs="Arial" w:eastAsia="Arial" w:hAnsi="Arial"/>
                <w:sz w:val="18"/>
                <w:szCs w:val="18"/>
                <w:color w:val="0000FF"/>
                <w:w w:val="97"/>
              </w:rPr>
            </w:pPr>
            <w:hyperlink r:id="rId158">
              <w:r>
                <w:rPr>
                  <w:rFonts w:ascii="Arial" w:cs="Arial" w:eastAsia="Arial" w:hAnsi="Arial"/>
                  <w:sz w:val="18"/>
                  <w:szCs w:val="18"/>
                  <w:color w:val="0000FF"/>
                  <w:w w:val="97"/>
                </w:rPr>
                <w:t>herein by reference to Exhibit 4.2 to the current report on Form 8-K as filed on February 7, 2017 (file no. 000-23211)).</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jc w:val="right"/>
              <w:ind w:right="454"/>
              <w:spacing w:after="0"/>
              <w:rPr>
                <w:sz w:val="20"/>
                <w:szCs w:val="20"/>
                <w:color w:val="auto"/>
              </w:rPr>
            </w:pPr>
            <w:r>
              <w:rPr>
                <w:rFonts w:ascii="Arial" w:cs="Arial" w:eastAsia="Arial" w:hAnsi="Arial"/>
                <w:sz w:val="18"/>
                <w:szCs w:val="18"/>
                <w:color w:val="auto"/>
              </w:rPr>
              <w:t>4.15</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9"/>
          </w:tcPr>
          <w:p>
            <w:pPr>
              <w:spacing w:after="0"/>
              <w:rPr>
                <w:rFonts w:ascii="Arial" w:cs="Arial" w:eastAsia="Arial" w:hAnsi="Arial"/>
                <w:sz w:val="18"/>
                <w:szCs w:val="18"/>
                <w:color w:val="0000FF"/>
                <w:w w:val="89"/>
              </w:rPr>
            </w:pPr>
            <w:hyperlink r:id="rId159">
              <w:r>
                <w:rPr>
                  <w:rFonts w:ascii="Arial" w:cs="Arial" w:eastAsia="Arial" w:hAnsi="Arial"/>
                  <w:sz w:val="18"/>
                  <w:szCs w:val="18"/>
                  <w:color w:val="0000FF"/>
                  <w:w w:val="89"/>
                </w:rPr>
                <w:t>FAME Amended and Restated Guaranty Agreement, dated as of February 1, 2017, by and among U.S. Bank National Association,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38"/>
          </w:tcPr>
          <w:p>
            <w:pPr>
              <w:spacing w:after="0" w:line="153" w:lineRule="exact"/>
              <w:rPr>
                <w:rFonts w:ascii="Arial" w:cs="Arial" w:eastAsia="Arial" w:hAnsi="Arial"/>
                <w:sz w:val="17"/>
                <w:szCs w:val="17"/>
                <w:color w:val="0000FF"/>
                <w:w w:val="95"/>
              </w:rPr>
            </w:pPr>
            <w:hyperlink r:id="rId159">
              <w:r>
                <w:rPr>
                  <w:rFonts w:ascii="Arial" w:cs="Arial" w:eastAsia="Arial" w:hAnsi="Arial"/>
                  <w:sz w:val="17"/>
                  <w:szCs w:val="17"/>
                  <w:color w:val="0000FF"/>
                  <w:w w:val="95"/>
                </w:rPr>
                <w:t>as Trustee, and the guarantors identified therein (incorporated herein by reference to Exhibit 4.1 to the current report on Form 8-K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bottom w:val="single" w:sz="8" w:color="0000FF"/>
            </w:tcBorders>
            <w:gridSpan w:val="9"/>
          </w:tcPr>
          <w:p>
            <w:pPr>
              <w:spacing w:after="0" w:line="166" w:lineRule="exact"/>
              <w:rPr>
                <w:rFonts w:ascii="Arial" w:cs="Arial" w:eastAsia="Arial" w:hAnsi="Arial"/>
                <w:sz w:val="18"/>
                <w:szCs w:val="18"/>
                <w:color w:val="0000FF"/>
                <w:w w:val="89"/>
              </w:rPr>
            </w:pPr>
            <w:hyperlink r:id="rId159">
              <w:r>
                <w:rPr>
                  <w:rFonts w:ascii="Arial" w:cs="Arial" w:eastAsia="Arial" w:hAnsi="Arial"/>
                  <w:sz w:val="18"/>
                  <w:szCs w:val="18"/>
                  <w:color w:val="0000FF"/>
                  <w:w w:val="89"/>
                </w:rPr>
                <w:t>of Casella as filed on February 7, 2017 (file no. 000-23211)).</w:t>
              </w:r>
            </w:hyperlink>
          </w:p>
        </w:tc>
        <w:tc>
          <w:tcPr>
            <w:tcW w:w="4900" w:type="dxa"/>
            <w:vAlign w:val="bottom"/>
            <w:tcBorders>
              <w:top w:val="single" w:sz="8" w:color="0000FF"/>
            </w:tcBorders>
            <w:gridSpan w:val="25"/>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454"/>
              <w:spacing w:after="0"/>
              <w:rPr>
                <w:sz w:val="20"/>
                <w:szCs w:val="20"/>
                <w:color w:val="auto"/>
              </w:rPr>
            </w:pPr>
            <w:r>
              <w:rPr>
                <w:rFonts w:ascii="Arial" w:cs="Arial" w:eastAsia="Arial" w:hAnsi="Arial"/>
                <w:sz w:val="18"/>
                <w:szCs w:val="18"/>
                <w:color w:val="auto"/>
              </w:rPr>
              <w:t>4.16</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9"/>
          </w:tcPr>
          <w:p>
            <w:pPr>
              <w:spacing w:after="0"/>
              <w:rPr>
                <w:rFonts w:ascii="Arial" w:cs="Arial" w:eastAsia="Arial" w:hAnsi="Arial"/>
                <w:sz w:val="18"/>
                <w:szCs w:val="18"/>
                <w:color w:val="0000FF"/>
                <w:w w:val="93"/>
              </w:rPr>
            </w:pPr>
            <w:hyperlink r:id="rId160">
              <w:r>
                <w:rPr>
                  <w:rFonts w:ascii="Arial" w:cs="Arial" w:eastAsia="Arial" w:hAnsi="Arial"/>
                  <w:sz w:val="18"/>
                  <w:szCs w:val="18"/>
                  <w:color w:val="0000FF"/>
                  <w:w w:val="93"/>
                </w:rPr>
                <w:t>Loan Agreement, dated as of September 1, 2020, between New York State Environmental Facilities Corporation and Casella</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19"/>
          </w:tcPr>
          <w:p>
            <w:pPr>
              <w:spacing w:after="0" w:line="153" w:lineRule="exact"/>
              <w:rPr>
                <w:rFonts w:ascii="Arial" w:cs="Arial" w:eastAsia="Arial" w:hAnsi="Arial"/>
                <w:sz w:val="17"/>
                <w:szCs w:val="17"/>
                <w:color w:val="0000FF"/>
                <w:w w:val="94"/>
              </w:rPr>
            </w:pPr>
            <w:hyperlink r:id="rId160">
              <w:r>
                <w:rPr>
                  <w:rFonts w:ascii="Arial" w:cs="Arial" w:eastAsia="Arial" w:hAnsi="Arial"/>
                  <w:sz w:val="17"/>
                  <w:szCs w:val="17"/>
                  <w:color w:val="0000FF"/>
                  <w:w w:val="94"/>
                </w:rPr>
                <w:t>Waste Systems, Inc (incorporated herein by reference to Exhibit 4.1 to the Current Report on Form 8-K of Casella as filed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20" w:type="dxa"/>
            <w:vAlign w:val="bottom"/>
            <w:tcBorders>
              <w:bottom w:val="single" w:sz="8" w:color="0000FF"/>
            </w:tcBorders>
            <w:gridSpan w:val="6"/>
          </w:tcPr>
          <w:p>
            <w:pPr>
              <w:spacing w:after="0" w:line="166" w:lineRule="exact"/>
              <w:rPr>
                <w:rFonts w:ascii="Arial" w:cs="Arial" w:eastAsia="Arial" w:hAnsi="Arial"/>
                <w:sz w:val="18"/>
                <w:szCs w:val="18"/>
                <w:color w:val="0000FF"/>
                <w:w w:val="89"/>
              </w:rPr>
            </w:pPr>
            <w:hyperlink r:id="rId160">
              <w:r>
                <w:rPr>
                  <w:rFonts w:ascii="Arial" w:cs="Arial" w:eastAsia="Arial" w:hAnsi="Arial"/>
                  <w:sz w:val="18"/>
                  <w:szCs w:val="18"/>
                  <w:color w:val="0000FF"/>
                  <w:w w:val="89"/>
                </w:rPr>
                <w:t>September 2, 2020 (file no. 000-23211)).</w:t>
              </w:r>
            </w:hyperlink>
          </w:p>
        </w:tc>
        <w:tc>
          <w:tcPr>
            <w:tcW w:w="5980" w:type="dxa"/>
            <w:vAlign w:val="bottom"/>
            <w:gridSpan w:val="16"/>
          </w:tcPr>
          <w:p>
            <w:pPr>
              <w:spacing w:after="0"/>
              <w:rPr>
                <w:sz w:val="14"/>
                <w:szCs w:val="14"/>
                <w:color w:val="auto"/>
              </w:rPr>
            </w:pPr>
          </w:p>
        </w:tc>
        <w:tc>
          <w:tcPr>
            <w:tcW w:w="12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080" w:type="dxa"/>
            <w:vAlign w:val="bottom"/>
          </w:tcPr>
          <w:p>
            <w:pPr>
              <w:jc w:val="right"/>
              <w:ind w:right="454"/>
              <w:spacing w:after="0"/>
              <w:rPr>
                <w:sz w:val="20"/>
                <w:szCs w:val="20"/>
                <w:color w:val="auto"/>
              </w:rPr>
            </w:pPr>
            <w:r>
              <w:rPr>
                <w:rFonts w:ascii="Arial" w:cs="Arial" w:eastAsia="Arial" w:hAnsi="Arial"/>
                <w:sz w:val="18"/>
                <w:szCs w:val="18"/>
                <w:color w:val="auto"/>
              </w:rPr>
              <w:t>4.17</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40" w:type="dxa"/>
            <w:vAlign w:val="bottom"/>
            <w:gridSpan w:val="39"/>
          </w:tcPr>
          <w:p>
            <w:pPr>
              <w:spacing w:after="0"/>
              <w:rPr>
                <w:rFonts w:ascii="Arial" w:cs="Arial" w:eastAsia="Arial" w:hAnsi="Arial"/>
                <w:sz w:val="18"/>
                <w:szCs w:val="18"/>
                <w:color w:val="0000FF"/>
                <w:w w:val="93"/>
              </w:rPr>
            </w:pPr>
            <w:hyperlink r:id="rId161">
              <w:r>
                <w:rPr>
                  <w:rFonts w:ascii="Arial" w:cs="Arial" w:eastAsia="Arial" w:hAnsi="Arial"/>
                  <w:sz w:val="18"/>
                  <w:szCs w:val="18"/>
                  <w:color w:val="0000FF"/>
                  <w:w w:val="93"/>
                </w:rPr>
                <w:t>Guaranty Agreement, dated as of September 1, 2020, by and between the guarantors named therein and U.S. Bank National</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gridSpan w:val="39"/>
          </w:tcPr>
          <w:p>
            <w:pPr>
              <w:spacing w:after="0" w:line="180" w:lineRule="exact"/>
              <w:rPr>
                <w:rFonts w:ascii="Arial" w:cs="Arial" w:eastAsia="Arial" w:hAnsi="Arial"/>
                <w:sz w:val="18"/>
                <w:szCs w:val="18"/>
                <w:color w:val="0000FF"/>
                <w:w w:val="92"/>
              </w:rPr>
            </w:pPr>
            <w:hyperlink r:id="rId161">
              <w:r>
                <w:rPr>
                  <w:rFonts w:ascii="Arial" w:cs="Arial" w:eastAsia="Arial" w:hAnsi="Arial"/>
                  <w:sz w:val="18"/>
                  <w:szCs w:val="18"/>
                  <w:color w:val="0000FF"/>
                  <w:w w:val="92"/>
                </w:rPr>
                <w:t>Association, as trustee (incorporated herein by reference to Exhibit 4.2 to the Current Report on Form 8-K of Casella as filed on</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20" w:type="dxa"/>
            <w:vAlign w:val="bottom"/>
            <w:tcBorders>
              <w:top w:val="single" w:sz="8" w:color="0000FF"/>
              <w:bottom w:val="single" w:sz="8" w:color="0000FF"/>
            </w:tcBorders>
            <w:gridSpan w:val="6"/>
          </w:tcPr>
          <w:p>
            <w:pPr>
              <w:spacing w:after="0" w:line="193" w:lineRule="exact"/>
              <w:rPr>
                <w:rFonts w:ascii="Arial" w:cs="Arial" w:eastAsia="Arial" w:hAnsi="Arial"/>
                <w:sz w:val="18"/>
                <w:szCs w:val="18"/>
                <w:color w:val="0000FF"/>
                <w:w w:val="89"/>
              </w:rPr>
            </w:pPr>
            <w:hyperlink r:id="rId161">
              <w:r>
                <w:rPr>
                  <w:rFonts w:ascii="Arial" w:cs="Arial" w:eastAsia="Arial" w:hAnsi="Arial"/>
                  <w:sz w:val="18"/>
                  <w:szCs w:val="18"/>
                  <w:color w:val="0000FF"/>
                  <w:w w:val="89"/>
                </w:rPr>
                <w:t>September 2, 2020 (file no. 000-23211)).</w:t>
              </w:r>
            </w:hyperlink>
          </w:p>
        </w:tc>
        <w:tc>
          <w:tcPr>
            <w:tcW w:w="6160" w:type="dxa"/>
            <w:vAlign w:val="bottom"/>
            <w:tcBorders>
              <w:top w:val="single" w:sz="8" w:color="0000FF"/>
            </w:tcBorders>
            <w:gridSpan w:val="22"/>
          </w:tcPr>
          <w:p>
            <w:pPr>
              <w:spacing w:after="0"/>
              <w:rPr>
                <w:sz w:val="16"/>
                <w:szCs w:val="16"/>
                <w:color w:val="auto"/>
              </w:rPr>
            </w:pPr>
          </w:p>
        </w:tc>
        <w:tc>
          <w:tcPr>
            <w:tcW w:w="26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080" w:type="dxa"/>
            <w:vAlign w:val="bottom"/>
          </w:tcPr>
          <w:p>
            <w:pPr>
              <w:jc w:val="right"/>
              <w:ind w:right="454"/>
              <w:spacing w:after="0"/>
              <w:rPr>
                <w:sz w:val="20"/>
                <w:szCs w:val="20"/>
                <w:color w:val="auto"/>
              </w:rPr>
            </w:pPr>
            <w:r>
              <w:rPr>
                <w:rFonts w:ascii="Arial" w:cs="Arial" w:eastAsia="Arial" w:hAnsi="Arial"/>
                <w:sz w:val="18"/>
                <w:szCs w:val="18"/>
                <w:color w:val="auto"/>
              </w:rPr>
              <w:t>4.18</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40" w:type="dxa"/>
            <w:vAlign w:val="bottom"/>
            <w:gridSpan w:val="39"/>
          </w:tcPr>
          <w:p>
            <w:pPr>
              <w:spacing w:after="0"/>
              <w:rPr>
                <w:rFonts w:ascii="Arial" w:cs="Arial" w:eastAsia="Arial" w:hAnsi="Arial"/>
                <w:sz w:val="18"/>
                <w:szCs w:val="18"/>
                <w:color w:val="0000FF"/>
                <w:w w:val="90"/>
              </w:rPr>
            </w:pPr>
            <w:hyperlink r:id="rId162">
              <w:r>
                <w:rPr>
                  <w:rFonts w:ascii="Arial" w:cs="Arial" w:eastAsia="Arial" w:hAnsi="Arial"/>
                  <w:sz w:val="18"/>
                  <w:szCs w:val="18"/>
                  <w:color w:val="0000FF"/>
                  <w:w w:val="90"/>
                </w:rPr>
                <w:t>Loan Agreement, dated as of June 1, 2022, between Vermont Economic Development Authority and Casella (incorporated herein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32"/>
          </w:tcPr>
          <w:p>
            <w:pPr>
              <w:spacing w:after="0" w:line="153" w:lineRule="exact"/>
              <w:rPr>
                <w:rFonts w:ascii="Arial" w:cs="Arial" w:eastAsia="Arial" w:hAnsi="Arial"/>
                <w:sz w:val="17"/>
                <w:szCs w:val="17"/>
                <w:color w:val="0000FF"/>
              </w:rPr>
            </w:pPr>
            <w:hyperlink r:id="rId162">
              <w:r>
                <w:rPr>
                  <w:rFonts w:ascii="Arial" w:cs="Arial" w:eastAsia="Arial" w:hAnsi="Arial"/>
                  <w:sz w:val="17"/>
                  <w:szCs w:val="17"/>
                  <w:color w:val="0000FF"/>
                </w:rPr>
                <w:t>by reference to Exhibit 4.1 to the Current Report on Form 8-K of Casella as filed on June 1, 2022 (file no. 000-23211)).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jc w:val="right"/>
              <w:ind w:right="454"/>
              <w:spacing w:after="0"/>
              <w:rPr>
                <w:sz w:val="20"/>
                <w:szCs w:val="20"/>
                <w:color w:val="auto"/>
              </w:rPr>
            </w:pPr>
            <w:r>
              <w:rPr>
                <w:rFonts w:ascii="Arial" w:cs="Arial" w:eastAsia="Arial" w:hAnsi="Arial"/>
                <w:sz w:val="18"/>
                <w:szCs w:val="18"/>
                <w:color w:val="auto"/>
              </w:rPr>
              <w:t>4.19</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40" w:type="dxa"/>
            <w:vAlign w:val="bottom"/>
            <w:gridSpan w:val="39"/>
          </w:tcPr>
          <w:p>
            <w:pPr>
              <w:spacing w:after="0"/>
              <w:rPr>
                <w:rFonts w:ascii="Arial" w:cs="Arial" w:eastAsia="Arial" w:hAnsi="Arial"/>
                <w:sz w:val="18"/>
                <w:szCs w:val="18"/>
                <w:color w:val="0000FF"/>
                <w:w w:val="92"/>
              </w:rPr>
            </w:pPr>
            <w:hyperlink r:id="rId163">
              <w:r>
                <w:rPr>
                  <w:rFonts w:ascii="Arial" w:cs="Arial" w:eastAsia="Arial" w:hAnsi="Arial"/>
                  <w:sz w:val="18"/>
                  <w:szCs w:val="18"/>
                  <w:color w:val="0000FF"/>
                  <w:w w:val="92"/>
                </w:rPr>
                <w:t>Guaranty Agreement, dated as of June 1, 2022, by and between the guarantors named therein and U.S. Bank Trust Company,</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20"/>
          </w:tcPr>
          <w:p>
            <w:pPr>
              <w:spacing w:after="0" w:line="153" w:lineRule="exact"/>
              <w:rPr>
                <w:rFonts w:ascii="Arial" w:cs="Arial" w:eastAsia="Arial" w:hAnsi="Arial"/>
                <w:sz w:val="17"/>
                <w:szCs w:val="17"/>
                <w:color w:val="0000FF"/>
                <w:w w:val="93"/>
              </w:rPr>
            </w:pPr>
            <w:hyperlink r:id="rId163">
              <w:r>
                <w:rPr>
                  <w:rFonts w:ascii="Arial" w:cs="Arial" w:eastAsia="Arial" w:hAnsi="Arial"/>
                  <w:sz w:val="17"/>
                  <w:szCs w:val="17"/>
                  <w:color w:val="0000FF"/>
                  <w:w w:val="93"/>
                </w:rPr>
                <w:t>National Association, as trustee (incorporated herein by reference to Exhibit 4.2 to the Current Report on Form 8-K of Casella</w:t>
              </w:r>
            </w:hyperlink>
          </w:p>
        </w:tc>
        <w:tc>
          <w:tcPr>
            <w:tcW w:w="20" w:type="dxa"/>
            <w:vAlign w:val="bottom"/>
          </w:tcPr>
          <w:p>
            <w:pPr>
              <w:spacing w:after="0"/>
              <w:rPr>
                <w:sz w:val="13"/>
                <w:szCs w:val="13"/>
                <w:color w:val="auto"/>
              </w:rPr>
            </w:pPr>
          </w:p>
        </w:tc>
        <w:tc>
          <w:tcPr>
            <w:tcW w:w="460" w:type="dxa"/>
            <w:vAlign w:val="bottom"/>
            <w:gridSpan w:val="18"/>
          </w:tcPr>
          <w:p>
            <w:pPr>
              <w:ind w:left="120"/>
              <w:spacing w:after="0" w:line="153" w:lineRule="exact"/>
              <w:rPr>
                <w:rFonts w:ascii="Arial" w:cs="Arial" w:eastAsia="Arial" w:hAnsi="Arial"/>
                <w:sz w:val="17"/>
                <w:szCs w:val="17"/>
                <w:color w:val="0000FF"/>
              </w:rPr>
            </w:pPr>
            <w:hyperlink r:id="rId163">
              <w:r>
                <w:rPr>
                  <w:rFonts w:ascii="Arial" w:cs="Arial" w:eastAsia="Arial" w:hAnsi="Arial"/>
                  <w:sz w:val="17"/>
                  <w:szCs w:val="17"/>
                  <w:color w:val="0000FF"/>
                </w:rPr>
                <w:t>as</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7"/>
          </w:tcPr>
          <w:p>
            <w:pPr>
              <w:spacing w:after="0" w:line="166" w:lineRule="exact"/>
              <w:rPr>
                <w:rFonts w:ascii="Arial" w:cs="Arial" w:eastAsia="Arial" w:hAnsi="Arial"/>
                <w:sz w:val="18"/>
                <w:szCs w:val="18"/>
                <w:color w:val="0000FF"/>
                <w:w w:val="90"/>
              </w:rPr>
            </w:pPr>
            <w:hyperlink r:id="rId163">
              <w:r>
                <w:rPr>
                  <w:rFonts w:ascii="Arial" w:cs="Arial" w:eastAsia="Arial" w:hAnsi="Arial"/>
                  <w:sz w:val="18"/>
                  <w:szCs w:val="18"/>
                  <w:color w:val="0000FF"/>
                  <w:w w:val="90"/>
                </w:rPr>
                <w:t>filed on June 1, 2022 (file no. 000-23211)).</w:t>
              </w:r>
            </w:hyperlink>
          </w:p>
        </w:tc>
        <w:tc>
          <w:tcPr>
            <w:tcW w:w="6100" w:type="dxa"/>
            <w:vAlign w:val="bottom"/>
            <w:tcBorders>
              <w:top w:val="single" w:sz="8" w:color="0000FF"/>
            </w:tcBorders>
            <w:gridSpan w:val="2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454"/>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40" w:type="dxa"/>
            <w:vAlign w:val="bottom"/>
            <w:tcBorders>
              <w:bottom w:val="single" w:sz="8" w:color="0000FF"/>
            </w:tcBorders>
            <w:gridSpan w:val="34"/>
          </w:tcPr>
          <w:p>
            <w:pPr>
              <w:spacing w:after="0"/>
              <w:rPr>
                <w:rFonts w:ascii="Arial" w:cs="Arial" w:eastAsia="Arial" w:hAnsi="Arial"/>
                <w:sz w:val="18"/>
                <w:szCs w:val="18"/>
                <w:color w:val="0000FF"/>
                <w:w w:val="88"/>
              </w:rPr>
            </w:pPr>
            <w:hyperlink r:id="rId164">
              <w:r>
                <w:rPr>
                  <w:rFonts w:ascii="Arial" w:cs="Arial" w:eastAsia="Arial" w:hAnsi="Arial"/>
                  <w:sz w:val="18"/>
                  <w:szCs w:val="18"/>
                  <w:color w:val="0000FF"/>
                  <w:w w:val="88"/>
                </w:rPr>
                <w:t>Lease Agreement, as Amended, between Casella Associates and Casella Waste Management, Inc., dated August 1, 1993 (Rutland</w:t>
              </w:r>
            </w:hyperlink>
          </w:p>
        </w:tc>
        <w:tc>
          <w:tcPr>
            <w:tcW w:w="10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gridSpan w:val="39"/>
          </w:tcPr>
          <w:p>
            <w:pPr>
              <w:spacing w:after="0" w:line="153" w:lineRule="exact"/>
              <w:rPr>
                <w:rFonts w:ascii="Arial" w:cs="Arial" w:eastAsia="Arial" w:hAnsi="Arial"/>
                <w:sz w:val="17"/>
                <w:szCs w:val="17"/>
                <w:color w:val="0000FF"/>
                <w:w w:val="95"/>
              </w:rPr>
            </w:pPr>
            <w:hyperlink r:id="rId164">
              <w:r>
                <w:rPr>
                  <w:rFonts w:ascii="Arial" w:cs="Arial" w:eastAsia="Arial" w:hAnsi="Arial"/>
                  <w:sz w:val="17"/>
                  <w:szCs w:val="17"/>
                  <w:color w:val="0000FF"/>
                  <w:w w:val="95"/>
                </w:rPr>
                <w:t>lease) (incorporated herein by reference to Exhibit 10.17 to the registration statement on Form S-1 of Casella as filed on August 7,</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top w:val="single" w:sz="8" w:color="0000FF"/>
              <w:bottom w:val="single" w:sz="8" w:color="0000FF"/>
            </w:tcBorders>
            <w:gridSpan w:val="3"/>
          </w:tcPr>
          <w:p>
            <w:pPr>
              <w:spacing w:after="0" w:line="166"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1997 (file no. 333-33135)).</w:t>
              </w:r>
            </w:hyperlink>
          </w:p>
        </w:tc>
        <w:tc>
          <w:tcPr>
            <w:tcW w:w="7340" w:type="dxa"/>
            <w:vAlign w:val="bottom"/>
            <w:tcBorders>
              <w:top w:val="single" w:sz="8" w:color="0000FF"/>
            </w:tcBorders>
            <w:gridSpan w:val="3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454"/>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20" w:type="dxa"/>
            <w:vAlign w:val="bottom"/>
            <w:tcBorders>
              <w:bottom w:val="single" w:sz="8" w:color="0000FF"/>
            </w:tcBorders>
            <w:gridSpan w:val="27"/>
          </w:tcPr>
          <w:p>
            <w:pPr>
              <w:spacing w:after="0"/>
              <w:rPr>
                <w:rFonts w:ascii="Arial" w:cs="Arial" w:eastAsia="Arial" w:hAnsi="Arial"/>
                <w:sz w:val="18"/>
                <w:szCs w:val="18"/>
                <w:color w:val="0000FF"/>
                <w:w w:val="87"/>
              </w:rPr>
            </w:pPr>
            <w:hyperlink r:id="rId165">
              <w:r>
                <w:rPr>
                  <w:rFonts w:ascii="Arial" w:cs="Arial" w:eastAsia="Arial" w:hAnsi="Arial"/>
                  <w:sz w:val="18"/>
                  <w:szCs w:val="18"/>
                  <w:color w:val="0000FF"/>
                  <w:w w:val="87"/>
                </w:rPr>
                <w:t>Second Amendment to Lease Agreement, by and between Casella Associates and Casella Waste Management, Inc., dated as of</w:t>
              </w:r>
            </w:hyperlink>
          </w:p>
        </w:tc>
        <w:tc>
          <w:tcPr>
            <w:tcW w:w="32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gridSpan w:val="39"/>
          </w:tcPr>
          <w:p>
            <w:pPr>
              <w:spacing w:after="0" w:line="153" w:lineRule="exact"/>
              <w:rPr>
                <w:rFonts w:ascii="Arial" w:cs="Arial" w:eastAsia="Arial" w:hAnsi="Arial"/>
                <w:sz w:val="17"/>
                <w:szCs w:val="17"/>
                <w:color w:val="0000FF"/>
                <w:w w:val="96"/>
              </w:rPr>
            </w:pPr>
            <w:hyperlink r:id="rId165">
              <w:r>
                <w:rPr>
                  <w:rFonts w:ascii="Arial" w:cs="Arial" w:eastAsia="Arial" w:hAnsi="Arial"/>
                  <w:sz w:val="17"/>
                  <w:szCs w:val="17"/>
                  <w:color w:val="0000FF"/>
                  <w:w w:val="96"/>
                </w:rPr>
                <w:t>November 20, 1997 (Rutland lease). (incorporated herein by reference to Exhibit 10.25 to the registration statement on Form S-1</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20" w:type="dxa"/>
            <w:vAlign w:val="bottom"/>
            <w:tcBorders>
              <w:top w:val="single" w:sz="8" w:color="0000FF"/>
              <w:bottom w:val="single" w:sz="8" w:color="0000FF"/>
            </w:tcBorders>
            <w:gridSpan w:val="8"/>
          </w:tcPr>
          <w:p>
            <w:pPr>
              <w:spacing w:after="0" w:line="166" w:lineRule="exact"/>
              <w:rPr>
                <w:rFonts w:ascii="Arial" w:cs="Arial" w:eastAsia="Arial" w:hAnsi="Arial"/>
                <w:sz w:val="18"/>
                <w:szCs w:val="18"/>
                <w:color w:val="0000FF"/>
                <w:w w:val="89"/>
              </w:rPr>
            </w:pPr>
            <w:hyperlink r:id="rId165">
              <w:r>
                <w:rPr>
                  <w:rFonts w:ascii="Arial" w:cs="Arial" w:eastAsia="Arial" w:hAnsi="Arial"/>
                  <w:sz w:val="18"/>
                  <w:szCs w:val="18"/>
                  <w:color w:val="0000FF"/>
                  <w:w w:val="89"/>
                </w:rPr>
                <w:t>of Casella as filed on June 25, 1998 (file no. 333-57745)).</w:t>
              </w:r>
            </w:hyperlink>
          </w:p>
        </w:tc>
        <w:tc>
          <w:tcPr>
            <w:tcW w:w="5040" w:type="dxa"/>
            <w:vAlign w:val="bottom"/>
            <w:tcBorders>
              <w:top w:val="single" w:sz="8" w:color="0000FF"/>
            </w:tcBorders>
            <w:gridSpan w:val="22"/>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454"/>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9"/>
          </w:tcPr>
          <w:p>
            <w:pPr>
              <w:spacing w:after="0"/>
              <w:rPr>
                <w:rFonts w:ascii="Arial" w:cs="Arial" w:eastAsia="Arial" w:hAnsi="Arial"/>
                <w:sz w:val="18"/>
                <w:szCs w:val="18"/>
                <w:color w:val="0000FF"/>
                <w:w w:val="96"/>
              </w:rPr>
            </w:pPr>
            <w:hyperlink r:id="rId166">
              <w:r>
                <w:rPr>
                  <w:rFonts w:ascii="Arial" w:cs="Arial" w:eastAsia="Arial" w:hAnsi="Arial"/>
                  <w:sz w:val="18"/>
                  <w:szCs w:val="18"/>
                  <w:color w:val="0000FF"/>
                  <w:w w:val="96"/>
                </w:rPr>
                <w:t>Amendment to Lease Agreement dated as of March 13, 2008, between Casella Associates and Casella, amending Lease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14"/>
          </w:tcPr>
          <w:p>
            <w:pPr>
              <w:spacing w:after="0" w:line="153" w:lineRule="exact"/>
              <w:rPr>
                <w:rFonts w:ascii="Arial" w:cs="Arial" w:eastAsia="Arial" w:hAnsi="Arial"/>
                <w:sz w:val="17"/>
                <w:szCs w:val="17"/>
                <w:color w:val="0000FF"/>
                <w:w w:val="95"/>
              </w:rPr>
            </w:pPr>
            <w:hyperlink r:id="rId166">
              <w:r>
                <w:rPr>
                  <w:rFonts w:ascii="Arial" w:cs="Arial" w:eastAsia="Arial" w:hAnsi="Arial"/>
                  <w:sz w:val="17"/>
                  <w:szCs w:val="17"/>
                  <w:color w:val="0000FF"/>
                  <w:w w:val="95"/>
                </w:rPr>
                <w:t>Agreement dated August 1, 1993, as amended (Rutland lease) (incorporated herein by reference to Exhibit 10.7 to the</w:t>
              </w:r>
            </w:hyperlink>
          </w:p>
        </w:tc>
        <w:tc>
          <w:tcPr>
            <w:tcW w:w="840" w:type="dxa"/>
            <w:vAlign w:val="bottom"/>
            <w:gridSpan w:val="25"/>
          </w:tcPr>
          <w:p>
            <w:pPr>
              <w:spacing w:after="0" w:line="153" w:lineRule="exact"/>
              <w:rPr>
                <w:rFonts w:ascii="Arial" w:cs="Arial" w:eastAsia="Arial" w:hAnsi="Arial"/>
                <w:sz w:val="17"/>
                <w:szCs w:val="17"/>
                <w:color w:val="0000FF"/>
              </w:rPr>
            </w:pPr>
            <w:hyperlink r:id="rId166">
              <w:r>
                <w:rPr>
                  <w:rFonts w:ascii="Arial" w:cs="Arial" w:eastAsia="Arial" w:hAnsi="Arial"/>
                  <w:sz w:val="17"/>
                  <w:szCs w:val="17"/>
                  <w:color w:val="0000FF"/>
                </w:rPr>
                <w:t>annual</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top w:val="single" w:sz="8" w:color="0000FF"/>
              <w:bottom w:val="single" w:sz="8" w:color="0000FF"/>
            </w:tcBorders>
            <w:gridSpan w:val="10"/>
          </w:tcPr>
          <w:p>
            <w:pPr>
              <w:spacing w:after="0" w:line="166" w:lineRule="exact"/>
              <w:rPr>
                <w:rFonts w:ascii="Arial" w:cs="Arial" w:eastAsia="Arial" w:hAnsi="Arial"/>
                <w:sz w:val="18"/>
                <w:szCs w:val="18"/>
                <w:color w:val="0000FF"/>
                <w:w w:val="89"/>
              </w:rPr>
            </w:pPr>
            <w:hyperlink r:id="rId166">
              <w:r>
                <w:rPr>
                  <w:rFonts w:ascii="Arial" w:cs="Arial" w:eastAsia="Arial" w:hAnsi="Arial"/>
                  <w:sz w:val="18"/>
                  <w:szCs w:val="18"/>
                  <w:color w:val="0000FF"/>
                  <w:w w:val="89"/>
                </w:rPr>
                <w:t>report on Form 10-K of Casella as filed on June 27, 2014 (file no. 000-23211)).</w:t>
              </w:r>
            </w:hyperlink>
          </w:p>
        </w:tc>
        <w:tc>
          <w:tcPr>
            <w:tcW w:w="3240" w:type="dxa"/>
            <w:vAlign w:val="bottom"/>
            <w:tcBorders>
              <w:top w:val="single" w:sz="8" w:color="0000FF"/>
            </w:tcBorders>
            <w:gridSpan w:val="11"/>
          </w:tcPr>
          <w:p>
            <w:pPr>
              <w:spacing w:after="0"/>
              <w:rPr>
                <w:sz w:val="14"/>
                <w:szCs w:val="14"/>
                <w:color w:val="auto"/>
              </w:rPr>
            </w:pPr>
          </w:p>
        </w:tc>
        <w:tc>
          <w:tcPr>
            <w:tcW w:w="340" w:type="dxa"/>
            <w:vAlign w:val="bottom"/>
            <w:gridSpan w:val="12"/>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454"/>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9"/>
          </w:tcPr>
          <w:p>
            <w:pPr>
              <w:spacing w:after="0"/>
              <w:rPr>
                <w:rFonts w:ascii="Arial" w:cs="Arial" w:eastAsia="Arial" w:hAnsi="Arial"/>
                <w:sz w:val="18"/>
                <w:szCs w:val="18"/>
                <w:color w:val="0000FF"/>
                <w:w w:val="95"/>
              </w:rPr>
            </w:pPr>
            <w:hyperlink r:id="rId164">
              <w:r>
                <w:rPr>
                  <w:rFonts w:ascii="Arial" w:cs="Arial" w:eastAsia="Arial" w:hAnsi="Arial"/>
                  <w:sz w:val="18"/>
                  <w:szCs w:val="18"/>
                  <w:color w:val="0000FF"/>
                  <w:w w:val="95"/>
                </w:rPr>
                <w:t>Lease Agreement, as Amended, between Casella Associates and Casella Waste Management, Inc., dated August 1, 1993</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15"/>
          </w:tcPr>
          <w:p>
            <w:pPr>
              <w:spacing w:after="0" w:line="153" w:lineRule="exact"/>
              <w:rPr>
                <w:rFonts w:ascii="Arial" w:cs="Arial" w:eastAsia="Arial" w:hAnsi="Arial"/>
                <w:sz w:val="17"/>
                <w:szCs w:val="17"/>
                <w:color w:val="0000FF"/>
                <w:w w:val="93"/>
              </w:rPr>
            </w:pPr>
            <w:hyperlink r:id="rId164">
              <w:r>
                <w:rPr>
                  <w:rFonts w:ascii="Arial" w:cs="Arial" w:eastAsia="Arial" w:hAnsi="Arial"/>
                  <w:sz w:val="17"/>
                  <w:szCs w:val="17"/>
                  <w:color w:val="0000FF"/>
                  <w:w w:val="93"/>
                </w:rPr>
                <w:t>(Montpelier lease) (incorporated herein by reference to Exhibit 10.18 to the registration statement on Form S-1 of Casella</w:t>
              </w:r>
            </w:hyperlink>
          </w:p>
        </w:tc>
        <w:tc>
          <w:tcPr>
            <w:tcW w:w="800" w:type="dxa"/>
            <w:vAlign w:val="bottom"/>
            <w:gridSpan w:val="24"/>
          </w:tcPr>
          <w:p>
            <w:pPr>
              <w:ind w:left="140"/>
              <w:spacing w:after="0" w:line="153" w:lineRule="exact"/>
              <w:rPr>
                <w:rFonts w:ascii="Arial" w:cs="Arial" w:eastAsia="Arial" w:hAnsi="Arial"/>
                <w:sz w:val="17"/>
                <w:szCs w:val="17"/>
                <w:color w:val="0000FF"/>
              </w:rPr>
            </w:pPr>
            <w:hyperlink r:id="rId164">
              <w:r>
                <w:rPr>
                  <w:rFonts w:ascii="Arial" w:cs="Arial" w:eastAsia="Arial" w:hAnsi="Arial"/>
                  <w:sz w:val="17"/>
                  <w:szCs w:val="17"/>
                  <w:color w:val="0000FF"/>
                </w:rPr>
                <w:t>as filed</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tcBorders>
              <w:top w:val="single" w:sz="8" w:color="0000FF"/>
              <w:bottom w:val="single" w:sz="8" w:color="0000FF"/>
            </w:tcBorders>
            <w:gridSpan w:val="5"/>
          </w:tcPr>
          <w:p>
            <w:pPr>
              <w:spacing w:after="0" w:line="166"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on August 7, 1997 (file no. 333-33135)).</w:t>
              </w:r>
            </w:hyperlink>
          </w:p>
        </w:tc>
        <w:tc>
          <w:tcPr>
            <w:tcW w:w="6320" w:type="dxa"/>
            <w:vAlign w:val="bottom"/>
            <w:tcBorders>
              <w:top w:val="single" w:sz="8" w:color="0000FF"/>
            </w:tcBorders>
            <w:gridSpan w:val="28"/>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1080" w:type="dxa"/>
            <w:vAlign w:val="bottom"/>
          </w:tcPr>
          <w:p>
            <w:pPr>
              <w:jc w:val="right"/>
              <w:ind w:right="454"/>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9"/>
          </w:tcPr>
          <w:p>
            <w:pPr>
              <w:spacing w:after="0"/>
              <w:rPr>
                <w:rFonts w:ascii="Arial" w:cs="Arial" w:eastAsia="Arial" w:hAnsi="Arial"/>
                <w:sz w:val="18"/>
                <w:szCs w:val="18"/>
                <w:u w:val="single" w:color="auto"/>
                <w:color w:val="0000FF"/>
                <w:w w:val="96"/>
              </w:rPr>
            </w:pPr>
            <w:hyperlink r:id="rId167">
              <w:r>
                <w:rPr>
                  <w:rFonts w:ascii="Arial" w:cs="Arial" w:eastAsia="Arial" w:hAnsi="Arial"/>
                  <w:sz w:val="18"/>
                  <w:szCs w:val="18"/>
                  <w:u w:val="single" w:color="auto"/>
                  <w:color w:val="0000FF"/>
                  <w:w w:val="96"/>
                </w:rPr>
                <w:t>Amendment to Lease Agreement dated as of March 13, 2008, between Casella Associates and Casella, amending Lease</w:t>
              </w:r>
            </w:hyperlink>
          </w:p>
        </w:tc>
        <w:tc>
          <w:tcPr>
            <w:tcW w:w="0" w:type="dxa"/>
            <w:vAlign w:val="bottom"/>
          </w:tcPr>
          <w:p>
            <w:pPr>
              <w:spacing w:after="0"/>
              <w:rPr>
                <w:sz w:val="1"/>
                <w:szCs w:val="1"/>
                <w:color w:val="auto"/>
              </w:rPr>
            </w:pPr>
          </w:p>
        </w:tc>
      </w:tr>
    </w:tbl>
    <w:p>
      <w:pPr>
        <w:ind w:left="1920" w:right="200"/>
        <w:spacing w:after="0" w:line="229" w:lineRule="auto"/>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Agreement dated August 1, 1993, as amended (Montpelier lease) (incorporated herein by reference to Exhibit 10.9 to the annual</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report on Form 10-K of Casella as filed on June 27, 2014 (file no. 000-23211)).</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sz w:val="20"/>
                <w:szCs w:val="20"/>
                <w:color w:val="auto"/>
              </w:rPr>
            </w:pPr>
            <w:r>
              <w:rPr>
                <w:rFonts w:ascii="Arial" w:cs="Arial" w:eastAsia="Arial" w:hAnsi="Arial"/>
                <w:sz w:val="14"/>
                <w:szCs w:val="14"/>
                <w:b w:val="1"/>
                <w:bCs w:val="1"/>
                <w:color w:val="0000FF"/>
                <w:w w:val="89"/>
              </w:rPr>
              <w:t>Table of Contents</w:t>
            </w:r>
          </w:p>
        </w:tc>
        <w:tc>
          <w:tcPr>
            <w:tcW w:w="8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8"/>
        </w:trPr>
        <w:tc>
          <w:tcPr>
            <w:tcW w:w="1900" w:type="dxa"/>
            <w:vAlign w:val="bottom"/>
            <w:gridSpan w:val="3"/>
          </w:tcPr>
          <w:p>
            <w:pPr>
              <w:ind w:left="5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40" w:type="dxa"/>
            <w:vAlign w:val="bottom"/>
            <w:gridSpan w:val="26"/>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6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5240" w:type="dxa"/>
            <w:vAlign w:val="bottom"/>
            <w:tcBorders>
              <w:bottom w:val="single" w:sz="8" w:color="auto"/>
            </w:tcBorders>
            <w:gridSpan w:val="26"/>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Pr>
          <w:p>
            <w:pPr>
              <w:ind w:left="220"/>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00" w:type="dxa"/>
            <w:vAlign w:val="bottom"/>
            <w:tcBorders>
              <w:bottom w:val="single" w:sz="8" w:color="0000FF"/>
            </w:tcBorders>
            <w:gridSpan w:val="23"/>
          </w:tcPr>
          <w:p>
            <w:pPr>
              <w:spacing w:after="0"/>
              <w:rPr>
                <w:rFonts w:ascii="Arial" w:cs="Arial" w:eastAsia="Arial" w:hAnsi="Arial"/>
                <w:sz w:val="18"/>
                <w:szCs w:val="18"/>
                <w:color w:val="0000FF"/>
                <w:w w:val="88"/>
              </w:rPr>
            </w:pPr>
            <w:hyperlink r:id="rId164">
              <w:r>
                <w:rPr>
                  <w:rFonts w:ascii="Arial" w:cs="Arial" w:eastAsia="Arial" w:hAnsi="Arial"/>
                  <w:sz w:val="18"/>
                  <w:szCs w:val="18"/>
                  <w:color w:val="0000FF"/>
                  <w:w w:val="88"/>
                </w:rPr>
                <w:t>Lease, Operations and Maintenance Agreement between CV Landfill, Inc. and Casella Waste Systems, Inc. dated June 30, 1994</w:t>
              </w:r>
            </w:hyperlink>
          </w:p>
        </w:tc>
        <w:tc>
          <w:tcPr>
            <w:tcW w:w="22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34"/>
          </w:tcPr>
          <w:p>
            <w:pPr>
              <w:spacing w:after="0" w:line="153" w:lineRule="exact"/>
              <w:rPr>
                <w:rFonts w:ascii="Arial" w:cs="Arial" w:eastAsia="Arial" w:hAnsi="Arial"/>
                <w:sz w:val="17"/>
                <w:szCs w:val="17"/>
                <w:color w:val="0000FF"/>
                <w:w w:val="95"/>
              </w:rPr>
            </w:pPr>
            <w:hyperlink r:id="rId164">
              <w:r>
                <w:rPr>
                  <w:rFonts w:ascii="Arial" w:cs="Arial" w:eastAsia="Arial" w:hAnsi="Arial"/>
                  <w:sz w:val="17"/>
                  <w:szCs w:val="17"/>
                  <w:color w:val="0000FF"/>
                  <w:w w:val="95"/>
                </w:rPr>
                <w:t>(incorporated herein by reference to Exhibit 10.20 to the registration statement on Form S-1 of Casella as filed on August 7, 1997</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top w:val="single" w:sz="8" w:color="0000FF"/>
            </w:tcBorders>
            <w:gridSpan w:val="29"/>
          </w:tcPr>
          <w:p>
            <w:pPr>
              <w:spacing w:after="0" w:line="166" w:lineRule="exact"/>
              <w:rPr>
                <w:rFonts w:ascii="Arial" w:cs="Arial" w:eastAsia="Arial" w:hAnsi="Arial"/>
                <w:sz w:val="18"/>
                <w:szCs w:val="18"/>
                <w:color w:val="0000FF"/>
              </w:rPr>
            </w:pPr>
            <w:hyperlink r:id="rId164">
              <w:r>
                <w:rPr>
                  <w:rFonts w:ascii="Arial" w:cs="Arial" w:eastAsia="Arial" w:hAnsi="Arial"/>
                  <w:sz w:val="18"/>
                  <w:szCs w:val="18"/>
                  <w:color w:val="0000FF"/>
                </w:rPr>
                <w:t>(file no. 333-33135)).</w:t>
              </w:r>
            </w:hyperlink>
          </w:p>
        </w:tc>
        <w:tc>
          <w:tcPr>
            <w:tcW w:w="429496727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4"/>
          </w:tcPr>
          <w:p>
            <w:pPr>
              <w:spacing w:after="0"/>
              <w:rPr>
                <w:rFonts w:ascii="Arial" w:cs="Arial" w:eastAsia="Arial" w:hAnsi="Arial"/>
                <w:sz w:val="18"/>
                <w:szCs w:val="18"/>
                <w:color w:val="0000FF"/>
                <w:w w:val="93"/>
              </w:rPr>
            </w:pPr>
            <w:hyperlink r:id="rId169">
              <w:r>
                <w:rPr>
                  <w:rFonts w:ascii="Arial" w:cs="Arial" w:eastAsia="Arial" w:hAnsi="Arial"/>
                  <w:sz w:val="18"/>
                  <w:szCs w:val="18"/>
                  <w:color w:val="0000FF"/>
                  <w:w w:val="93"/>
                </w:rPr>
                <w:t>Employment Agreement between Casella and John W. Casella dated December 8, 1999 (incorporated herein by reference 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17"/>
          </w:tcPr>
          <w:p>
            <w:pPr>
              <w:spacing w:after="0" w:line="153" w:lineRule="exact"/>
              <w:rPr>
                <w:rFonts w:ascii="Arial" w:cs="Arial" w:eastAsia="Arial" w:hAnsi="Arial"/>
                <w:sz w:val="17"/>
                <w:szCs w:val="17"/>
                <w:color w:val="0000FF"/>
              </w:rPr>
            </w:pPr>
            <w:hyperlink r:id="rId169">
              <w:r>
                <w:rPr>
                  <w:rFonts w:ascii="Arial" w:cs="Arial" w:eastAsia="Arial" w:hAnsi="Arial"/>
                  <w:sz w:val="17"/>
                  <w:szCs w:val="17"/>
                  <w:color w:val="0000FF"/>
                </w:rPr>
                <w:t>Exhibit 10.43 to the annual report on Form 10-K of Casella as filed on August 4, 2000 (file no. 000-23211)).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Borders>
              <w:bottom w:val="single" w:sz="8" w:color="0000FF"/>
            </w:tcBorders>
            <w:gridSpan w:val="13"/>
          </w:tcPr>
          <w:p>
            <w:pPr>
              <w:spacing w:after="0"/>
              <w:rPr>
                <w:rFonts w:ascii="Arial" w:cs="Arial" w:eastAsia="Arial" w:hAnsi="Arial"/>
                <w:sz w:val="18"/>
                <w:szCs w:val="18"/>
                <w:color w:val="0000FF"/>
                <w:w w:val="88"/>
              </w:rPr>
            </w:pPr>
            <w:hyperlink r:id="rId170">
              <w:r>
                <w:rPr>
                  <w:rFonts w:ascii="Arial" w:cs="Arial" w:eastAsia="Arial" w:hAnsi="Arial"/>
                  <w:sz w:val="18"/>
                  <w:szCs w:val="18"/>
                  <w:color w:val="0000FF"/>
                  <w:w w:val="88"/>
                </w:rPr>
                <w:t>Amendment to Employment Agreement by and between Casella and John W. Casella dated as of December 30, 2008</w:t>
              </w:r>
            </w:hyperlink>
          </w:p>
        </w:tc>
        <w:tc>
          <w:tcPr>
            <w:tcW w:w="1000" w:type="dxa"/>
            <w:vAlign w:val="bottom"/>
            <w:gridSpan w:val="21"/>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34"/>
          </w:tcPr>
          <w:p>
            <w:pPr>
              <w:spacing w:after="0" w:line="153" w:lineRule="exact"/>
              <w:rPr>
                <w:rFonts w:ascii="Arial" w:cs="Arial" w:eastAsia="Arial" w:hAnsi="Arial"/>
                <w:sz w:val="17"/>
                <w:szCs w:val="17"/>
                <w:color w:val="0000FF"/>
                <w:w w:val="97"/>
              </w:rPr>
            </w:pPr>
            <w:hyperlink r:id="rId170">
              <w:r>
                <w:rPr>
                  <w:rFonts w:ascii="Arial" w:cs="Arial" w:eastAsia="Arial" w:hAnsi="Arial"/>
                  <w:sz w:val="17"/>
                  <w:szCs w:val="17"/>
                  <w:color w:val="0000FF"/>
                  <w:w w:val="97"/>
                </w:rPr>
                <w:t>(incorporated herein by reference to Exhibit 10.3 to the quarterly report on Form 10-Q of Casella as filed on March 6, 2009 (file</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top w:val="single" w:sz="8" w:color="0000FF"/>
              <w:bottom w:val="single" w:sz="8" w:color="0000FF"/>
            </w:tcBorders>
            <w:gridSpan w:val="3"/>
          </w:tcPr>
          <w:p>
            <w:pPr>
              <w:spacing w:after="0" w:line="166" w:lineRule="exact"/>
              <w:rPr>
                <w:rFonts w:ascii="Arial" w:cs="Arial" w:eastAsia="Arial" w:hAnsi="Arial"/>
                <w:sz w:val="18"/>
                <w:szCs w:val="18"/>
                <w:color w:val="0000FF"/>
                <w:w w:val="88"/>
              </w:rPr>
            </w:pPr>
            <w:hyperlink r:id="rId170">
              <w:r>
                <w:rPr>
                  <w:rFonts w:ascii="Arial" w:cs="Arial" w:eastAsia="Arial" w:hAnsi="Arial"/>
                  <w:sz w:val="18"/>
                  <w:szCs w:val="18"/>
                  <w:color w:val="0000FF"/>
                  <w:w w:val="88"/>
                </w:rPr>
                <w:t>no. 000-23211)).</w:t>
              </w:r>
            </w:hyperlink>
          </w:p>
        </w:tc>
        <w:tc>
          <w:tcPr>
            <w:tcW w:w="790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4"/>
          </w:tcPr>
          <w:p>
            <w:pPr>
              <w:spacing w:after="0"/>
              <w:rPr>
                <w:rFonts w:ascii="Arial" w:cs="Arial" w:eastAsia="Arial" w:hAnsi="Arial"/>
                <w:sz w:val="18"/>
                <w:szCs w:val="18"/>
                <w:color w:val="0000FF"/>
                <w:w w:val="91"/>
              </w:rPr>
            </w:pPr>
            <w:hyperlink r:id="rId171">
              <w:r>
                <w:rPr>
                  <w:rFonts w:ascii="Arial" w:cs="Arial" w:eastAsia="Arial" w:hAnsi="Arial"/>
                  <w:sz w:val="18"/>
                  <w:szCs w:val="18"/>
                  <w:color w:val="0000FF"/>
                  <w:w w:val="91"/>
                </w:rPr>
                <w:t>2006 Stock Incentive Plan, as amended (incorporated herein by reference to Exhibit 10.13 to the annual report on Form 10-K of</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7"/>
          </w:tcPr>
          <w:p>
            <w:pPr>
              <w:spacing w:after="0" w:line="153" w:lineRule="exact"/>
              <w:rPr>
                <w:rFonts w:ascii="Arial" w:cs="Arial" w:eastAsia="Arial" w:hAnsi="Arial"/>
                <w:sz w:val="17"/>
                <w:szCs w:val="17"/>
                <w:color w:val="0000FF"/>
                <w:w w:val="95"/>
              </w:rPr>
            </w:pPr>
            <w:hyperlink r:id="rId171">
              <w:r>
                <w:rPr>
                  <w:rFonts w:ascii="Arial" w:cs="Arial" w:eastAsia="Arial" w:hAnsi="Arial"/>
                  <w:sz w:val="17"/>
                  <w:szCs w:val="17"/>
                  <w:color w:val="0000FF"/>
                  <w:w w:val="95"/>
                </w:rPr>
                <w:t>Casella as filed on March 2, 2016 (file no. 000-023211)).</w:t>
              </w:r>
            </w:hyperlink>
          </w:p>
        </w:tc>
        <w:tc>
          <w:tcPr>
            <w:tcW w:w="502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10.10*</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34"/>
          </w:tcPr>
          <w:p>
            <w:pPr>
              <w:spacing w:after="0"/>
              <w:rPr>
                <w:rFonts w:ascii="Arial" w:cs="Arial" w:eastAsia="Arial" w:hAnsi="Arial"/>
                <w:sz w:val="18"/>
                <w:szCs w:val="18"/>
                <w:color w:val="0000FF"/>
                <w:w w:val="91"/>
              </w:rPr>
            </w:pPr>
            <w:hyperlink r:id="rId172">
              <w:r>
                <w:rPr>
                  <w:rFonts w:ascii="Arial" w:cs="Arial" w:eastAsia="Arial" w:hAnsi="Arial"/>
                  <w:sz w:val="18"/>
                  <w:szCs w:val="18"/>
                  <w:color w:val="0000FF"/>
                  <w:w w:val="91"/>
                </w:rPr>
                <w:t>Form of Incentive Stock Option Agreement granted under 2006 Stock Incentive Plan (incorporated herein by reference to Exhibit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40" w:type="dxa"/>
            <w:vAlign w:val="bottom"/>
            <w:tcBorders>
              <w:top w:val="single" w:sz="8" w:color="0000FF"/>
              <w:bottom w:val="single" w:sz="8" w:color="0000FF"/>
            </w:tcBorders>
            <w:gridSpan w:val="9"/>
          </w:tcPr>
          <w:p>
            <w:pPr>
              <w:spacing w:after="0" w:line="153" w:lineRule="exact"/>
              <w:rPr>
                <w:rFonts w:ascii="Arial" w:cs="Arial" w:eastAsia="Arial" w:hAnsi="Arial"/>
                <w:sz w:val="17"/>
                <w:szCs w:val="17"/>
                <w:color w:val="0000FF"/>
                <w:w w:val="94"/>
              </w:rPr>
            </w:pPr>
            <w:hyperlink r:id="rId172">
              <w:r>
                <w:rPr>
                  <w:rFonts w:ascii="Arial" w:cs="Arial" w:eastAsia="Arial" w:hAnsi="Arial"/>
                  <w:sz w:val="17"/>
                  <w:szCs w:val="17"/>
                  <w:color w:val="0000FF"/>
                  <w:w w:val="94"/>
                </w:rPr>
                <w:t>10.</w:t>
              </w:r>
              <w:r>
                <w:rPr>
                  <w:rFonts w:ascii="Arial" w:cs="Arial" w:eastAsia="Arial" w:hAnsi="Arial"/>
                  <w:sz w:val="17"/>
                  <w:szCs w:val="17"/>
                  <w:u w:val="single" w:color="auto"/>
                  <w:color w:val="0000FF"/>
                  <w:w w:val="94"/>
                </w:rPr>
                <w:t>14</w:t>
              </w:r>
              <w:r>
                <w:rPr>
                  <w:rFonts w:ascii="Arial" w:cs="Arial" w:eastAsia="Arial" w:hAnsi="Arial"/>
                  <w:sz w:val="17"/>
                  <w:szCs w:val="17"/>
                  <w:color w:val="0000FF"/>
                  <w:w w:val="94"/>
                </w:rPr>
                <w:t xml:space="preserve"> to the annual report on Form 10-K of Casella as filed on June 27, 2014 (file no. 000-23211)).</w:t>
              </w:r>
            </w:hyperlink>
          </w:p>
        </w:tc>
        <w:tc>
          <w:tcPr>
            <w:tcW w:w="21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10.11*</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34"/>
          </w:tcPr>
          <w:p>
            <w:pPr>
              <w:spacing w:after="0"/>
              <w:rPr>
                <w:rFonts w:ascii="Arial" w:cs="Arial" w:eastAsia="Arial" w:hAnsi="Arial"/>
                <w:sz w:val="18"/>
                <w:szCs w:val="18"/>
                <w:color w:val="0000FF"/>
                <w:w w:val="91"/>
              </w:rPr>
            </w:pPr>
            <w:hyperlink r:id="rId173">
              <w:r>
                <w:rPr>
                  <w:rFonts w:ascii="Arial" w:cs="Arial" w:eastAsia="Arial" w:hAnsi="Arial"/>
                  <w:sz w:val="18"/>
                  <w:szCs w:val="18"/>
                  <w:color w:val="0000FF"/>
                  <w:w w:val="91"/>
                </w:rPr>
                <w:t>Form of Restricted Stock Agreement granted under 2006 Stock Incentive Plan (incorporated herein by reference to Exhibit 10.15</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4"/>
              </w:rPr>
            </w:pPr>
            <w:hyperlink r:id="rId173">
              <w:r>
                <w:rPr>
                  <w:rFonts w:ascii="Arial" w:cs="Arial" w:eastAsia="Arial" w:hAnsi="Arial"/>
                  <w:sz w:val="17"/>
                  <w:szCs w:val="17"/>
                  <w:color w:val="0000FF"/>
                  <w:w w:val="94"/>
                </w:rPr>
                <w:t>to the annual report on Form 10-K of Casella as filed on June 27, 2014 (file no. 000-23211)).</w:t>
              </w:r>
            </w:hyperlink>
          </w:p>
        </w:tc>
        <w:tc>
          <w:tcPr>
            <w:tcW w:w="2560" w:type="dxa"/>
            <w:vAlign w:val="bottom"/>
            <w:tcBorders>
              <w:top w:val="single" w:sz="8" w:color="0000FF"/>
            </w:tcBorders>
            <w:gridSpan w:val="18"/>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10.12*</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34"/>
          </w:tcPr>
          <w:p>
            <w:pPr>
              <w:spacing w:after="0"/>
              <w:rPr>
                <w:rFonts w:ascii="Arial" w:cs="Arial" w:eastAsia="Arial" w:hAnsi="Arial"/>
                <w:sz w:val="18"/>
                <w:szCs w:val="18"/>
                <w:color w:val="0000FF"/>
                <w:w w:val="96"/>
              </w:rPr>
            </w:pPr>
            <w:hyperlink r:id="rId174">
              <w:r>
                <w:rPr>
                  <w:rFonts w:ascii="Arial" w:cs="Arial" w:eastAsia="Arial" w:hAnsi="Arial"/>
                  <w:sz w:val="18"/>
                  <w:szCs w:val="18"/>
                  <w:color w:val="0000FF"/>
                  <w:w w:val="96"/>
                </w:rPr>
                <w:t>Form of Restricted Share Unit Agreement granted under 2006 Stock Incentive Plan (employee with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tcBorders>
            <w:gridSpan w:val="14"/>
          </w:tcPr>
          <w:p>
            <w:pPr>
              <w:spacing w:after="0" w:line="153" w:lineRule="exact"/>
              <w:rPr>
                <w:rFonts w:ascii="Arial" w:cs="Arial" w:eastAsia="Arial" w:hAnsi="Arial"/>
                <w:sz w:val="17"/>
                <w:szCs w:val="17"/>
                <w:color w:val="0000FF"/>
                <w:w w:val="95"/>
              </w:rPr>
            </w:pPr>
            <w:hyperlink r:id="rId174">
              <w:r>
                <w:rPr>
                  <w:rFonts w:ascii="Arial" w:cs="Arial" w:eastAsia="Arial" w:hAnsi="Arial"/>
                  <w:sz w:val="17"/>
                  <w:szCs w:val="17"/>
                  <w:color w:val="0000FF"/>
                  <w:w w:val="95"/>
                </w:rPr>
                <w:t>(incorporated herein by reference to Exhibit 10.16 to the annual report on Form 10-K of Casella as filed on June 27, 2014</w:t>
              </w:r>
            </w:hyperlink>
          </w:p>
        </w:tc>
        <w:tc>
          <w:tcPr>
            <w:tcW w:w="640" w:type="dxa"/>
            <w:vAlign w:val="bottom"/>
            <w:gridSpan w:val="20"/>
          </w:tcPr>
          <w:p>
            <w:pPr>
              <w:jc w:val="right"/>
              <w:ind w:right="100"/>
              <w:spacing w:after="0" w:line="153" w:lineRule="exact"/>
              <w:rPr>
                <w:rFonts w:ascii="Arial" w:cs="Arial" w:eastAsia="Arial" w:hAnsi="Arial"/>
                <w:sz w:val="17"/>
                <w:szCs w:val="17"/>
                <w:color w:val="0000FF"/>
                <w:w w:val="93"/>
              </w:rPr>
            </w:pPr>
            <w:hyperlink r:id="rId174">
              <w:r>
                <w:rPr>
                  <w:rFonts w:ascii="Arial" w:cs="Arial" w:eastAsia="Arial" w:hAnsi="Arial"/>
                  <w:sz w:val="17"/>
                  <w:szCs w:val="17"/>
                  <w:color w:val="0000FF"/>
                  <w:w w:val="93"/>
                </w:rPr>
                <w:t>(file no.</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bottom w:val="single" w:sz="8" w:color="0000FF"/>
            </w:tcBorders>
            <w:gridSpan w:val="2"/>
          </w:tcPr>
          <w:p>
            <w:pPr>
              <w:spacing w:after="0" w:line="166" w:lineRule="exact"/>
              <w:rPr>
                <w:rFonts w:ascii="Arial" w:cs="Arial" w:eastAsia="Arial" w:hAnsi="Arial"/>
                <w:sz w:val="18"/>
                <w:szCs w:val="18"/>
                <w:color w:val="0000FF"/>
                <w:w w:val="87"/>
              </w:rPr>
            </w:pPr>
            <w:hyperlink r:id="rId174">
              <w:r>
                <w:rPr>
                  <w:rFonts w:ascii="Arial" w:cs="Arial" w:eastAsia="Arial" w:hAnsi="Arial"/>
                  <w:sz w:val="18"/>
                  <w:szCs w:val="18"/>
                  <w:color w:val="0000FF"/>
                  <w:w w:val="87"/>
                </w:rPr>
                <w:t>000-23211)).</w:t>
              </w:r>
            </w:hyperlink>
          </w:p>
        </w:tc>
        <w:tc>
          <w:tcPr>
            <w:tcW w:w="2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25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94967277"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10.13*</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4"/>
          </w:tcPr>
          <w:p>
            <w:pPr>
              <w:spacing w:after="0"/>
              <w:rPr>
                <w:rFonts w:ascii="Arial" w:cs="Arial" w:eastAsia="Arial" w:hAnsi="Arial"/>
                <w:sz w:val="18"/>
                <w:szCs w:val="18"/>
                <w:color w:val="0000FF"/>
                <w:w w:val="93"/>
              </w:rPr>
            </w:pPr>
            <w:hyperlink r:id="rId175">
              <w:r>
                <w:rPr>
                  <w:rFonts w:ascii="Arial" w:cs="Arial" w:eastAsia="Arial" w:hAnsi="Arial"/>
                  <w:sz w:val="18"/>
                  <w:szCs w:val="18"/>
                  <w:color w:val="0000FF"/>
                  <w:w w:val="93"/>
                </w:rPr>
                <w:t>Form of Restricted Share Unit Agreement granted under 2006 Stock Incentive Plan (employee with no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9"/>
          </w:tcPr>
          <w:p>
            <w:pPr>
              <w:spacing w:after="0" w:line="153" w:lineRule="exact"/>
              <w:rPr>
                <w:rFonts w:ascii="Arial" w:cs="Arial" w:eastAsia="Arial" w:hAnsi="Arial"/>
                <w:sz w:val="17"/>
                <w:szCs w:val="17"/>
                <w:color w:val="0000FF"/>
                <w:w w:val="94"/>
              </w:rPr>
            </w:pPr>
            <w:hyperlink r:id="rId175">
              <w:r>
                <w:rPr>
                  <w:rFonts w:ascii="Arial" w:cs="Arial" w:eastAsia="Arial" w:hAnsi="Arial"/>
                  <w:sz w:val="17"/>
                  <w:szCs w:val="17"/>
                  <w:color w:val="0000FF"/>
                  <w:w w:val="94"/>
                </w:rPr>
                <w:t>(incorporated herein by reference to Exhibit 10.17 to the annual report on Form 10-K of Casella as filed on June 27, 2014 (file</w:t>
              </w:r>
            </w:hyperlink>
          </w:p>
        </w:tc>
        <w:tc>
          <w:tcPr>
            <w:tcW w:w="20" w:type="dxa"/>
            <w:vAlign w:val="bottom"/>
          </w:tcPr>
          <w:p>
            <w:pPr>
              <w:spacing w:after="0"/>
              <w:rPr>
                <w:sz w:val="13"/>
                <w:szCs w:val="13"/>
                <w:color w:val="auto"/>
              </w:rPr>
            </w:pPr>
          </w:p>
        </w:tc>
        <w:tc>
          <w:tcPr>
            <w:tcW w:w="400" w:type="dxa"/>
            <w:vAlign w:val="bottom"/>
            <w:gridSpan w:val="14"/>
          </w:tcPr>
          <w:p>
            <w:pPr>
              <w:jc w:val="right"/>
              <w:ind w:right="100"/>
              <w:spacing w:after="0" w:line="153" w:lineRule="exact"/>
              <w:rPr>
                <w:rFonts w:ascii="Arial" w:cs="Arial" w:eastAsia="Arial" w:hAnsi="Arial"/>
                <w:sz w:val="17"/>
                <w:szCs w:val="17"/>
                <w:color w:val="0000FF"/>
              </w:rPr>
            </w:pPr>
            <w:hyperlink r:id="rId175">
              <w:r>
                <w:rPr>
                  <w:rFonts w:ascii="Arial" w:cs="Arial" w:eastAsia="Arial" w:hAnsi="Arial"/>
                  <w:sz w:val="17"/>
                  <w:szCs w:val="17"/>
                  <w:color w:val="0000FF"/>
                </w:rPr>
                <w:t>no.</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bottom w:val="single" w:sz="8" w:color="0000FF"/>
            </w:tcBorders>
            <w:gridSpan w:val="2"/>
          </w:tcPr>
          <w:p>
            <w:pPr>
              <w:spacing w:after="0" w:line="166" w:lineRule="exact"/>
              <w:rPr>
                <w:rFonts w:ascii="Arial" w:cs="Arial" w:eastAsia="Arial" w:hAnsi="Arial"/>
                <w:sz w:val="18"/>
                <w:szCs w:val="18"/>
                <w:color w:val="0000FF"/>
                <w:w w:val="87"/>
              </w:rPr>
            </w:pPr>
            <w:hyperlink r:id="rId175">
              <w:r>
                <w:rPr>
                  <w:rFonts w:ascii="Arial" w:cs="Arial" w:eastAsia="Arial" w:hAnsi="Arial"/>
                  <w:sz w:val="18"/>
                  <w:szCs w:val="18"/>
                  <w:color w:val="0000FF"/>
                  <w:w w:val="87"/>
                </w:rPr>
                <w:t>000-23211)).</w:t>
              </w:r>
            </w:hyperlink>
          </w:p>
        </w:tc>
        <w:tc>
          <w:tcPr>
            <w:tcW w:w="2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25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94967277"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10.14*</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4"/>
          </w:tcPr>
          <w:p>
            <w:pPr>
              <w:spacing w:after="0"/>
              <w:rPr>
                <w:rFonts w:ascii="Arial" w:cs="Arial" w:eastAsia="Arial" w:hAnsi="Arial"/>
                <w:sz w:val="18"/>
                <w:szCs w:val="18"/>
                <w:color w:val="0000FF"/>
                <w:w w:val="96"/>
              </w:rPr>
            </w:pPr>
            <w:hyperlink r:id="rId176">
              <w:r>
                <w:rPr>
                  <w:rFonts w:ascii="Arial" w:cs="Arial" w:eastAsia="Arial" w:hAnsi="Arial"/>
                  <w:sz w:val="18"/>
                  <w:szCs w:val="18"/>
                  <w:color w:val="0000FF"/>
                  <w:w w:val="96"/>
                </w:rPr>
                <w:t>Form of Restricted Stock Unit Agreement granted under 2006 Stock Incentive Plan (employee with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15"/>
          </w:tcPr>
          <w:p>
            <w:pPr>
              <w:spacing w:after="0" w:line="153" w:lineRule="exact"/>
              <w:rPr>
                <w:rFonts w:ascii="Arial" w:cs="Arial" w:eastAsia="Arial" w:hAnsi="Arial"/>
                <w:sz w:val="17"/>
                <w:szCs w:val="17"/>
                <w:color w:val="0000FF"/>
                <w:w w:val="95"/>
              </w:rPr>
            </w:pPr>
            <w:hyperlink r:id="rId176">
              <w:r>
                <w:rPr>
                  <w:rFonts w:ascii="Arial" w:cs="Arial" w:eastAsia="Arial" w:hAnsi="Arial"/>
                  <w:sz w:val="17"/>
                  <w:szCs w:val="17"/>
                  <w:color w:val="0000FF"/>
                  <w:w w:val="95"/>
                </w:rPr>
                <w:t>(incorporated herein by reference to Exhibit 10.18 to the annual report on Form 10-K of Casella as filed on June 27, 2014</w:t>
              </w:r>
            </w:hyperlink>
          </w:p>
        </w:tc>
        <w:tc>
          <w:tcPr>
            <w:tcW w:w="620" w:type="dxa"/>
            <w:vAlign w:val="bottom"/>
            <w:gridSpan w:val="19"/>
          </w:tcPr>
          <w:p>
            <w:pPr>
              <w:jc w:val="right"/>
              <w:ind w:right="100"/>
              <w:spacing w:after="0" w:line="153" w:lineRule="exact"/>
              <w:rPr>
                <w:rFonts w:ascii="Arial" w:cs="Arial" w:eastAsia="Arial" w:hAnsi="Arial"/>
                <w:sz w:val="17"/>
                <w:szCs w:val="17"/>
                <w:color w:val="0000FF"/>
                <w:w w:val="89"/>
              </w:rPr>
            </w:pPr>
            <w:hyperlink r:id="rId176">
              <w:r>
                <w:rPr>
                  <w:rFonts w:ascii="Arial" w:cs="Arial" w:eastAsia="Arial" w:hAnsi="Arial"/>
                  <w:sz w:val="17"/>
                  <w:szCs w:val="17"/>
                  <w:color w:val="0000FF"/>
                  <w:w w:val="89"/>
                </w:rPr>
                <w:t>(file no.</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bottom w:val="single" w:sz="8" w:color="0000FF"/>
            </w:tcBorders>
            <w:gridSpan w:val="2"/>
          </w:tcPr>
          <w:p>
            <w:pPr>
              <w:spacing w:after="0" w:line="166" w:lineRule="exact"/>
              <w:rPr>
                <w:rFonts w:ascii="Arial" w:cs="Arial" w:eastAsia="Arial" w:hAnsi="Arial"/>
                <w:sz w:val="18"/>
                <w:szCs w:val="18"/>
                <w:color w:val="0000FF"/>
                <w:w w:val="87"/>
              </w:rPr>
            </w:pPr>
            <w:hyperlink r:id="rId176">
              <w:r>
                <w:rPr>
                  <w:rFonts w:ascii="Arial" w:cs="Arial" w:eastAsia="Arial" w:hAnsi="Arial"/>
                  <w:sz w:val="18"/>
                  <w:szCs w:val="18"/>
                  <w:color w:val="0000FF"/>
                  <w:w w:val="87"/>
                </w:rPr>
                <w:t>000-23211)).</w:t>
              </w:r>
            </w:hyperlink>
          </w:p>
        </w:tc>
        <w:tc>
          <w:tcPr>
            <w:tcW w:w="2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25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94967277"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10.15*</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4"/>
          </w:tcPr>
          <w:p>
            <w:pPr>
              <w:spacing w:after="0"/>
              <w:rPr>
                <w:rFonts w:ascii="Arial" w:cs="Arial" w:eastAsia="Arial" w:hAnsi="Arial"/>
                <w:sz w:val="18"/>
                <w:szCs w:val="18"/>
                <w:color w:val="0000FF"/>
                <w:w w:val="94"/>
              </w:rPr>
            </w:pPr>
            <w:hyperlink r:id="rId177">
              <w:r>
                <w:rPr>
                  <w:rFonts w:ascii="Arial" w:cs="Arial" w:eastAsia="Arial" w:hAnsi="Arial"/>
                  <w:sz w:val="18"/>
                  <w:szCs w:val="18"/>
                  <w:color w:val="0000FF"/>
                  <w:w w:val="94"/>
                </w:rPr>
                <w:t>Form of Restricted Stock Unit Agreement granted under 2006 Stock Incentive Plan (employee with no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20"/>
          </w:tcPr>
          <w:p>
            <w:pPr>
              <w:spacing w:after="0" w:line="153" w:lineRule="exact"/>
              <w:rPr>
                <w:rFonts w:ascii="Arial" w:cs="Arial" w:eastAsia="Arial" w:hAnsi="Arial"/>
                <w:sz w:val="17"/>
                <w:szCs w:val="17"/>
                <w:color w:val="0000FF"/>
                <w:w w:val="94"/>
              </w:rPr>
            </w:pPr>
            <w:hyperlink r:id="rId177">
              <w:r>
                <w:rPr>
                  <w:rFonts w:ascii="Arial" w:cs="Arial" w:eastAsia="Arial" w:hAnsi="Arial"/>
                  <w:sz w:val="17"/>
                  <w:szCs w:val="17"/>
                  <w:color w:val="0000FF"/>
                  <w:w w:val="94"/>
                </w:rPr>
                <w:t>(incorporated herein by reference to Exhibit 10.19 to the annual report on Form 10-K of Casella as filed on June 27, 2014 (file</w:t>
              </w:r>
            </w:hyperlink>
          </w:p>
        </w:tc>
        <w:tc>
          <w:tcPr>
            <w:tcW w:w="400" w:type="dxa"/>
            <w:vAlign w:val="bottom"/>
            <w:gridSpan w:val="14"/>
          </w:tcPr>
          <w:p>
            <w:pPr>
              <w:jc w:val="right"/>
              <w:ind w:right="100"/>
              <w:spacing w:after="0" w:line="153" w:lineRule="exact"/>
              <w:rPr>
                <w:rFonts w:ascii="Arial" w:cs="Arial" w:eastAsia="Arial" w:hAnsi="Arial"/>
                <w:sz w:val="17"/>
                <w:szCs w:val="17"/>
                <w:color w:val="0000FF"/>
              </w:rPr>
            </w:pPr>
            <w:hyperlink r:id="rId177">
              <w:r>
                <w:rPr>
                  <w:rFonts w:ascii="Arial" w:cs="Arial" w:eastAsia="Arial" w:hAnsi="Arial"/>
                  <w:sz w:val="17"/>
                  <w:szCs w:val="17"/>
                  <w:color w:val="0000FF"/>
                </w:rPr>
                <w:t>no.</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bottom w:val="single" w:sz="8" w:color="0000FF"/>
            </w:tcBorders>
            <w:gridSpan w:val="2"/>
          </w:tcPr>
          <w:p>
            <w:pPr>
              <w:spacing w:after="0" w:line="166" w:lineRule="exact"/>
              <w:rPr>
                <w:rFonts w:ascii="Arial" w:cs="Arial" w:eastAsia="Arial" w:hAnsi="Arial"/>
                <w:sz w:val="18"/>
                <w:szCs w:val="18"/>
                <w:color w:val="0000FF"/>
                <w:w w:val="87"/>
              </w:rPr>
            </w:pPr>
            <w:hyperlink r:id="rId177">
              <w:r>
                <w:rPr>
                  <w:rFonts w:ascii="Arial" w:cs="Arial" w:eastAsia="Arial" w:hAnsi="Arial"/>
                  <w:sz w:val="18"/>
                  <w:szCs w:val="18"/>
                  <w:color w:val="0000FF"/>
                  <w:w w:val="87"/>
                </w:rPr>
                <w:t>000-23211)).</w:t>
              </w:r>
            </w:hyperlink>
          </w:p>
        </w:tc>
        <w:tc>
          <w:tcPr>
            <w:tcW w:w="2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25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94967277"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10.16*</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4"/>
          </w:tcPr>
          <w:p>
            <w:pPr>
              <w:spacing w:after="0"/>
              <w:rPr>
                <w:rFonts w:ascii="Arial" w:cs="Arial" w:eastAsia="Arial" w:hAnsi="Arial"/>
                <w:sz w:val="18"/>
                <w:szCs w:val="18"/>
                <w:color w:val="0000FF"/>
                <w:w w:val="89"/>
              </w:rPr>
            </w:pPr>
            <w:hyperlink r:id="rId178">
              <w:r>
                <w:rPr>
                  <w:rFonts w:ascii="Arial" w:cs="Arial" w:eastAsia="Arial" w:hAnsi="Arial"/>
                  <w:sz w:val="18"/>
                  <w:szCs w:val="18"/>
                  <w:color w:val="0000FF"/>
                  <w:w w:val="89"/>
                </w:rPr>
                <w:t>Form of Performance Share Unit Agreement granted under 2006 Stock Incentive Plan (incorporated herein by reference to Exhibit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6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4"/>
              </w:rPr>
            </w:pPr>
            <w:hyperlink r:id="rId178">
              <w:r>
                <w:rPr>
                  <w:rFonts w:ascii="Arial" w:cs="Arial" w:eastAsia="Arial" w:hAnsi="Arial"/>
                  <w:sz w:val="17"/>
                  <w:szCs w:val="17"/>
                  <w:color w:val="0000FF"/>
                  <w:w w:val="94"/>
                </w:rPr>
                <w:t>10.</w:t>
              </w:r>
              <w:r>
                <w:rPr>
                  <w:rFonts w:ascii="Arial" w:cs="Arial" w:eastAsia="Arial" w:hAnsi="Arial"/>
                  <w:sz w:val="17"/>
                  <w:szCs w:val="17"/>
                  <w:u w:val="single" w:color="auto"/>
                  <w:color w:val="0000FF"/>
                  <w:w w:val="94"/>
                </w:rPr>
                <w:t>2</w:t>
              </w:r>
              <w:r>
                <w:rPr>
                  <w:rFonts w:ascii="Arial" w:cs="Arial" w:eastAsia="Arial" w:hAnsi="Arial"/>
                  <w:sz w:val="17"/>
                  <w:szCs w:val="17"/>
                  <w:color w:val="0000FF"/>
                  <w:w w:val="94"/>
                </w:rPr>
                <w:t xml:space="preserve"> to the quarterly report on Form 10-Q of Casella as filed on September 4, 2008 (file no. 000-23211)).</w:t>
              </w:r>
            </w:hyperlink>
          </w:p>
        </w:tc>
        <w:tc>
          <w:tcPr>
            <w:tcW w:w="18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10.17*</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34"/>
          </w:tcPr>
          <w:p>
            <w:pPr>
              <w:spacing w:after="0"/>
              <w:rPr>
                <w:rFonts w:ascii="Arial" w:cs="Arial" w:eastAsia="Arial" w:hAnsi="Arial"/>
                <w:sz w:val="18"/>
                <w:szCs w:val="18"/>
                <w:color w:val="0000FF"/>
                <w:w w:val="94"/>
              </w:rPr>
            </w:pPr>
            <w:hyperlink r:id="rId179">
              <w:r>
                <w:rPr>
                  <w:rFonts w:ascii="Arial" w:cs="Arial" w:eastAsia="Arial" w:hAnsi="Arial"/>
                  <w:sz w:val="18"/>
                  <w:szCs w:val="18"/>
                  <w:color w:val="0000FF"/>
                  <w:w w:val="94"/>
                </w:rPr>
                <w:t>Form of Restricted Stock Unit Agreement granted under 2006 Stock Incentive Plan (adopted March 1, 2016) (employee with</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18"/>
          </w:tcPr>
          <w:p>
            <w:pPr>
              <w:spacing w:after="0" w:line="153" w:lineRule="exact"/>
              <w:rPr>
                <w:rFonts w:ascii="Arial" w:cs="Arial" w:eastAsia="Arial" w:hAnsi="Arial"/>
                <w:sz w:val="17"/>
                <w:szCs w:val="17"/>
                <w:color w:val="0000FF"/>
                <w:w w:val="95"/>
              </w:rPr>
            </w:pPr>
            <w:hyperlink r:id="rId179">
              <w:r>
                <w:rPr>
                  <w:rFonts w:ascii="Arial" w:cs="Arial" w:eastAsia="Arial" w:hAnsi="Arial"/>
                  <w:sz w:val="17"/>
                  <w:szCs w:val="17"/>
                  <w:color w:val="0000FF"/>
                  <w:w w:val="95"/>
                </w:rPr>
                <w:t>employment contract) (incorporated herein by reference to Exhibit 10.2 to the current report on Form 8-K of Casella as filed</w:t>
              </w:r>
            </w:hyperlink>
          </w:p>
        </w:tc>
        <w:tc>
          <w:tcPr>
            <w:tcW w:w="440" w:type="dxa"/>
            <w:vAlign w:val="bottom"/>
            <w:gridSpan w:val="16"/>
          </w:tcPr>
          <w:p>
            <w:pPr>
              <w:spacing w:after="0" w:line="153" w:lineRule="exact"/>
              <w:rPr>
                <w:rFonts w:ascii="Arial" w:cs="Arial" w:eastAsia="Arial" w:hAnsi="Arial"/>
                <w:sz w:val="17"/>
                <w:szCs w:val="17"/>
                <w:color w:val="0000FF"/>
              </w:rPr>
            </w:pPr>
            <w:hyperlink r:id="rId179">
              <w:r>
                <w:rPr>
                  <w:rFonts w:ascii="Arial" w:cs="Arial" w:eastAsia="Arial" w:hAnsi="Arial"/>
                  <w:sz w:val="17"/>
                  <w:szCs w:val="17"/>
                  <w:color w:val="0000FF"/>
                </w:rPr>
                <w:t>on</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Borders>
              <w:top w:val="single" w:sz="8" w:color="0000FF"/>
              <w:bottom w:val="single" w:sz="8" w:color="0000FF"/>
            </w:tcBorders>
            <w:gridSpan w:val="6"/>
          </w:tcPr>
          <w:p>
            <w:pPr>
              <w:spacing w:after="0" w:line="166" w:lineRule="exact"/>
              <w:rPr>
                <w:rFonts w:ascii="Arial" w:cs="Arial" w:eastAsia="Arial" w:hAnsi="Arial"/>
                <w:sz w:val="18"/>
                <w:szCs w:val="18"/>
                <w:color w:val="0000FF"/>
                <w:w w:val="91"/>
              </w:rPr>
            </w:pPr>
            <w:hyperlink r:id="rId179">
              <w:r>
                <w:rPr>
                  <w:rFonts w:ascii="Arial" w:cs="Arial" w:eastAsia="Arial" w:hAnsi="Arial"/>
                  <w:sz w:val="18"/>
                  <w:szCs w:val="18"/>
                  <w:color w:val="0000FF"/>
                  <w:w w:val="91"/>
                </w:rPr>
                <w:t>March 7, 2016 (file no. 000-23211)).</w:t>
              </w:r>
            </w:hyperlink>
          </w:p>
        </w:tc>
        <w:tc>
          <w:tcPr>
            <w:tcW w:w="6400" w:type="dxa"/>
            <w:vAlign w:val="bottom"/>
            <w:tcBorders>
              <w:top w:val="single" w:sz="8" w:color="0000FF"/>
            </w:tcBorders>
            <w:gridSpan w:val="15"/>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10.18*</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4"/>
          </w:tcPr>
          <w:p>
            <w:pPr>
              <w:spacing w:after="0"/>
              <w:rPr>
                <w:rFonts w:ascii="Arial" w:cs="Arial" w:eastAsia="Arial" w:hAnsi="Arial"/>
                <w:sz w:val="18"/>
                <w:szCs w:val="18"/>
                <w:color w:val="0000FF"/>
                <w:w w:val="91"/>
              </w:rPr>
            </w:pPr>
            <w:hyperlink r:id="rId180">
              <w:r>
                <w:rPr>
                  <w:rFonts w:ascii="Arial" w:cs="Arial" w:eastAsia="Arial" w:hAnsi="Arial"/>
                  <w:sz w:val="18"/>
                  <w:szCs w:val="18"/>
                  <w:color w:val="0000FF"/>
                  <w:w w:val="91"/>
                </w:rPr>
                <w:t>Form of Restricted Stock Unit Agreement granted under 2006 Stock Incentive Plan (adopted March 1, 2016) (employee with no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4"/>
          </w:tcPr>
          <w:p>
            <w:pPr>
              <w:spacing w:after="0" w:line="153" w:lineRule="exact"/>
              <w:rPr>
                <w:rFonts w:ascii="Arial" w:cs="Arial" w:eastAsia="Arial" w:hAnsi="Arial"/>
                <w:sz w:val="17"/>
                <w:szCs w:val="17"/>
                <w:color w:val="0000FF"/>
                <w:w w:val="96"/>
              </w:rPr>
            </w:pPr>
            <w:hyperlink r:id="rId180">
              <w:r>
                <w:rPr>
                  <w:rFonts w:ascii="Arial" w:cs="Arial" w:eastAsia="Arial" w:hAnsi="Arial"/>
                  <w:sz w:val="17"/>
                  <w:szCs w:val="17"/>
                  <w:color w:val="0000FF"/>
                  <w:w w:val="96"/>
                </w:rPr>
                <w:t>employment contract) (incorporated herein by reference to Exhibit 10.3 to the current report on Form 8-K of Casella as filed on</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tcBorders>
              <w:top w:val="single" w:sz="8" w:color="0000FF"/>
              <w:bottom w:val="single" w:sz="8" w:color="0000FF"/>
            </w:tcBorders>
            <w:gridSpan w:val="5"/>
          </w:tcPr>
          <w:p>
            <w:pPr>
              <w:spacing w:after="0" w:line="166" w:lineRule="exact"/>
              <w:rPr>
                <w:rFonts w:ascii="Arial" w:cs="Arial" w:eastAsia="Arial" w:hAnsi="Arial"/>
                <w:sz w:val="18"/>
                <w:szCs w:val="18"/>
                <w:color w:val="0000FF"/>
                <w:w w:val="90"/>
              </w:rPr>
            </w:pPr>
            <w:hyperlink r:id="rId180">
              <w:r>
                <w:rPr>
                  <w:rFonts w:ascii="Arial" w:cs="Arial" w:eastAsia="Arial" w:hAnsi="Arial"/>
                  <w:sz w:val="18"/>
                  <w:szCs w:val="18"/>
                  <w:color w:val="0000FF"/>
                  <w:w w:val="90"/>
                </w:rPr>
                <w:t>March 7, 2016 (file no. 000-23211)).</w:t>
              </w:r>
            </w:hyperlink>
          </w:p>
        </w:tc>
        <w:tc>
          <w:tcPr>
            <w:tcW w:w="6420" w:type="dxa"/>
            <w:vAlign w:val="bottom"/>
            <w:tcBorders>
              <w:top w:val="single" w:sz="8" w:color="0000FF"/>
            </w:tcBorders>
            <w:gridSpan w:val="16"/>
          </w:tcPr>
          <w:p>
            <w:pPr>
              <w:spacing w:after="0"/>
              <w:rPr>
                <w:sz w:val="14"/>
                <w:szCs w:val="14"/>
                <w:color w:val="auto"/>
              </w:rPr>
            </w:pPr>
          </w:p>
        </w:tc>
        <w:tc>
          <w:tcPr>
            <w:tcW w:w="10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10.19*</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40" w:type="dxa"/>
            <w:vAlign w:val="bottom"/>
            <w:tcBorders>
              <w:bottom w:val="single" w:sz="8" w:color="0000FF"/>
            </w:tcBorders>
            <w:gridSpan w:val="25"/>
          </w:tcPr>
          <w:p>
            <w:pPr>
              <w:spacing w:after="0"/>
              <w:rPr>
                <w:rFonts w:ascii="Arial" w:cs="Arial" w:eastAsia="Arial" w:hAnsi="Arial"/>
                <w:sz w:val="18"/>
                <w:szCs w:val="18"/>
                <w:color w:val="0000FF"/>
                <w:w w:val="88"/>
              </w:rPr>
            </w:pPr>
            <w:hyperlink r:id="rId181">
              <w:r>
                <w:rPr>
                  <w:rFonts w:ascii="Arial" w:cs="Arial" w:eastAsia="Arial" w:hAnsi="Arial"/>
                  <w:sz w:val="18"/>
                  <w:szCs w:val="18"/>
                  <w:color w:val="0000FF"/>
                  <w:w w:val="88"/>
                </w:rPr>
                <w:t>Amended and Restated Employment Agreement between Casella and Edwin D. Johnson dated as of June 20, 2022 (incorporated</w:t>
              </w:r>
            </w:hyperlink>
          </w:p>
        </w:tc>
        <w:tc>
          <w:tcPr>
            <w:tcW w:w="18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34"/>
          </w:tcPr>
          <w:p>
            <w:pPr>
              <w:spacing w:after="0" w:line="153" w:lineRule="exact"/>
              <w:rPr>
                <w:rFonts w:ascii="Arial" w:cs="Arial" w:eastAsia="Arial" w:hAnsi="Arial"/>
                <w:sz w:val="17"/>
                <w:szCs w:val="17"/>
                <w:color w:val="0000FF"/>
                <w:w w:val="96"/>
              </w:rPr>
            </w:pPr>
            <w:hyperlink r:id="rId181">
              <w:r>
                <w:rPr>
                  <w:rFonts w:ascii="Arial" w:cs="Arial" w:eastAsia="Arial" w:hAnsi="Arial"/>
                  <w:sz w:val="17"/>
                  <w:szCs w:val="17"/>
                  <w:color w:val="0000FF"/>
                  <w:w w:val="96"/>
                </w:rPr>
                <w:t>herein by reference to Exhibit 10.1 to the Current Report on Form 8-K of Casella as filed on June 22, 2022 (file no. 000-23211)).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80" w:type="dxa"/>
            <w:vAlign w:val="bottom"/>
            <w:gridSpan w:val="11"/>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20" w:type="dxa"/>
            <w:vAlign w:val="bottom"/>
            <w:gridSpan w:val="9"/>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10.20*</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20" w:type="dxa"/>
            <w:vAlign w:val="bottom"/>
            <w:tcBorders>
              <w:bottom w:val="single" w:sz="8" w:color="0000FF"/>
            </w:tcBorders>
            <w:gridSpan w:val="30"/>
          </w:tcPr>
          <w:p>
            <w:pPr>
              <w:spacing w:after="0"/>
              <w:rPr>
                <w:rFonts w:ascii="Arial" w:cs="Arial" w:eastAsia="Arial" w:hAnsi="Arial"/>
                <w:sz w:val="18"/>
                <w:szCs w:val="18"/>
                <w:color w:val="0000FF"/>
                <w:w w:val="88"/>
              </w:rPr>
            </w:pPr>
            <w:hyperlink r:id="rId182">
              <w:r>
                <w:rPr>
                  <w:rFonts w:ascii="Arial" w:cs="Arial" w:eastAsia="Arial" w:hAnsi="Arial"/>
                  <w:sz w:val="18"/>
                  <w:szCs w:val="18"/>
                  <w:color w:val="0000FF"/>
                  <w:w w:val="88"/>
                </w:rPr>
                <w:t>Amendment to Amended and Restated Employment Agreement between Casella and Edwin D. Johnson dated as of July 21, 2022</w:t>
              </w:r>
            </w:hyperlink>
          </w:p>
        </w:tc>
        <w:tc>
          <w:tcPr>
            <w:tcW w:w="10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34"/>
          </w:tcPr>
          <w:p>
            <w:pPr>
              <w:spacing w:after="0" w:line="153" w:lineRule="exact"/>
              <w:rPr>
                <w:rFonts w:ascii="Arial" w:cs="Arial" w:eastAsia="Arial" w:hAnsi="Arial"/>
                <w:sz w:val="17"/>
                <w:szCs w:val="17"/>
                <w:color w:val="0000FF"/>
                <w:w w:val="95"/>
              </w:rPr>
            </w:pPr>
            <w:hyperlink r:id="rId182">
              <w:r>
                <w:rPr>
                  <w:rFonts w:ascii="Arial" w:cs="Arial" w:eastAsia="Arial" w:hAnsi="Arial"/>
                  <w:sz w:val="17"/>
                  <w:szCs w:val="17"/>
                  <w:color w:val="0000FF"/>
                  <w:w w:val="95"/>
                </w:rPr>
                <w:t>(incorporated herein by reference to Exhibit 10.5 to the quarterly report on Form 10-Q of Casella as filed on July 29, 2022 (file no.</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bottom w:val="single" w:sz="8" w:color="0000FF"/>
            </w:tcBorders>
            <w:gridSpan w:val="2"/>
          </w:tcPr>
          <w:p>
            <w:pPr>
              <w:spacing w:after="0" w:line="166" w:lineRule="exact"/>
              <w:rPr>
                <w:rFonts w:ascii="Arial" w:cs="Arial" w:eastAsia="Arial" w:hAnsi="Arial"/>
                <w:sz w:val="18"/>
                <w:szCs w:val="18"/>
                <w:color w:val="0000FF"/>
                <w:w w:val="87"/>
              </w:rPr>
            </w:pPr>
            <w:hyperlink r:id="rId182">
              <w:r>
                <w:rPr>
                  <w:rFonts w:ascii="Arial" w:cs="Arial" w:eastAsia="Arial" w:hAnsi="Arial"/>
                  <w:sz w:val="18"/>
                  <w:szCs w:val="18"/>
                  <w:color w:val="0000FF"/>
                  <w:w w:val="87"/>
                </w:rPr>
                <w:t>000-23211)).</w:t>
              </w:r>
            </w:hyperlink>
          </w:p>
        </w:tc>
        <w:tc>
          <w:tcPr>
            <w:tcW w:w="2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25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94967277"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10.21*</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4"/>
          </w:tcPr>
          <w:p>
            <w:pPr>
              <w:spacing w:after="0"/>
              <w:rPr>
                <w:rFonts w:ascii="Arial" w:cs="Arial" w:eastAsia="Arial" w:hAnsi="Arial"/>
                <w:sz w:val="18"/>
                <w:szCs w:val="18"/>
                <w:color w:val="0000FF"/>
                <w:w w:val="89"/>
              </w:rPr>
            </w:pPr>
            <w:hyperlink r:id="rId183">
              <w:r>
                <w:rPr>
                  <w:rFonts w:ascii="Arial" w:cs="Arial" w:eastAsia="Arial" w:hAnsi="Arial"/>
                  <w:sz w:val="18"/>
                  <w:szCs w:val="18"/>
                  <w:color w:val="0000FF"/>
                  <w:w w:val="89"/>
                </w:rPr>
                <w:t>Amended and Restated Employment Agreement between Casella and Edmond R. Coletta dated as of June 20, 2022 (incorporated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28"/>
          </w:tcPr>
          <w:p>
            <w:pPr>
              <w:spacing w:after="0" w:line="153" w:lineRule="exact"/>
              <w:rPr>
                <w:rFonts w:ascii="Arial" w:cs="Arial" w:eastAsia="Arial" w:hAnsi="Arial"/>
                <w:sz w:val="17"/>
                <w:szCs w:val="17"/>
                <w:color w:val="0000FF"/>
              </w:rPr>
            </w:pPr>
            <w:hyperlink r:id="rId183">
              <w:r>
                <w:rPr>
                  <w:rFonts w:ascii="Arial" w:cs="Arial" w:eastAsia="Arial" w:hAnsi="Arial"/>
                  <w:sz w:val="17"/>
                  <w:szCs w:val="17"/>
                  <w:color w:val="0000FF"/>
                </w:rPr>
                <w:t>herein by reference to Exhibit 10.1 to the Current Report on Form 8-K/A of Casella as filed on June 22, 2022 (file no. 000-</w:t>
              </w:r>
            </w:hyperlink>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top w:val="single" w:sz="8" w:color="0000FF"/>
              <w:bottom w:val="single" w:sz="8" w:color="0000FF"/>
            </w:tcBorders>
          </w:tcPr>
          <w:p>
            <w:pPr>
              <w:spacing w:after="0" w:line="166" w:lineRule="exact"/>
              <w:rPr>
                <w:rFonts w:ascii="Arial" w:cs="Arial" w:eastAsia="Arial" w:hAnsi="Arial"/>
                <w:sz w:val="18"/>
                <w:szCs w:val="18"/>
                <w:color w:val="0000FF"/>
                <w:w w:val="86"/>
              </w:rPr>
            </w:pPr>
            <w:hyperlink r:id="rId183">
              <w:r>
                <w:rPr>
                  <w:rFonts w:ascii="Arial" w:cs="Arial" w:eastAsia="Arial" w:hAnsi="Arial"/>
                  <w:sz w:val="18"/>
                  <w:szCs w:val="18"/>
                  <w:color w:val="0000FF"/>
                  <w:w w:val="86"/>
                </w:rPr>
                <w:t>23211)</w:t>
              </w:r>
              <w:r>
                <w:rPr>
                  <w:rFonts w:ascii="Arial" w:cs="Arial" w:eastAsia="Arial" w:hAnsi="Arial"/>
                  <w:sz w:val="18"/>
                  <w:szCs w:val="18"/>
                  <w:u w:val="single" w:color="auto"/>
                  <w:color w:val="0000FF"/>
                  <w:w w:val="86"/>
                </w:rPr>
                <w:t>)</w:t>
              </w:r>
              <w:r>
                <w:rPr>
                  <w:rFonts w:ascii="Arial" w:cs="Arial" w:eastAsia="Arial" w:hAnsi="Arial"/>
                  <w:sz w:val="18"/>
                  <w:szCs w:val="18"/>
                  <w:color w:val="0000FF"/>
                  <w:w w:val="86"/>
                </w:rPr>
                <w:t>.</w:t>
              </w:r>
            </w:hyperlink>
          </w:p>
        </w:tc>
        <w:tc>
          <w:tcPr>
            <w:tcW w:w="3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25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10.22*</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4"/>
          </w:tcPr>
          <w:p>
            <w:pPr>
              <w:spacing w:after="0"/>
              <w:rPr>
                <w:rFonts w:ascii="Arial" w:cs="Arial" w:eastAsia="Arial" w:hAnsi="Arial"/>
                <w:sz w:val="18"/>
                <w:szCs w:val="18"/>
                <w:color w:val="0000FF"/>
                <w:w w:val="88"/>
              </w:rPr>
            </w:pPr>
            <w:hyperlink r:id="rId184">
              <w:r>
                <w:rPr>
                  <w:rFonts w:ascii="Arial" w:cs="Arial" w:eastAsia="Arial" w:hAnsi="Arial"/>
                  <w:sz w:val="18"/>
                  <w:szCs w:val="18"/>
                  <w:color w:val="0000FF"/>
                  <w:w w:val="88"/>
                </w:rPr>
                <w:t>Employment Agreement between Casella and Shelley E. Sayward dated as of January 1, 2021 (incorporated herein by reference 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32"/>
          </w:tcPr>
          <w:p>
            <w:pPr>
              <w:spacing w:after="0" w:line="153" w:lineRule="exact"/>
              <w:rPr>
                <w:rFonts w:ascii="Arial" w:cs="Arial" w:eastAsia="Arial" w:hAnsi="Arial"/>
                <w:sz w:val="17"/>
                <w:szCs w:val="17"/>
                <w:color w:val="0000FF"/>
              </w:rPr>
            </w:pPr>
            <w:hyperlink r:id="rId184">
              <w:r>
                <w:rPr>
                  <w:rFonts w:ascii="Arial" w:cs="Arial" w:eastAsia="Arial" w:hAnsi="Arial"/>
                  <w:sz w:val="17"/>
                  <w:szCs w:val="17"/>
                  <w:color w:val="0000FF"/>
                </w:rPr>
                <w:t>exhibit 10.25 to the annual report on Form 10-K of Casella as filed on February 19, 2021 (file no. 000-23211)).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36"/>
        </w:trPr>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top w:val="single" w:sz="8" w:color="0000FF"/>
            </w:tcBorders>
            <w:gridSpan w:val="7"/>
          </w:tcPr>
          <w:p>
            <w:pPr>
              <w:ind w:left="3580"/>
              <w:spacing w:after="0"/>
              <w:rPr>
                <w:sz w:val="20"/>
                <w:szCs w:val="20"/>
                <w:color w:val="auto"/>
              </w:rPr>
            </w:pPr>
            <w:r>
              <w:rPr>
                <w:rFonts w:ascii="Arial" w:cs="Arial" w:eastAsia="Arial" w:hAnsi="Arial"/>
                <w:sz w:val="18"/>
                <w:szCs w:val="18"/>
                <w:color w:val="auto"/>
              </w:rPr>
              <w:t>107</w:t>
            </w:r>
          </w:p>
        </w:tc>
        <w:tc>
          <w:tcPr>
            <w:tcW w:w="25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94967277"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sz w:val="20"/>
                <w:szCs w:val="20"/>
                <w:color w:val="auto"/>
              </w:rPr>
            </w:pPr>
            <w:r>
              <w:rPr>
                <w:rFonts w:ascii="Arial" w:cs="Arial" w:eastAsia="Arial" w:hAnsi="Arial"/>
                <w:sz w:val="14"/>
                <w:szCs w:val="14"/>
                <w:b w:val="1"/>
                <w:bCs w:val="1"/>
                <w:color w:val="0000FF"/>
                <w:w w:val="89"/>
              </w:rPr>
              <w:t>Table of Contents</w:t>
            </w:r>
          </w:p>
        </w:tc>
        <w:tc>
          <w:tcPr>
            <w:tcW w:w="8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8"/>
        </w:trPr>
        <w:tc>
          <w:tcPr>
            <w:tcW w:w="1900" w:type="dxa"/>
            <w:vAlign w:val="bottom"/>
            <w:gridSpan w:val="3"/>
          </w:tcPr>
          <w:p>
            <w:pPr>
              <w:ind w:left="5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120" w:type="dxa"/>
            <w:vAlign w:val="bottom"/>
            <w:gridSpan w:val="26"/>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900" w:type="dxa"/>
            <w:vAlign w:val="bottom"/>
            <w:gridSpan w:val="3"/>
          </w:tcPr>
          <w:p>
            <w:pPr>
              <w:ind w:left="6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120" w:type="dxa"/>
            <w:vAlign w:val="bottom"/>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10.23*</w:t>
            </w: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320" w:type="dxa"/>
            <w:vAlign w:val="bottom"/>
            <w:tcBorders>
              <w:top w:val="single" w:sz="8" w:color="auto"/>
            </w:tcBorders>
            <w:gridSpan w:val="31"/>
          </w:tcPr>
          <w:p>
            <w:pPr>
              <w:spacing w:after="0"/>
              <w:rPr>
                <w:rFonts w:ascii="Arial" w:cs="Arial" w:eastAsia="Arial" w:hAnsi="Arial"/>
                <w:sz w:val="18"/>
                <w:szCs w:val="18"/>
                <w:color w:val="0000FF"/>
                <w:w w:val="95"/>
              </w:rPr>
            </w:pPr>
            <w:hyperlink r:id="rId187">
              <w:r>
                <w:rPr>
                  <w:rFonts w:ascii="Arial" w:cs="Arial" w:eastAsia="Arial" w:hAnsi="Arial"/>
                  <w:sz w:val="18"/>
                  <w:szCs w:val="18"/>
                  <w:color w:val="0000FF"/>
                  <w:w w:val="95"/>
                </w:rPr>
                <w:t>Amended and Restated Employment Agreement between Casella and Christopher B. Heald dated as of October 25, 2021</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tcBorders>
              <w:top w:val="single" w:sz="8" w:color="0000FF"/>
              <w:bottom w:val="single" w:sz="8" w:color="0000FF"/>
            </w:tcBorders>
            <w:gridSpan w:val="14"/>
          </w:tcPr>
          <w:p>
            <w:pPr>
              <w:spacing w:after="0" w:line="153" w:lineRule="exact"/>
              <w:rPr>
                <w:rFonts w:ascii="Arial" w:cs="Arial" w:eastAsia="Arial" w:hAnsi="Arial"/>
                <w:sz w:val="17"/>
                <w:szCs w:val="17"/>
                <w:color w:val="0000FF"/>
                <w:w w:val="95"/>
              </w:rPr>
            </w:pPr>
            <w:hyperlink r:id="rId187">
              <w:r>
                <w:rPr>
                  <w:rFonts w:ascii="Arial" w:cs="Arial" w:eastAsia="Arial" w:hAnsi="Arial"/>
                  <w:sz w:val="17"/>
                  <w:szCs w:val="17"/>
                  <w:color w:val="0000FF"/>
                  <w:w w:val="95"/>
                </w:rPr>
                <w:t>(incorporated herein by reference to Exhibit 10.1 to the quarterly report on Form 10-Q of Casella as filed on October 29,</w:t>
              </w:r>
            </w:hyperlink>
          </w:p>
        </w:tc>
        <w:tc>
          <w:tcPr>
            <w:tcW w:w="380" w:type="dxa"/>
            <w:vAlign w:val="bottom"/>
            <w:tcBorders>
              <w:bottom w:val="single" w:sz="8" w:color="0000FF"/>
            </w:tcBorders>
            <w:gridSpan w:val="4"/>
          </w:tcPr>
          <w:p>
            <w:pPr>
              <w:jc w:val="right"/>
              <w:ind w:right="20"/>
              <w:spacing w:after="0" w:line="153" w:lineRule="exact"/>
              <w:rPr>
                <w:rFonts w:ascii="Arial" w:cs="Arial" w:eastAsia="Arial" w:hAnsi="Arial"/>
                <w:sz w:val="17"/>
                <w:szCs w:val="17"/>
                <w:color w:val="0000FF"/>
                <w:w w:val="89"/>
              </w:rPr>
            </w:pPr>
            <w:hyperlink r:id="rId187">
              <w:r>
                <w:rPr>
                  <w:rFonts w:ascii="Arial" w:cs="Arial" w:eastAsia="Arial" w:hAnsi="Arial"/>
                  <w:sz w:val="17"/>
                  <w:szCs w:val="17"/>
                  <w:color w:val="0000FF"/>
                  <w:w w:val="89"/>
                </w:rPr>
                <w:t>2021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Borders>
              <w:bottom w:val="single" w:sz="8" w:color="0000FF"/>
            </w:tcBorders>
            <w:gridSpan w:val="3"/>
          </w:tcPr>
          <w:p>
            <w:pPr>
              <w:spacing w:after="0" w:line="166" w:lineRule="exact"/>
              <w:rPr>
                <w:rFonts w:ascii="Arial" w:cs="Arial" w:eastAsia="Arial" w:hAnsi="Arial"/>
                <w:sz w:val="18"/>
                <w:szCs w:val="18"/>
                <w:color w:val="0000FF"/>
                <w:w w:val="90"/>
              </w:rPr>
            </w:pPr>
            <w:hyperlink r:id="rId187">
              <w:r>
                <w:rPr>
                  <w:rFonts w:ascii="Arial" w:cs="Arial" w:eastAsia="Arial" w:hAnsi="Arial"/>
                  <w:sz w:val="18"/>
                  <w:szCs w:val="18"/>
                  <w:color w:val="0000FF"/>
                  <w:w w:val="90"/>
                </w:rPr>
                <w:t>(file no. 000-23211).</w:t>
              </w:r>
            </w:hyperlink>
          </w:p>
        </w:tc>
        <w:tc>
          <w:tcPr>
            <w:tcW w:w="748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10.24*</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1"/>
          </w:tcPr>
          <w:p>
            <w:pPr>
              <w:spacing w:after="0"/>
              <w:rPr>
                <w:rFonts w:ascii="Arial" w:cs="Arial" w:eastAsia="Arial" w:hAnsi="Arial"/>
                <w:sz w:val="18"/>
                <w:szCs w:val="18"/>
                <w:color w:val="0000FF"/>
                <w:w w:val="93"/>
              </w:rPr>
            </w:pPr>
            <w:hyperlink r:id="rId188">
              <w:r>
                <w:rPr>
                  <w:rFonts w:ascii="Arial" w:cs="Arial" w:eastAsia="Arial" w:hAnsi="Arial"/>
                  <w:sz w:val="18"/>
                  <w:szCs w:val="18"/>
                  <w:color w:val="0000FF"/>
                  <w:w w:val="93"/>
                </w:rPr>
                <w:t>Employment Agreement between Casella and Kevin Drohan effective as of April 1, 2022 (incorporated herein by reference 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0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5"/>
              </w:rPr>
            </w:pPr>
            <w:hyperlink r:id="rId188">
              <w:r>
                <w:rPr>
                  <w:rFonts w:ascii="Arial" w:cs="Arial" w:eastAsia="Arial" w:hAnsi="Arial"/>
                  <w:sz w:val="17"/>
                  <w:szCs w:val="17"/>
                  <w:color w:val="0000FF"/>
                  <w:w w:val="95"/>
                </w:rPr>
                <w:t>Exhibit 10.1 to the Current Report on Form 8-K of Casella as filed on March 31, 2022 (file no. 000-23211)).</w:t>
              </w:r>
            </w:hyperlink>
          </w:p>
        </w:tc>
        <w:tc>
          <w:tcPr>
            <w:tcW w:w="12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10.25*</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31"/>
          </w:tcPr>
          <w:p>
            <w:pPr>
              <w:spacing w:after="0"/>
              <w:rPr>
                <w:rFonts w:ascii="Arial" w:cs="Arial" w:eastAsia="Arial" w:hAnsi="Arial"/>
                <w:sz w:val="18"/>
                <w:szCs w:val="18"/>
                <w:color w:val="0000FF"/>
                <w:w w:val="89"/>
              </w:rPr>
            </w:pPr>
            <w:hyperlink r:id="rId189">
              <w:r>
                <w:rPr>
                  <w:rFonts w:ascii="Arial" w:cs="Arial" w:eastAsia="Arial" w:hAnsi="Arial"/>
                  <w:sz w:val="18"/>
                  <w:szCs w:val="18"/>
                  <w:color w:val="0000FF"/>
                  <w:w w:val="89"/>
                </w:rPr>
                <w:t>Employment Agreement between Casella and Sean Steves effective as of July 1, 2022 (incorporated herein by reference to Exhibit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30"/>
          </w:tcPr>
          <w:p>
            <w:pPr>
              <w:spacing w:after="0" w:line="153" w:lineRule="exact"/>
              <w:rPr>
                <w:rFonts w:ascii="Arial" w:cs="Arial" w:eastAsia="Arial" w:hAnsi="Arial"/>
                <w:sz w:val="17"/>
                <w:szCs w:val="17"/>
                <w:color w:val="0000FF"/>
              </w:rPr>
            </w:pPr>
            <w:hyperlink r:id="rId189">
              <w:r>
                <w:rPr>
                  <w:rFonts w:ascii="Arial" w:cs="Arial" w:eastAsia="Arial" w:hAnsi="Arial"/>
                  <w:sz w:val="17"/>
                  <w:szCs w:val="17"/>
                  <w:color w:val="0000FF"/>
                </w:rPr>
                <w:t>10.</w:t>
              </w:r>
              <w:r>
                <w:rPr>
                  <w:rFonts w:ascii="Arial" w:cs="Arial" w:eastAsia="Arial" w:hAnsi="Arial"/>
                  <w:sz w:val="17"/>
                  <w:szCs w:val="17"/>
                  <w:u w:val="single" w:color="auto"/>
                  <w:color w:val="0000FF"/>
                </w:rPr>
                <w:t>2</w:t>
              </w:r>
              <w:r>
                <w:rPr>
                  <w:rFonts w:ascii="Arial" w:cs="Arial" w:eastAsia="Arial" w:hAnsi="Arial"/>
                  <w:sz w:val="17"/>
                  <w:szCs w:val="17"/>
                  <w:color w:val="0000FF"/>
                </w:rPr>
                <w:t xml:space="preserve"> to the Current Report on Form 8-K/A of Casella as filed on June 22, 2022 (file no. 000-23211)).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10.26</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31"/>
          </w:tcPr>
          <w:p>
            <w:pPr>
              <w:spacing w:after="0"/>
              <w:rPr>
                <w:rFonts w:ascii="Arial" w:cs="Arial" w:eastAsia="Arial" w:hAnsi="Arial"/>
                <w:sz w:val="18"/>
                <w:szCs w:val="18"/>
                <w:color w:val="0000FF"/>
                <w:w w:val="96"/>
              </w:rPr>
            </w:pPr>
            <w:hyperlink r:id="rId190">
              <w:r>
                <w:rPr>
                  <w:rFonts w:ascii="Arial" w:cs="Arial" w:eastAsia="Arial" w:hAnsi="Arial"/>
                  <w:sz w:val="18"/>
                  <w:szCs w:val="18"/>
                  <w:color w:val="0000FF"/>
                  <w:w w:val="96"/>
                </w:rPr>
                <w:t>Extension of Lease Agreements dated as of April 23, 2013, between Casella Associates and Casella, amending (i) Lease</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bottom w:val="single" w:sz="8" w:color="0000FF"/>
            </w:tcBorders>
            <w:gridSpan w:val="19"/>
          </w:tcPr>
          <w:p>
            <w:pPr>
              <w:spacing w:after="0" w:line="153" w:lineRule="exact"/>
              <w:rPr>
                <w:rFonts w:ascii="Arial" w:cs="Arial" w:eastAsia="Arial" w:hAnsi="Arial"/>
                <w:sz w:val="17"/>
                <w:szCs w:val="17"/>
                <w:color w:val="0000FF"/>
                <w:w w:val="93"/>
              </w:rPr>
            </w:pPr>
            <w:hyperlink r:id="rId190">
              <w:r>
                <w:rPr>
                  <w:rFonts w:ascii="Arial" w:cs="Arial" w:eastAsia="Arial" w:hAnsi="Arial"/>
                  <w:sz w:val="17"/>
                  <w:szCs w:val="17"/>
                  <w:color w:val="0000FF"/>
                  <w:w w:val="93"/>
                </w:rPr>
                <w:t>Agreement dated August 1, 1993, as amended (Montpelier lease) and (ii) Lease Agreement dated August 1, 1993, as amended</w:t>
              </w:r>
            </w:hyperlink>
          </w:p>
        </w:tc>
        <w:tc>
          <w:tcPr>
            <w:tcW w:w="3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gridSpan w:val="31"/>
          </w:tcPr>
          <w:p>
            <w:pPr>
              <w:spacing w:after="0" w:line="166" w:lineRule="exact"/>
              <w:rPr>
                <w:rFonts w:ascii="Arial" w:cs="Arial" w:eastAsia="Arial" w:hAnsi="Arial"/>
                <w:sz w:val="18"/>
                <w:szCs w:val="18"/>
                <w:color w:val="0000FF"/>
                <w:w w:val="91"/>
              </w:rPr>
            </w:pPr>
            <w:hyperlink r:id="rId190">
              <w:r>
                <w:rPr>
                  <w:rFonts w:ascii="Arial" w:cs="Arial" w:eastAsia="Arial" w:hAnsi="Arial"/>
                  <w:sz w:val="18"/>
                  <w:szCs w:val="18"/>
                  <w:color w:val="0000FF"/>
                  <w:w w:val="91"/>
                </w:rPr>
                <w:t>(Rutland lease) (incorporated herein by reference to Exhibit 10.29 to the annual report on Form 10-K of Casella as filed on June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5"/>
          </w:tcPr>
          <w:p>
            <w:pPr>
              <w:spacing w:after="0" w:line="153" w:lineRule="exact"/>
              <w:rPr>
                <w:rFonts w:ascii="Arial" w:cs="Arial" w:eastAsia="Arial" w:hAnsi="Arial"/>
                <w:sz w:val="17"/>
                <w:szCs w:val="17"/>
                <w:color w:val="0000FF"/>
                <w:w w:val="95"/>
              </w:rPr>
            </w:pPr>
            <w:hyperlink r:id="rId190">
              <w:r>
                <w:rPr>
                  <w:rFonts w:ascii="Arial" w:cs="Arial" w:eastAsia="Arial" w:hAnsi="Arial"/>
                  <w:sz w:val="17"/>
                  <w:szCs w:val="17"/>
                  <w:color w:val="0000FF"/>
                  <w:w w:val="95"/>
                </w:rPr>
                <w:t>27, 2014 (file no. 000-23211)).</w:t>
              </w:r>
            </w:hyperlink>
          </w:p>
        </w:tc>
        <w:tc>
          <w:tcPr>
            <w:tcW w:w="6900" w:type="dxa"/>
            <w:vAlign w:val="bottom"/>
            <w:tcBorders>
              <w:top w:val="single" w:sz="8" w:color="0000FF"/>
            </w:tcBorders>
            <w:gridSpan w:val="1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10.27*</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1"/>
          </w:tcPr>
          <w:p>
            <w:pPr>
              <w:spacing w:after="0"/>
              <w:rPr>
                <w:rFonts w:ascii="Arial" w:cs="Arial" w:eastAsia="Arial" w:hAnsi="Arial"/>
                <w:sz w:val="18"/>
                <w:szCs w:val="18"/>
                <w:color w:val="0000FF"/>
                <w:w w:val="91"/>
              </w:rPr>
            </w:pPr>
            <w:hyperlink r:id="rId191">
              <w:r>
                <w:rPr>
                  <w:rFonts w:ascii="Arial" w:cs="Arial" w:eastAsia="Arial" w:hAnsi="Arial"/>
                  <w:sz w:val="18"/>
                  <w:szCs w:val="18"/>
                  <w:color w:val="0000FF"/>
                  <w:w w:val="91"/>
                </w:rPr>
                <w:t>Casella Waste Systems, Inc. Non-Equity Incentive Plan (incorporated herein by reference to Exhibit 10.1 of the current report on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6"/>
          </w:tcPr>
          <w:p>
            <w:pPr>
              <w:spacing w:after="0" w:line="153" w:lineRule="exact"/>
              <w:rPr>
                <w:rFonts w:ascii="Arial" w:cs="Arial" w:eastAsia="Arial" w:hAnsi="Arial"/>
                <w:sz w:val="17"/>
                <w:szCs w:val="17"/>
                <w:color w:val="0000FF"/>
              </w:rPr>
            </w:pPr>
            <w:hyperlink r:id="rId191">
              <w:r>
                <w:rPr>
                  <w:rFonts w:ascii="Arial" w:cs="Arial" w:eastAsia="Arial" w:hAnsi="Arial"/>
                  <w:sz w:val="17"/>
                  <w:szCs w:val="17"/>
                  <w:color w:val="0000FF"/>
                </w:rPr>
                <w:t>Form 8-K of Casella as filed on March 7, 2016 (file no. 000-23211)).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10.28*</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31"/>
          </w:tcPr>
          <w:p>
            <w:pPr>
              <w:spacing w:after="0"/>
              <w:rPr>
                <w:rFonts w:ascii="Arial" w:cs="Arial" w:eastAsia="Arial" w:hAnsi="Arial"/>
                <w:sz w:val="18"/>
                <w:szCs w:val="18"/>
                <w:color w:val="0000FF"/>
                <w:w w:val="91"/>
              </w:rPr>
            </w:pPr>
            <w:hyperlink r:id="rId192">
              <w:r>
                <w:rPr>
                  <w:rFonts w:ascii="Arial" w:cs="Arial" w:eastAsia="Arial" w:hAnsi="Arial"/>
                  <w:sz w:val="18"/>
                  <w:szCs w:val="18"/>
                  <w:color w:val="0000FF"/>
                  <w:w w:val="91"/>
                </w:rPr>
                <w:t>Casella Waste Systems, Inc. 2016 Incentive Plan (incorporated herein by reference to Exhibit 99.1 to the Registration Statement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23"/>
          </w:tcPr>
          <w:p>
            <w:pPr>
              <w:spacing w:after="0" w:line="153" w:lineRule="exact"/>
              <w:rPr>
                <w:rFonts w:ascii="Arial" w:cs="Arial" w:eastAsia="Arial" w:hAnsi="Arial"/>
                <w:sz w:val="17"/>
                <w:szCs w:val="17"/>
                <w:color w:val="0000FF"/>
              </w:rPr>
            </w:pPr>
            <w:hyperlink r:id="rId192">
              <w:r>
                <w:rPr>
                  <w:rFonts w:ascii="Arial" w:cs="Arial" w:eastAsia="Arial" w:hAnsi="Arial"/>
                  <w:sz w:val="17"/>
                  <w:szCs w:val="17"/>
                  <w:color w:val="0000FF"/>
                </w:rPr>
                <w:t>on Form S-8 of Casella as filed on November 17, 2016 (file No. 333-214683)).</w:t>
              </w:r>
            </w:hyperlink>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10.29*</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31"/>
          </w:tcPr>
          <w:p>
            <w:pPr>
              <w:spacing w:after="0"/>
              <w:rPr>
                <w:rFonts w:ascii="Arial" w:cs="Arial" w:eastAsia="Arial" w:hAnsi="Arial"/>
                <w:sz w:val="18"/>
                <w:szCs w:val="18"/>
                <w:color w:val="0000FF"/>
                <w:w w:val="91"/>
              </w:rPr>
            </w:pPr>
            <w:hyperlink r:id="rId193">
              <w:r>
                <w:rPr>
                  <w:rFonts w:ascii="Arial" w:cs="Arial" w:eastAsia="Arial" w:hAnsi="Arial"/>
                  <w:sz w:val="18"/>
                  <w:szCs w:val="18"/>
                  <w:color w:val="0000FF"/>
                  <w:w w:val="91"/>
                </w:rPr>
                <w:t>Form of Restricted Stock Unit Agreement under 2016 Incentive Plan (employee with employment contract) (incorporated herein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5"/>
          </w:tcPr>
          <w:p>
            <w:pPr>
              <w:spacing w:after="0" w:line="153" w:lineRule="exact"/>
              <w:rPr>
                <w:rFonts w:ascii="Arial" w:cs="Arial" w:eastAsia="Arial" w:hAnsi="Arial"/>
                <w:sz w:val="17"/>
                <w:szCs w:val="17"/>
                <w:color w:val="0000FF"/>
                <w:w w:val="96"/>
              </w:rPr>
            </w:pPr>
            <w:hyperlink r:id="rId193">
              <w:r>
                <w:rPr>
                  <w:rFonts w:ascii="Arial" w:cs="Arial" w:eastAsia="Arial" w:hAnsi="Arial"/>
                  <w:sz w:val="17"/>
                  <w:szCs w:val="17"/>
                  <w:color w:val="0000FF"/>
                  <w:w w:val="96"/>
                </w:rPr>
                <w:t>by reference to Exhibit 10.1 to the current report on Form 8-K of Casella as filed on November 22, 2016 (file No. 000-23211)).</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10.30*</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20" w:type="dxa"/>
            <w:vAlign w:val="bottom"/>
            <w:tcBorders>
              <w:top w:val="single" w:sz="8" w:color="0000FF"/>
            </w:tcBorders>
            <w:gridSpan w:val="20"/>
          </w:tcPr>
          <w:p>
            <w:pPr>
              <w:spacing w:after="0"/>
              <w:rPr>
                <w:rFonts w:ascii="Arial" w:cs="Arial" w:eastAsia="Arial" w:hAnsi="Arial"/>
                <w:sz w:val="18"/>
                <w:szCs w:val="18"/>
                <w:color w:val="0000FF"/>
                <w:w w:val="91"/>
              </w:rPr>
            </w:pPr>
            <w:hyperlink r:id="rId194">
              <w:r>
                <w:rPr>
                  <w:rFonts w:ascii="Arial" w:cs="Arial" w:eastAsia="Arial" w:hAnsi="Arial"/>
                  <w:sz w:val="18"/>
                  <w:szCs w:val="18"/>
                  <w:color w:val="0000FF"/>
                  <w:w w:val="91"/>
                </w:rPr>
                <w:t>Form of Restricted Stock Unit Agreement under 2016 Incentive Plan (employee with no employment contract) (incorporated</w:t>
              </w:r>
            </w:hyperlink>
          </w:p>
        </w:tc>
        <w:tc>
          <w:tcPr>
            <w:tcW w:w="30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20" w:type="dxa"/>
            <w:vAlign w:val="bottom"/>
            <w:gridSpan w:val="4"/>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31"/>
          </w:tcPr>
          <w:p>
            <w:pPr>
              <w:spacing w:after="0" w:line="153" w:lineRule="exact"/>
              <w:rPr>
                <w:rFonts w:ascii="Arial" w:cs="Arial" w:eastAsia="Arial" w:hAnsi="Arial"/>
                <w:sz w:val="17"/>
                <w:szCs w:val="17"/>
                <w:color w:val="0000FF"/>
                <w:w w:val="99"/>
              </w:rPr>
            </w:pPr>
            <w:hyperlink r:id="rId194">
              <w:r>
                <w:rPr>
                  <w:rFonts w:ascii="Arial" w:cs="Arial" w:eastAsia="Arial" w:hAnsi="Arial"/>
                  <w:sz w:val="17"/>
                  <w:szCs w:val="17"/>
                  <w:color w:val="0000FF"/>
                  <w:w w:val="99"/>
                </w:rPr>
                <w:t>herein by reference to Exhibit 10.2 to the current report on Form 8-K of Casella as filed on November 22, 2016 (file No. 000-</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top w:val="single" w:sz="8" w:color="0000FF"/>
            </w:tcBorders>
            <w:gridSpan w:val="2"/>
          </w:tcPr>
          <w:p>
            <w:pPr>
              <w:spacing w:after="0" w:line="166" w:lineRule="exact"/>
              <w:rPr>
                <w:rFonts w:ascii="Arial" w:cs="Arial" w:eastAsia="Arial" w:hAnsi="Arial"/>
                <w:sz w:val="18"/>
                <w:szCs w:val="18"/>
                <w:color w:val="0000FF"/>
              </w:rPr>
            </w:pPr>
            <w:hyperlink r:id="rId194">
              <w:r>
                <w:rPr>
                  <w:rFonts w:ascii="Arial" w:cs="Arial" w:eastAsia="Arial" w:hAnsi="Arial"/>
                  <w:sz w:val="18"/>
                  <w:szCs w:val="18"/>
                  <w:color w:val="0000FF"/>
                </w:rPr>
                <w:t>23211)</w:t>
              </w:r>
              <w:r>
                <w:rPr>
                  <w:rFonts w:ascii="Arial" w:cs="Arial" w:eastAsia="Arial" w:hAnsi="Arial"/>
                  <w:sz w:val="18"/>
                  <w:szCs w:val="18"/>
                  <w:u w:val="single" w:color="auto"/>
                  <w:color w:val="0000FF"/>
                </w:rPr>
                <w:t>)</w:t>
              </w:r>
              <w:r>
                <w:rPr>
                  <w:rFonts w:ascii="Arial" w:cs="Arial" w:eastAsia="Arial" w:hAnsi="Arial"/>
                  <w:sz w:val="18"/>
                  <w:szCs w:val="18"/>
                  <w:color w:val="0000FF"/>
                </w:rPr>
                <w:t>.</w:t>
              </w:r>
            </w:hyperlink>
          </w:p>
        </w:tc>
        <w:tc>
          <w:tcPr>
            <w:tcW w:w="2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70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10.31*</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1"/>
          </w:tcPr>
          <w:p>
            <w:pPr>
              <w:spacing w:after="0"/>
              <w:rPr>
                <w:rFonts w:ascii="Arial" w:cs="Arial" w:eastAsia="Arial" w:hAnsi="Arial"/>
                <w:sz w:val="18"/>
                <w:szCs w:val="18"/>
                <w:color w:val="0000FF"/>
              </w:rPr>
            </w:pPr>
            <w:hyperlink r:id="rId195">
              <w:r>
                <w:rPr>
                  <w:rFonts w:ascii="Arial" w:cs="Arial" w:eastAsia="Arial" w:hAnsi="Arial"/>
                  <w:sz w:val="18"/>
                  <w:szCs w:val="18"/>
                  <w:color w:val="0000FF"/>
                </w:rPr>
                <w:t>Form of Performance-Based Stock Unit Agreement under 2016 Incentive Plan (employee with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tcBorders>
            <w:gridSpan w:val="11"/>
          </w:tcPr>
          <w:p>
            <w:pPr>
              <w:spacing w:after="0" w:line="153" w:lineRule="exact"/>
              <w:rPr>
                <w:rFonts w:ascii="Arial" w:cs="Arial" w:eastAsia="Arial" w:hAnsi="Arial"/>
                <w:sz w:val="17"/>
                <w:szCs w:val="17"/>
                <w:color w:val="0000FF"/>
                <w:w w:val="96"/>
              </w:rPr>
            </w:pPr>
            <w:hyperlink r:id="rId195">
              <w:r>
                <w:rPr>
                  <w:rFonts w:ascii="Arial" w:cs="Arial" w:eastAsia="Arial" w:hAnsi="Arial"/>
                  <w:sz w:val="17"/>
                  <w:szCs w:val="17"/>
                  <w:color w:val="0000FF"/>
                  <w:w w:val="96"/>
                </w:rPr>
                <w:t>(incorporated herein by reference to Exhibit 10.3 to the current report on Form 8-K of Casella as filed on November</w:t>
              </w:r>
            </w:hyperlink>
          </w:p>
        </w:tc>
        <w:tc>
          <w:tcPr>
            <w:tcW w:w="1000" w:type="dxa"/>
            <w:vAlign w:val="bottom"/>
            <w:gridSpan w:val="20"/>
          </w:tcPr>
          <w:p>
            <w:pPr>
              <w:jc w:val="right"/>
              <w:ind w:right="80"/>
              <w:spacing w:after="0" w:line="153" w:lineRule="exact"/>
              <w:rPr>
                <w:rFonts w:ascii="Arial" w:cs="Arial" w:eastAsia="Arial" w:hAnsi="Arial"/>
                <w:sz w:val="17"/>
                <w:szCs w:val="17"/>
                <w:color w:val="0000FF"/>
                <w:w w:val="91"/>
              </w:rPr>
            </w:pPr>
            <w:hyperlink r:id="rId195">
              <w:r>
                <w:rPr>
                  <w:rFonts w:ascii="Arial" w:cs="Arial" w:eastAsia="Arial" w:hAnsi="Arial"/>
                  <w:sz w:val="17"/>
                  <w:szCs w:val="17"/>
                  <w:color w:val="0000FF"/>
                  <w:w w:val="91"/>
                </w:rPr>
                <w:t>22, 2016 (file</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top w:val="single" w:sz="8" w:color="0000FF"/>
              <w:bottom w:val="single" w:sz="8" w:color="0000FF"/>
            </w:tcBorders>
            <w:gridSpan w:val="2"/>
          </w:tcPr>
          <w:p>
            <w:pPr>
              <w:spacing w:after="0" w:line="166" w:lineRule="exact"/>
              <w:rPr>
                <w:rFonts w:ascii="Arial" w:cs="Arial" w:eastAsia="Arial" w:hAnsi="Arial"/>
                <w:sz w:val="18"/>
                <w:szCs w:val="18"/>
                <w:color w:val="0000FF"/>
                <w:w w:val="89"/>
              </w:rPr>
            </w:pPr>
            <w:hyperlink r:id="rId195">
              <w:r>
                <w:rPr>
                  <w:rFonts w:ascii="Arial" w:cs="Arial" w:eastAsia="Arial" w:hAnsi="Arial"/>
                  <w:sz w:val="18"/>
                  <w:szCs w:val="18"/>
                  <w:color w:val="0000FF"/>
                  <w:w w:val="89"/>
                </w:rPr>
                <w:t>No. 000-23211)).</w:t>
              </w:r>
            </w:hyperlink>
          </w:p>
        </w:tc>
        <w:tc>
          <w:tcPr>
            <w:tcW w:w="800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10.32*</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1"/>
          </w:tcPr>
          <w:p>
            <w:pPr>
              <w:spacing w:after="0"/>
              <w:rPr>
                <w:rFonts w:ascii="Arial" w:cs="Arial" w:eastAsia="Arial" w:hAnsi="Arial"/>
                <w:sz w:val="18"/>
                <w:szCs w:val="18"/>
                <w:color w:val="0000FF"/>
                <w:w w:val="97"/>
              </w:rPr>
            </w:pPr>
            <w:hyperlink r:id="rId196">
              <w:r>
                <w:rPr>
                  <w:rFonts w:ascii="Arial" w:cs="Arial" w:eastAsia="Arial" w:hAnsi="Arial"/>
                  <w:sz w:val="18"/>
                  <w:szCs w:val="18"/>
                  <w:color w:val="0000FF"/>
                  <w:w w:val="97"/>
                </w:rPr>
                <w:t>Form of Performance-Based Stock Unit Agreement under 2016 Incentive Plan (employee with no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13"/>
          </w:tcPr>
          <w:p>
            <w:pPr>
              <w:spacing w:after="0" w:line="153" w:lineRule="exact"/>
              <w:rPr>
                <w:rFonts w:ascii="Arial" w:cs="Arial" w:eastAsia="Arial" w:hAnsi="Arial"/>
                <w:sz w:val="17"/>
                <w:szCs w:val="17"/>
                <w:color w:val="0000FF"/>
                <w:w w:val="95"/>
              </w:rPr>
            </w:pPr>
            <w:hyperlink r:id="rId196">
              <w:r>
                <w:rPr>
                  <w:rFonts w:ascii="Arial" w:cs="Arial" w:eastAsia="Arial" w:hAnsi="Arial"/>
                  <w:sz w:val="17"/>
                  <w:szCs w:val="17"/>
                  <w:color w:val="0000FF"/>
                  <w:w w:val="95"/>
                </w:rPr>
                <w:t>(incorporated herein by reference to Exhibit 10.4 to the current report on Form 8-K of Casella as filed on November 22,</w:t>
              </w:r>
            </w:hyperlink>
          </w:p>
        </w:tc>
        <w:tc>
          <w:tcPr>
            <w:tcW w:w="780" w:type="dxa"/>
            <w:vAlign w:val="bottom"/>
            <w:gridSpan w:val="18"/>
          </w:tcPr>
          <w:p>
            <w:pPr>
              <w:jc w:val="right"/>
              <w:ind w:right="80"/>
              <w:spacing w:after="0" w:line="153" w:lineRule="exact"/>
              <w:rPr>
                <w:rFonts w:ascii="Arial" w:cs="Arial" w:eastAsia="Arial" w:hAnsi="Arial"/>
                <w:sz w:val="17"/>
                <w:szCs w:val="17"/>
                <w:color w:val="0000FF"/>
                <w:w w:val="97"/>
              </w:rPr>
            </w:pPr>
            <w:hyperlink r:id="rId196">
              <w:r>
                <w:rPr>
                  <w:rFonts w:ascii="Arial" w:cs="Arial" w:eastAsia="Arial" w:hAnsi="Arial"/>
                  <w:sz w:val="17"/>
                  <w:szCs w:val="17"/>
                  <w:color w:val="0000FF"/>
                  <w:w w:val="97"/>
                </w:rPr>
                <w:t>2016 (file</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top w:val="single" w:sz="8" w:color="0000FF"/>
              <w:bottom w:val="single" w:sz="8" w:color="0000FF"/>
            </w:tcBorders>
            <w:gridSpan w:val="2"/>
          </w:tcPr>
          <w:p>
            <w:pPr>
              <w:spacing w:after="0" w:line="166" w:lineRule="exact"/>
              <w:rPr>
                <w:rFonts w:ascii="Arial" w:cs="Arial" w:eastAsia="Arial" w:hAnsi="Arial"/>
                <w:sz w:val="18"/>
                <w:szCs w:val="18"/>
                <w:color w:val="0000FF"/>
                <w:w w:val="89"/>
              </w:rPr>
            </w:pPr>
            <w:hyperlink r:id="rId196">
              <w:r>
                <w:rPr>
                  <w:rFonts w:ascii="Arial" w:cs="Arial" w:eastAsia="Arial" w:hAnsi="Arial"/>
                  <w:sz w:val="18"/>
                  <w:szCs w:val="18"/>
                  <w:color w:val="0000FF"/>
                  <w:w w:val="89"/>
                </w:rPr>
                <w:t>No. 000-23211)).</w:t>
              </w:r>
            </w:hyperlink>
          </w:p>
        </w:tc>
        <w:tc>
          <w:tcPr>
            <w:tcW w:w="800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10.33*</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1"/>
          </w:tcPr>
          <w:p>
            <w:pPr>
              <w:spacing w:after="0"/>
              <w:rPr>
                <w:rFonts w:ascii="Arial" w:cs="Arial" w:eastAsia="Arial" w:hAnsi="Arial"/>
                <w:sz w:val="18"/>
                <w:szCs w:val="18"/>
                <w:color w:val="0000FF"/>
                <w:w w:val="92"/>
              </w:rPr>
            </w:pPr>
            <w:hyperlink r:id="rId197">
              <w:r>
                <w:rPr>
                  <w:rFonts w:ascii="Arial" w:cs="Arial" w:eastAsia="Arial" w:hAnsi="Arial"/>
                  <w:sz w:val="18"/>
                  <w:szCs w:val="18"/>
                  <w:color w:val="0000FF"/>
                  <w:w w:val="92"/>
                </w:rPr>
                <w:t>Form of Restricted Stock Agreement under 2016 Incentive Plan (incorporated herein by reference to Exhibit 10.5 to the current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2"/>
          </w:tcPr>
          <w:p>
            <w:pPr>
              <w:spacing w:after="0" w:line="153" w:lineRule="exact"/>
              <w:rPr>
                <w:rFonts w:ascii="Arial" w:cs="Arial" w:eastAsia="Arial" w:hAnsi="Arial"/>
                <w:sz w:val="17"/>
                <w:szCs w:val="17"/>
                <w:color w:val="0000FF"/>
              </w:rPr>
            </w:pPr>
            <w:hyperlink r:id="rId197">
              <w:r>
                <w:rPr>
                  <w:rFonts w:ascii="Arial" w:cs="Arial" w:eastAsia="Arial" w:hAnsi="Arial"/>
                  <w:sz w:val="17"/>
                  <w:szCs w:val="17"/>
                  <w:color w:val="0000FF"/>
                </w:rPr>
                <w:t>report on Form 8-K of Casella as filed on November 22, 2016 (file No. 000-23211)).</w:t>
              </w:r>
            </w:hyperlink>
          </w:p>
        </w:tc>
        <w:tc>
          <w:tcPr>
            <w:tcW w:w="2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4420" w:type="dxa"/>
            <w:vAlign w:val="bottom"/>
            <w:gridSpan w:val="4"/>
            <w:shd w:val="clear" w:color="auto" w:fill="0000FF"/>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10.34*</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31"/>
          </w:tcPr>
          <w:p>
            <w:pPr>
              <w:spacing w:after="0"/>
              <w:rPr>
                <w:rFonts w:ascii="Arial" w:cs="Arial" w:eastAsia="Arial" w:hAnsi="Arial"/>
                <w:sz w:val="18"/>
                <w:szCs w:val="18"/>
                <w:color w:val="0000FF"/>
                <w:w w:val="90"/>
              </w:rPr>
            </w:pPr>
            <w:hyperlink r:id="rId198">
              <w:r>
                <w:rPr>
                  <w:rFonts w:ascii="Arial" w:cs="Arial" w:eastAsia="Arial" w:hAnsi="Arial"/>
                  <w:sz w:val="18"/>
                  <w:szCs w:val="18"/>
                  <w:color w:val="0000FF"/>
                  <w:w w:val="90"/>
                </w:rPr>
                <w:t>Form of Incentive Stock Option Agreement under 2016 Incentive Plan (employee with employment contract) (incorporated herein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8"/>
          </w:tcPr>
          <w:p>
            <w:pPr>
              <w:spacing w:after="0" w:line="153" w:lineRule="exact"/>
              <w:rPr>
                <w:rFonts w:ascii="Arial" w:cs="Arial" w:eastAsia="Arial" w:hAnsi="Arial"/>
                <w:sz w:val="17"/>
                <w:szCs w:val="17"/>
                <w:color w:val="0000FF"/>
                <w:w w:val="98"/>
              </w:rPr>
            </w:pPr>
            <w:hyperlink r:id="rId198">
              <w:r>
                <w:rPr>
                  <w:rFonts w:ascii="Arial" w:cs="Arial" w:eastAsia="Arial" w:hAnsi="Arial"/>
                  <w:sz w:val="17"/>
                  <w:szCs w:val="17"/>
                  <w:color w:val="0000FF"/>
                  <w:w w:val="98"/>
                </w:rPr>
                <w:t>by reference to Exhibit 10.6 to the current report on Form 8-K of Casella as filed on November 22, 2016 (file No. 000-23211)).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6920" w:type="dxa"/>
            <w:vAlign w:val="bottom"/>
            <w:gridSpan w:val="8"/>
            <w:shd w:val="clear" w:color="auto" w:fill="0000FF"/>
          </w:tcPr>
          <w:p>
            <w:pPr>
              <w:spacing w:after="0" w:line="20" w:lineRule="exact"/>
              <w:rPr>
                <w:sz w:val="1"/>
                <w:szCs w:val="1"/>
                <w:color w:val="auto"/>
              </w:rPr>
            </w:pPr>
          </w:p>
        </w:tc>
        <w:tc>
          <w:tcPr>
            <w:tcW w:w="480" w:type="dxa"/>
            <w:vAlign w:val="bottom"/>
            <w:tcBorders>
              <w:left w:val="single" w:sz="8" w:color="0000FF"/>
            </w:tcBorders>
            <w:gridSpan w:val="7"/>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10.35*</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31"/>
          </w:tcPr>
          <w:p>
            <w:pPr>
              <w:spacing w:after="0"/>
              <w:rPr>
                <w:rFonts w:ascii="Arial" w:cs="Arial" w:eastAsia="Arial" w:hAnsi="Arial"/>
                <w:sz w:val="18"/>
                <w:szCs w:val="18"/>
                <w:color w:val="0000FF"/>
                <w:w w:val="93"/>
              </w:rPr>
            </w:pPr>
            <w:hyperlink r:id="rId199">
              <w:r>
                <w:rPr>
                  <w:rFonts w:ascii="Arial" w:cs="Arial" w:eastAsia="Arial" w:hAnsi="Arial"/>
                  <w:sz w:val="18"/>
                  <w:szCs w:val="18"/>
                  <w:color w:val="0000FF"/>
                  <w:w w:val="93"/>
                </w:rPr>
                <w:t>Form of Nonstatutory Stock Option Agreement under 2016 Incentive Plan (employee with employment contract) (incorporated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1"/>
          </w:tcPr>
          <w:p>
            <w:pPr>
              <w:spacing w:after="0" w:line="153" w:lineRule="exact"/>
              <w:rPr>
                <w:rFonts w:ascii="Arial" w:cs="Arial" w:eastAsia="Arial" w:hAnsi="Arial"/>
                <w:sz w:val="17"/>
                <w:szCs w:val="17"/>
                <w:color w:val="0000FF"/>
                <w:w w:val="96"/>
              </w:rPr>
            </w:pPr>
            <w:hyperlink r:id="rId199">
              <w:r>
                <w:rPr>
                  <w:rFonts w:ascii="Arial" w:cs="Arial" w:eastAsia="Arial" w:hAnsi="Arial"/>
                  <w:sz w:val="17"/>
                  <w:szCs w:val="17"/>
                  <w:color w:val="0000FF"/>
                  <w:w w:val="96"/>
                </w:rPr>
                <w:t>herein by reference to Exhibit 10.7 to the current report on Form 8-K of Casella as filed on November 22, 2016 (file No. 000-</w:t>
              </w:r>
            </w:hyperlink>
          </w:p>
        </w:tc>
        <w:tc>
          <w:tcPr>
            <w:tcW w:w="24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top w:val="single" w:sz="8" w:color="0000FF"/>
            </w:tcBorders>
            <w:gridSpan w:val="2"/>
          </w:tcPr>
          <w:p>
            <w:pPr>
              <w:spacing w:after="0" w:line="166" w:lineRule="exact"/>
              <w:rPr>
                <w:rFonts w:ascii="Arial" w:cs="Arial" w:eastAsia="Arial" w:hAnsi="Arial"/>
                <w:sz w:val="18"/>
                <w:szCs w:val="18"/>
                <w:color w:val="0000FF"/>
              </w:rPr>
            </w:pPr>
            <w:hyperlink r:id="rId199">
              <w:r>
                <w:rPr>
                  <w:rFonts w:ascii="Arial" w:cs="Arial" w:eastAsia="Arial" w:hAnsi="Arial"/>
                  <w:sz w:val="18"/>
                  <w:szCs w:val="18"/>
                  <w:color w:val="0000FF"/>
                </w:rPr>
                <w:t>23211)</w:t>
              </w:r>
              <w:r>
                <w:rPr>
                  <w:rFonts w:ascii="Arial" w:cs="Arial" w:eastAsia="Arial" w:hAnsi="Arial"/>
                  <w:sz w:val="18"/>
                  <w:szCs w:val="18"/>
                  <w:u w:val="single" w:color="auto"/>
                  <w:color w:val="0000FF"/>
                </w:rPr>
                <w:t>)</w:t>
              </w:r>
              <w:r>
                <w:rPr>
                  <w:rFonts w:ascii="Arial" w:cs="Arial" w:eastAsia="Arial" w:hAnsi="Arial"/>
                  <w:sz w:val="18"/>
                  <w:szCs w:val="18"/>
                  <w:color w:val="0000FF"/>
                </w:rPr>
                <w:t>.</w:t>
              </w:r>
            </w:hyperlink>
          </w:p>
        </w:tc>
        <w:tc>
          <w:tcPr>
            <w:tcW w:w="2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70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920" w:type="dxa"/>
            <w:vAlign w:val="bottom"/>
            <w:gridSpan w:val="8"/>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10.36*</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1"/>
          </w:tcPr>
          <w:p>
            <w:pPr>
              <w:spacing w:after="0"/>
              <w:rPr>
                <w:rFonts w:ascii="Arial" w:cs="Arial" w:eastAsia="Arial" w:hAnsi="Arial"/>
                <w:sz w:val="18"/>
                <w:szCs w:val="18"/>
                <w:color w:val="0000FF"/>
                <w:w w:val="93"/>
              </w:rPr>
            </w:pPr>
            <w:hyperlink r:id="rId200">
              <w:r>
                <w:rPr>
                  <w:rFonts w:ascii="Arial" w:cs="Arial" w:eastAsia="Arial" w:hAnsi="Arial"/>
                  <w:sz w:val="18"/>
                  <w:szCs w:val="18"/>
                  <w:color w:val="0000FF"/>
                  <w:w w:val="93"/>
                </w:rPr>
                <w:t>Form of Incentive Stock Option Agreement under 2016 Incentive Plan (employee with no employment contract) (incorporated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20"/>
          </w:tcPr>
          <w:p>
            <w:pPr>
              <w:spacing w:after="0" w:line="153" w:lineRule="exact"/>
              <w:rPr>
                <w:rFonts w:ascii="Arial" w:cs="Arial" w:eastAsia="Arial" w:hAnsi="Arial"/>
                <w:sz w:val="17"/>
                <w:szCs w:val="17"/>
                <w:color w:val="0000FF"/>
                <w:w w:val="96"/>
              </w:rPr>
            </w:pPr>
            <w:hyperlink r:id="rId200">
              <w:r>
                <w:rPr>
                  <w:rFonts w:ascii="Arial" w:cs="Arial" w:eastAsia="Arial" w:hAnsi="Arial"/>
                  <w:sz w:val="17"/>
                  <w:szCs w:val="17"/>
                  <w:color w:val="0000FF"/>
                  <w:w w:val="96"/>
                </w:rPr>
                <w:t>herein by reference to Exhibit 10.8 to the current report on Form 8-K of Casella as filed on November 22, 2016 (file No. 000-</w:t>
              </w:r>
            </w:hyperlink>
          </w:p>
        </w:tc>
        <w:tc>
          <w:tcPr>
            <w:tcW w:w="26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top w:val="single" w:sz="8" w:color="0000FF"/>
            </w:tcBorders>
            <w:gridSpan w:val="2"/>
          </w:tcPr>
          <w:p>
            <w:pPr>
              <w:spacing w:after="0" w:line="166" w:lineRule="exact"/>
              <w:rPr>
                <w:rFonts w:ascii="Arial" w:cs="Arial" w:eastAsia="Arial" w:hAnsi="Arial"/>
                <w:sz w:val="18"/>
                <w:szCs w:val="18"/>
                <w:color w:val="0000FF"/>
              </w:rPr>
            </w:pPr>
            <w:hyperlink r:id="rId200">
              <w:r>
                <w:rPr>
                  <w:rFonts w:ascii="Arial" w:cs="Arial" w:eastAsia="Arial" w:hAnsi="Arial"/>
                  <w:sz w:val="18"/>
                  <w:szCs w:val="18"/>
                  <w:color w:val="0000FF"/>
                </w:rPr>
                <w:t>23211)</w:t>
              </w:r>
              <w:r>
                <w:rPr>
                  <w:rFonts w:ascii="Arial" w:cs="Arial" w:eastAsia="Arial" w:hAnsi="Arial"/>
                  <w:sz w:val="18"/>
                  <w:szCs w:val="18"/>
                  <w:u w:val="single" w:color="auto"/>
                  <w:color w:val="0000FF"/>
                </w:rPr>
                <w:t>)</w:t>
              </w:r>
              <w:r>
                <w:rPr>
                  <w:rFonts w:ascii="Arial" w:cs="Arial" w:eastAsia="Arial" w:hAnsi="Arial"/>
                  <w:sz w:val="18"/>
                  <w:szCs w:val="18"/>
                  <w:color w:val="0000FF"/>
                </w:rPr>
                <w:t>.</w:t>
              </w:r>
            </w:hyperlink>
          </w:p>
        </w:tc>
        <w:tc>
          <w:tcPr>
            <w:tcW w:w="2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70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920" w:type="dxa"/>
            <w:vAlign w:val="bottom"/>
            <w:gridSpan w:val="8"/>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10.37*</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1"/>
          </w:tcPr>
          <w:p>
            <w:pPr>
              <w:spacing w:after="0"/>
              <w:rPr>
                <w:rFonts w:ascii="Arial" w:cs="Arial" w:eastAsia="Arial" w:hAnsi="Arial"/>
                <w:sz w:val="18"/>
                <w:szCs w:val="18"/>
                <w:color w:val="0000FF"/>
                <w:w w:val="90"/>
              </w:rPr>
            </w:pPr>
            <w:hyperlink r:id="rId201">
              <w:r>
                <w:rPr>
                  <w:rFonts w:ascii="Arial" w:cs="Arial" w:eastAsia="Arial" w:hAnsi="Arial"/>
                  <w:sz w:val="18"/>
                  <w:szCs w:val="18"/>
                  <w:color w:val="0000FF"/>
                  <w:w w:val="90"/>
                </w:rPr>
                <w:t>Form of Nonstatutory Stock Option Agreement under 2016 Incentive Plan (employee with no employment contract) (incorporated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9"/>
          </w:tcPr>
          <w:p>
            <w:pPr>
              <w:spacing w:after="0" w:line="153" w:lineRule="exact"/>
              <w:rPr>
                <w:rFonts w:ascii="Arial" w:cs="Arial" w:eastAsia="Arial" w:hAnsi="Arial"/>
                <w:sz w:val="17"/>
                <w:szCs w:val="17"/>
                <w:color w:val="0000FF"/>
                <w:w w:val="99"/>
              </w:rPr>
            </w:pPr>
            <w:hyperlink r:id="rId201">
              <w:r>
                <w:rPr>
                  <w:rFonts w:ascii="Arial" w:cs="Arial" w:eastAsia="Arial" w:hAnsi="Arial"/>
                  <w:sz w:val="17"/>
                  <w:szCs w:val="17"/>
                  <w:color w:val="0000FF"/>
                  <w:w w:val="99"/>
                </w:rPr>
                <w:t>herein by reference to Exhibit 10.9 to the current report on Form 8-K of Casella as filed on November 22, 2016 (file No. 000-</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top w:val="single" w:sz="8" w:color="0000FF"/>
            </w:tcBorders>
            <w:gridSpan w:val="2"/>
          </w:tcPr>
          <w:p>
            <w:pPr>
              <w:spacing w:after="0" w:line="166" w:lineRule="exact"/>
              <w:rPr>
                <w:rFonts w:ascii="Arial" w:cs="Arial" w:eastAsia="Arial" w:hAnsi="Arial"/>
                <w:sz w:val="18"/>
                <w:szCs w:val="18"/>
                <w:color w:val="0000FF"/>
              </w:rPr>
            </w:pPr>
            <w:hyperlink r:id="rId201">
              <w:r>
                <w:rPr>
                  <w:rFonts w:ascii="Arial" w:cs="Arial" w:eastAsia="Arial" w:hAnsi="Arial"/>
                  <w:sz w:val="18"/>
                  <w:szCs w:val="18"/>
                  <w:color w:val="0000FF"/>
                </w:rPr>
                <w:t>23211)</w:t>
              </w:r>
              <w:r>
                <w:rPr>
                  <w:rFonts w:ascii="Arial" w:cs="Arial" w:eastAsia="Arial" w:hAnsi="Arial"/>
                  <w:sz w:val="18"/>
                  <w:szCs w:val="18"/>
                  <w:u w:val="single" w:color="auto"/>
                  <w:color w:val="0000FF"/>
                </w:rPr>
                <w:t>)</w:t>
              </w:r>
              <w:r>
                <w:rPr>
                  <w:rFonts w:ascii="Arial" w:cs="Arial" w:eastAsia="Arial" w:hAnsi="Arial"/>
                  <w:sz w:val="18"/>
                  <w:szCs w:val="18"/>
                  <w:color w:val="0000FF"/>
                </w:rPr>
                <w:t>.</w:t>
              </w:r>
            </w:hyperlink>
          </w:p>
        </w:tc>
        <w:tc>
          <w:tcPr>
            <w:tcW w:w="2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70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920" w:type="dxa"/>
            <w:vAlign w:val="bottom"/>
            <w:gridSpan w:val="8"/>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10.38*</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1"/>
          </w:tcPr>
          <w:p>
            <w:pPr>
              <w:spacing w:after="0"/>
              <w:rPr>
                <w:rFonts w:ascii="Arial" w:cs="Arial" w:eastAsia="Arial" w:hAnsi="Arial"/>
                <w:sz w:val="18"/>
                <w:szCs w:val="18"/>
                <w:color w:val="0000FF"/>
                <w:w w:val="98"/>
              </w:rPr>
            </w:pPr>
            <w:hyperlink r:id="rId202">
              <w:r>
                <w:rPr>
                  <w:rFonts w:ascii="Arial" w:cs="Arial" w:eastAsia="Arial" w:hAnsi="Arial"/>
                  <w:sz w:val="18"/>
                  <w:szCs w:val="18"/>
                  <w:color w:val="0000FF"/>
                  <w:w w:val="98"/>
                </w:rPr>
                <w:t>Form of Performance-Based Stock Option Agreement under 2016 Incentive Plan (employee with employment contract)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6920" w:type="dxa"/>
            <w:vAlign w:val="bottom"/>
            <w:gridSpan w:val="8"/>
            <w:shd w:val="clear" w:color="auto" w:fill="0000FF"/>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31"/>
          </w:tcPr>
          <w:p>
            <w:pPr>
              <w:spacing w:after="0" w:line="153" w:lineRule="exact"/>
              <w:rPr>
                <w:rFonts w:ascii="Arial" w:cs="Arial" w:eastAsia="Arial" w:hAnsi="Arial"/>
                <w:sz w:val="17"/>
                <w:szCs w:val="17"/>
                <w:color w:val="0000FF"/>
                <w:w w:val="98"/>
              </w:rPr>
            </w:pPr>
            <w:hyperlink r:id="rId202">
              <w:r>
                <w:rPr>
                  <w:rFonts w:ascii="Arial" w:cs="Arial" w:eastAsia="Arial" w:hAnsi="Arial"/>
                  <w:sz w:val="17"/>
                  <w:szCs w:val="17"/>
                  <w:color w:val="0000FF"/>
                  <w:w w:val="98"/>
                </w:rPr>
                <w:t>(incorporated herein by reference to Exhibit 10.10 to the current report on Form 8-K of Casella as filed on November 22, 2016</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4"/>
          </w:tcPr>
          <w:p>
            <w:pPr>
              <w:spacing w:after="0" w:line="166" w:lineRule="exact"/>
              <w:rPr>
                <w:rFonts w:ascii="Arial" w:cs="Arial" w:eastAsia="Arial" w:hAnsi="Arial"/>
                <w:sz w:val="18"/>
                <w:szCs w:val="18"/>
                <w:color w:val="0000FF"/>
                <w:w w:val="91"/>
              </w:rPr>
            </w:pPr>
            <w:hyperlink r:id="rId202">
              <w:r>
                <w:rPr>
                  <w:rFonts w:ascii="Arial" w:cs="Arial" w:eastAsia="Arial" w:hAnsi="Arial"/>
                  <w:sz w:val="18"/>
                  <w:szCs w:val="18"/>
                  <w:color w:val="0000FF"/>
                  <w:w w:val="91"/>
                </w:rPr>
                <w:t>(file No. 000-23211)).</w:t>
              </w:r>
            </w:hyperlink>
          </w:p>
        </w:tc>
        <w:tc>
          <w:tcPr>
            <w:tcW w:w="7400" w:type="dxa"/>
            <w:vAlign w:val="bottom"/>
            <w:tcBorders>
              <w:top w:val="single" w:sz="8" w:color="0000FF"/>
            </w:tcBorders>
            <w:gridSpan w:val="15"/>
          </w:tcPr>
          <w:p>
            <w:pPr>
              <w:spacing w:after="0"/>
              <w:rPr>
                <w:sz w:val="14"/>
                <w:szCs w:val="14"/>
                <w:color w:val="auto"/>
              </w:rPr>
            </w:pPr>
          </w:p>
        </w:tc>
        <w:tc>
          <w:tcPr>
            <w:tcW w:w="3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1080" w:type="dxa"/>
            <w:vAlign w:val="bottom"/>
          </w:tcPr>
          <w:p>
            <w:pPr>
              <w:ind w:left="220"/>
              <w:spacing w:after="0"/>
              <w:rPr>
                <w:sz w:val="20"/>
                <w:szCs w:val="20"/>
                <w:color w:val="auto"/>
              </w:rPr>
            </w:pPr>
            <w:r>
              <w:rPr>
                <w:rFonts w:ascii="Arial" w:cs="Arial" w:eastAsia="Arial" w:hAnsi="Arial"/>
                <w:sz w:val="18"/>
                <w:szCs w:val="18"/>
                <w:color w:val="auto"/>
              </w:rPr>
              <w:t>10.39*</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1"/>
          </w:tcPr>
          <w:p>
            <w:pPr>
              <w:spacing w:after="0"/>
              <w:rPr>
                <w:rFonts w:ascii="Arial" w:cs="Arial" w:eastAsia="Arial" w:hAnsi="Arial"/>
                <w:sz w:val="18"/>
                <w:szCs w:val="18"/>
                <w:u w:val="single" w:color="auto"/>
                <w:color w:val="0000FF"/>
                <w:w w:val="95"/>
              </w:rPr>
            </w:pPr>
            <w:hyperlink r:id="rId203">
              <w:r>
                <w:rPr>
                  <w:rFonts w:ascii="Arial" w:cs="Arial" w:eastAsia="Arial" w:hAnsi="Arial"/>
                  <w:sz w:val="18"/>
                  <w:szCs w:val="18"/>
                  <w:u w:val="single" w:color="auto"/>
                  <w:color w:val="0000FF"/>
                  <w:w w:val="95"/>
                </w:rPr>
                <w:t>Form of Performance-Based Stock Option Agreement under 2016 Incentive Plan (employee with no employment contract)</w:t>
              </w:r>
            </w:hyperlink>
          </w:p>
        </w:tc>
        <w:tc>
          <w:tcPr>
            <w:tcW w:w="0" w:type="dxa"/>
            <w:vAlign w:val="bottom"/>
          </w:tcPr>
          <w:p>
            <w:pPr>
              <w:spacing w:after="0"/>
              <w:rPr>
                <w:sz w:val="1"/>
                <w:szCs w:val="1"/>
                <w:color w:val="auto"/>
              </w:rPr>
            </w:pPr>
          </w:p>
        </w:tc>
      </w:tr>
    </w:tbl>
    <w:p>
      <w:pPr>
        <w:ind w:left="1920" w:right="320"/>
        <w:spacing w:after="0" w:line="229" w:lineRule="auto"/>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(incorporated herein by reference to Exhibit 10.11 to the current report on Form 8-K of Casella as filed on November 22, 2016</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(file No. 000-23211)).</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jc w:val="center"/>
              <w:spacing w:after="0"/>
              <w:rPr>
                <w:sz w:val="20"/>
                <w:szCs w:val="20"/>
                <w:color w:val="auto"/>
              </w:rPr>
            </w:pPr>
            <w:r>
              <w:rPr>
                <w:rFonts w:ascii="Arial" w:cs="Arial" w:eastAsia="Arial" w:hAnsi="Arial"/>
                <w:sz w:val="14"/>
                <w:szCs w:val="14"/>
                <w:b w:val="1"/>
                <w:bCs w:val="1"/>
                <w:color w:val="0000FF"/>
                <w:w w:val="91"/>
              </w:rPr>
              <w:t>Table of Contents</w:t>
            </w:r>
          </w:p>
        </w:tc>
        <w:tc>
          <w:tcPr>
            <w:tcW w:w="8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8"/>
        </w:trPr>
        <w:tc>
          <w:tcPr>
            <w:tcW w:w="1900" w:type="dxa"/>
            <w:vAlign w:val="bottom"/>
            <w:gridSpan w:val="3"/>
          </w:tcPr>
          <w:p>
            <w:pPr>
              <w:ind w:left="5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0"/>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900" w:type="dxa"/>
            <w:vAlign w:val="bottom"/>
            <w:gridSpan w:val="3"/>
          </w:tcPr>
          <w:p>
            <w:pPr>
              <w:ind w:left="6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60" w:type="dxa"/>
            <w:vAlign w:val="bottom"/>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10.40*</w:t>
            </w: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320" w:type="dxa"/>
            <w:vAlign w:val="bottom"/>
            <w:tcBorders>
              <w:top w:val="single" w:sz="8" w:color="auto"/>
            </w:tcBorders>
            <w:gridSpan w:val="28"/>
          </w:tcPr>
          <w:p>
            <w:pPr>
              <w:spacing w:after="0"/>
              <w:rPr>
                <w:rFonts w:ascii="Arial" w:cs="Arial" w:eastAsia="Arial" w:hAnsi="Arial"/>
                <w:sz w:val="18"/>
                <w:szCs w:val="18"/>
                <w:color w:val="0000FF"/>
                <w:w w:val="90"/>
              </w:rPr>
            </w:pPr>
            <w:hyperlink r:id="rId205">
              <w:r>
                <w:rPr>
                  <w:rFonts w:ascii="Arial" w:cs="Arial" w:eastAsia="Arial" w:hAnsi="Arial"/>
                  <w:sz w:val="18"/>
                  <w:szCs w:val="18"/>
                  <w:color w:val="0000FF"/>
                  <w:w w:val="90"/>
                </w:rPr>
                <w:t>Form of Restricted Stock Unit Agreement under 2016 Incentive Plan (non-employee director) (incorporated herein by reference 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5"/>
              </w:rPr>
            </w:pPr>
            <w:hyperlink r:id="rId205">
              <w:r>
                <w:rPr>
                  <w:rFonts w:ascii="Arial" w:cs="Arial" w:eastAsia="Arial" w:hAnsi="Arial"/>
                  <w:sz w:val="17"/>
                  <w:szCs w:val="17"/>
                  <w:color w:val="0000FF"/>
                  <w:w w:val="95"/>
                </w:rPr>
                <w:t>Exhibit 10.1 to the quarterly report on Form 10-Q of Casella as filed on November 2, 2017 (file No. 000-23211)).</w:t>
              </w:r>
            </w:hyperlink>
          </w:p>
        </w:tc>
        <w:tc>
          <w:tcPr>
            <w:tcW w:w="12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10.41</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80" w:type="dxa"/>
            <w:vAlign w:val="bottom"/>
            <w:tcBorders>
              <w:bottom w:val="single" w:sz="8" w:color="0000FF"/>
            </w:tcBorders>
            <w:gridSpan w:val="16"/>
          </w:tcPr>
          <w:p>
            <w:pPr>
              <w:spacing w:after="0"/>
              <w:rPr>
                <w:rFonts w:ascii="Arial" w:cs="Arial" w:eastAsia="Arial" w:hAnsi="Arial"/>
                <w:sz w:val="18"/>
                <w:szCs w:val="18"/>
                <w:color w:val="0000FF"/>
                <w:w w:val="88"/>
              </w:rPr>
            </w:pPr>
            <w:hyperlink r:id="rId206">
              <w:r>
                <w:rPr>
                  <w:rFonts w:ascii="Arial" w:cs="Arial" w:eastAsia="Arial" w:hAnsi="Arial"/>
                  <w:sz w:val="18"/>
                  <w:szCs w:val="18"/>
                  <w:color w:val="0000FF"/>
                  <w:w w:val="88"/>
                </w:rPr>
                <w:t>Amended and Restated Credit Agreement, dated as of December 22, 2021, among Casella, the subsidiaries of Casella identified</w:t>
              </w:r>
            </w:hyperlink>
          </w:p>
        </w:tc>
        <w:tc>
          <w:tcPr>
            <w:tcW w:w="240" w:type="dxa"/>
            <w:vAlign w:val="bottom"/>
            <w:gridSpan w:val="12"/>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28"/>
          </w:tcPr>
          <w:p>
            <w:pPr>
              <w:spacing w:after="0" w:line="153" w:lineRule="exact"/>
              <w:rPr>
                <w:rFonts w:ascii="Arial" w:cs="Arial" w:eastAsia="Arial" w:hAnsi="Arial"/>
                <w:sz w:val="17"/>
                <w:szCs w:val="17"/>
                <w:color w:val="0000FF"/>
                <w:w w:val="96"/>
              </w:rPr>
            </w:pPr>
            <w:hyperlink r:id="rId206">
              <w:r>
                <w:rPr>
                  <w:rFonts w:ascii="Arial" w:cs="Arial" w:eastAsia="Arial" w:hAnsi="Arial"/>
                  <w:sz w:val="17"/>
                  <w:szCs w:val="17"/>
                  <w:color w:val="0000FF"/>
                  <w:w w:val="96"/>
                </w:rPr>
                <w:t>therein, Bank of America, N.A., as administrative agent, Merrill Lynch, Pierce Fenner &amp; Smith Incorporated, Citizens Bank, N.A.,</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top w:val="single" w:sz="8" w:color="0000FF"/>
            </w:tcBorders>
            <w:gridSpan w:val="27"/>
          </w:tcPr>
          <w:p>
            <w:pPr>
              <w:spacing w:after="0" w:line="166" w:lineRule="exact"/>
              <w:rPr>
                <w:rFonts w:ascii="Arial" w:cs="Arial" w:eastAsia="Arial" w:hAnsi="Arial"/>
                <w:sz w:val="18"/>
                <w:szCs w:val="18"/>
                <w:color w:val="0000FF"/>
                <w:w w:val="92"/>
              </w:rPr>
            </w:pPr>
            <w:hyperlink r:id="rId206">
              <w:r>
                <w:rPr>
                  <w:rFonts w:ascii="Arial" w:cs="Arial" w:eastAsia="Arial" w:hAnsi="Arial"/>
                  <w:sz w:val="18"/>
                  <w:szCs w:val="18"/>
                  <w:color w:val="0000FF"/>
                  <w:w w:val="92"/>
                </w:rPr>
                <w:t>JPMorgan Chase Bank, N.A. and Comerica Bank as joint lead arrangers, and the lenders party thereto (incorporated herein by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12"/>
          </w:tcPr>
          <w:p>
            <w:pPr>
              <w:spacing w:after="0" w:line="153" w:lineRule="exact"/>
              <w:rPr>
                <w:rFonts w:ascii="Arial" w:cs="Arial" w:eastAsia="Arial" w:hAnsi="Arial"/>
                <w:sz w:val="17"/>
                <w:szCs w:val="17"/>
                <w:color w:val="0000FF"/>
                <w:w w:val="97"/>
              </w:rPr>
            </w:pPr>
            <w:hyperlink r:id="rId206">
              <w:r>
                <w:rPr>
                  <w:rFonts w:ascii="Arial" w:cs="Arial" w:eastAsia="Arial" w:hAnsi="Arial"/>
                  <w:sz w:val="17"/>
                  <w:szCs w:val="17"/>
                  <w:color w:val="0000FF"/>
                  <w:w w:val="97"/>
                </w:rPr>
                <w:t>reference to Exhibit 10.1 to the current report on Form 8-K of Casella as filed on December 28, 2021 (file No. 000-23211).</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10.42</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28"/>
          </w:tcPr>
          <w:p>
            <w:pPr>
              <w:spacing w:after="0"/>
              <w:rPr>
                <w:rFonts w:ascii="Arial" w:cs="Arial" w:eastAsia="Arial" w:hAnsi="Arial"/>
                <w:sz w:val="18"/>
                <w:szCs w:val="18"/>
                <w:color w:val="0000FF"/>
                <w:w w:val="89"/>
              </w:rPr>
            </w:pPr>
            <w:hyperlink r:id="rId207">
              <w:r>
                <w:rPr>
                  <w:rFonts w:ascii="Arial" w:cs="Arial" w:eastAsia="Arial" w:hAnsi="Arial"/>
                  <w:sz w:val="18"/>
                  <w:szCs w:val="18"/>
                  <w:color w:val="0000FF"/>
                  <w:w w:val="89"/>
                </w:rPr>
                <w:t>First Amendment, dated as of February 9, 2023, to Amended and Restated the Credit Agreement dated as of December 22, 2021,</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1"/>
          </w:tcPr>
          <w:p>
            <w:pPr>
              <w:spacing w:after="0" w:line="153" w:lineRule="exact"/>
              <w:rPr>
                <w:rFonts w:ascii="Arial" w:cs="Arial" w:eastAsia="Arial" w:hAnsi="Arial"/>
                <w:sz w:val="17"/>
                <w:szCs w:val="17"/>
                <w:color w:val="0000FF"/>
                <w:w w:val="97"/>
              </w:rPr>
            </w:pPr>
            <w:hyperlink r:id="rId207">
              <w:r>
                <w:rPr>
                  <w:rFonts w:ascii="Arial" w:cs="Arial" w:eastAsia="Arial" w:hAnsi="Arial"/>
                  <w:sz w:val="17"/>
                  <w:szCs w:val="17"/>
                  <w:color w:val="0000FF"/>
                  <w:w w:val="97"/>
                </w:rPr>
                <w:t>including Annex A to First Amendment (incorporated herein by reference to Exhibit 10.1 to the Current Report on Form 8-K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60" w:type="dxa"/>
            <w:vAlign w:val="bottom"/>
            <w:tcBorders>
              <w:top w:val="single" w:sz="8" w:color="0000FF"/>
              <w:bottom w:val="single" w:sz="8" w:color="0000FF"/>
            </w:tcBorders>
            <w:gridSpan w:val="8"/>
          </w:tcPr>
          <w:p>
            <w:pPr>
              <w:spacing w:after="0" w:line="166" w:lineRule="exact"/>
              <w:rPr>
                <w:rFonts w:ascii="Arial" w:cs="Arial" w:eastAsia="Arial" w:hAnsi="Arial"/>
                <w:sz w:val="18"/>
                <w:szCs w:val="18"/>
                <w:color w:val="0000FF"/>
                <w:w w:val="89"/>
              </w:rPr>
            </w:pPr>
            <w:hyperlink r:id="rId207">
              <w:r>
                <w:rPr>
                  <w:rFonts w:ascii="Arial" w:cs="Arial" w:eastAsia="Arial" w:hAnsi="Arial"/>
                  <w:sz w:val="18"/>
                  <w:szCs w:val="18"/>
                  <w:color w:val="0000FF"/>
                  <w:w w:val="89"/>
                </w:rPr>
                <w:t>Casella as filed on February 9, 2023 (file no. 000-23211)).</w:t>
              </w:r>
            </w:hyperlink>
          </w:p>
        </w:tc>
        <w:tc>
          <w:tcPr>
            <w:tcW w:w="492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10.43</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28"/>
          </w:tcPr>
          <w:p>
            <w:pPr>
              <w:spacing w:after="0"/>
              <w:rPr>
                <w:rFonts w:ascii="Arial" w:cs="Arial" w:eastAsia="Arial" w:hAnsi="Arial"/>
                <w:sz w:val="18"/>
                <w:szCs w:val="18"/>
                <w:color w:val="0000FF"/>
                <w:w w:val="90"/>
              </w:rPr>
            </w:pPr>
            <w:hyperlink r:id="rId208">
              <w:r>
                <w:rPr>
                  <w:rFonts w:ascii="Arial" w:cs="Arial" w:eastAsia="Arial" w:hAnsi="Arial"/>
                  <w:sz w:val="18"/>
                  <w:szCs w:val="18"/>
                  <w:color w:val="0000FF"/>
                  <w:w w:val="90"/>
                </w:rPr>
                <w:t>Second Amendment, dated as of February 9, 2023, to Amended and Restated Credit Agreement dated as of December 22, 2021,</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8"/>
          </w:tcPr>
          <w:p>
            <w:pPr>
              <w:spacing w:after="0" w:line="153" w:lineRule="exact"/>
              <w:rPr>
                <w:rFonts w:ascii="Arial" w:cs="Arial" w:eastAsia="Arial" w:hAnsi="Arial"/>
                <w:sz w:val="17"/>
                <w:szCs w:val="17"/>
                <w:color w:val="0000FF"/>
                <w:w w:val="96"/>
              </w:rPr>
            </w:pPr>
            <w:hyperlink r:id="rId208">
              <w:r>
                <w:rPr>
                  <w:rFonts w:ascii="Arial" w:cs="Arial" w:eastAsia="Arial" w:hAnsi="Arial"/>
                  <w:sz w:val="17"/>
                  <w:szCs w:val="17"/>
                  <w:color w:val="0000FF"/>
                  <w:w w:val="96"/>
                </w:rPr>
                <w:t>including Annex A to Second Amendment (incorporated herein by reference to Exhibit 10.2 to the Current Report on Form 8-K</w:t>
              </w:r>
            </w:hyperlink>
          </w:p>
        </w:tc>
        <w:tc>
          <w:tcPr>
            <w:tcW w:w="200" w:type="dxa"/>
            <w:vAlign w:val="bottom"/>
            <w:gridSpan w:val="10"/>
          </w:tcPr>
          <w:p>
            <w:pPr>
              <w:spacing w:after="0" w:line="153" w:lineRule="exact"/>
              <w:rPr>
                <w:rFonts w:ascii="Arial" w:cs="Arial" w:eastAsia="Arial" w:hAnsi="Arial"/>
                <w:sz w:val="17"/>
                <w:szCs w:val="17"/>
                <w:color w:val="0000FF"/>
              </w:rPr>
            </w:pPr>
            <w:hyperlink r:id="rId208">
              <w:r>
                <w:rPr>
                  <w:rFonts w:ascii="Arial" w:cs="Arial" w:eastAsia="Arial" w:hAnsi="Arial"/>
                  <w:sz w:val="17"/>
                  <w:szCs w:val="17"/>
                  <w:color w:val="0000FF"/>
                </w:rPr>
                <w:t>of</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top w:val="single" w:sz="8" w:color="0000FF"/>
            </w:tcBorders>
            <w:gridSpan w:val="26"/>
          </w:tcPr>
          <w:p>
            <w:pPr>
              <w:spacing w:after="0" w:line="166" w:lineRule="exact"/>
              <w:rPr>
                <w:rFonts w:ascii="Arial" w:cs="Arial" w:eastAsia="Arial" w:hAnsi="Arial"/>
                <w:sz w:val="18"/>
                <w:szCs w:val="18"/>
                <w:color w:val="0000FF"/>
              </w:rPr>
            </w:pPr>
            <w:hyperlink r:id="rId208">
              <w:r>
                <w:rPr>
                  <w:rFonts w:ascii="Arial" w:cs="Arial" w:eastAsia="Arial" w:hAnsi="Arial"/>
                  <w:sz w:val="18"/>
                  <w:szCs w:val="18"/>
                  <w:color w:val="0000FF"/>
                </w:rPr>
                <w:t>Casella as filed on February 9, 2023 (file no. 000-23211)).</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10.44</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28"/>
          </w:tcPr>
          <w:p>
            <w:pPr>
              <w:spacing w:after="0"/>
              <w:rPr>
                <w:rFonts w:ascii="Arial" w:cs="Arial" w:eastAsia="Arial" w:hAnsi="Arial"/>
                <w:sz w:val="18"/>
                <w:szCs w:val="18"/>
                <w:color w:val="0000FF"/>
                <w:w w:val="90"/>
              </w:rPr>
            </w:pPr>
            <w:hyperlink r:id="rId209">
              <w:r>
                <w:rPr>
                  <w:rFonts w:ascii="Arial" w:cs="Arial" w:eastAsia="Arial" w:hAnsi="Arial"/>
                  <w:sz w:val="18"/>
                  <w:szCs w:val="18"/>
                  <w:color w:val="0000FF"/>
                  <w:w w:val="90"/>
                </w:rPr>
                <w:t>Master Lease Agreement dated as of July 20, 2020 by and between Bank of America Leasing &amp; Capital, LLC and Casella Waste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19"/>
          </w:tcPr>
          <w:p>
            <w:pPr>
              <w:spacing w:after="0" w:line="153" w:lineRule="exact"/>
              <w:rPr>
                <w:rFonts w:ascii="Arial" w:cs="Arial" w:eastAsia="Arial" w:hAnsi="Arial"/>
                <w:sz w:val="17"/>
                <w:szCs w:val="17"/>
                <w:color w:val="0000FF"/>
                <w:w w:val="94"/>
              </w:rPr>
            </w:pPr>
            <w:hyperlink r:id="rId209">
              <w:r>
                <w:rPr>
                  <w:rFonts w:ascii="Arial" w:cs="Arial" w:eastAsia="Arial" w:hAnsi="Arial"/>
                  <w:sz w:val="17"/>
                  <w:szCs w:val="17"/>
                  <w:color w:val="0000FF"/>
                  <w:w w:val="94"/>
                </w:rPr>
                <w:t>Systems, Inc. (incorporated herein by reference to Exhibit 10.1 to the Current Report on Form 8-K of Casella as filed on July 22,</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bottom w:val="single" w:sz="8" w:color="0000FF"/>
            </w:tcBorders>
            <w:gridSpan w:val="4"/>
          </w:tcPr>
          <w:p>
            <w:pPr>
              <w:spacing w:after="0" w:line="166" w:lineRule="exact"/>
              <w:rPr>
                <w:rFonts w:ascii="Arial" w:cs="Arial" w:eastAsia="Arial" w:hAnsi="Arial"/>
                <w:sz w:val="18"/>
                <w:szCs w:val="18"/>
                <w:color w:val="0000FF"/>
                <w:w w:val="90"/>
              </w:rPr>
            </w:pPr>
            <w:hyperlink r:id="rId209">
              <w:r>
                <w:rPr>
                  <w:rFonts w:ascii="Arial" w:cs="Arial" w:eastAsia="Arial" w:hAnsi="Arial"/>
                  <w:sz w:val="18"/>
                  <w:szCs w:val="18"/>
                  <w:color w:val="0000FF"/>
                  <w:w w:val="90"/>
                </w:rPr>
                <w:t>2020 (file no. 000-23211)).</w:t>
              </w:r>
            </w:hyperlink>
          </w:p>
        </w:tc>
        <w:tc>
          <w:tcPr>
            <w:tcW w:w="7220" w:type="dxa"/>
            <w:vAlign w:val="bottom"/>
            <w:gridSpan w:val="1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10.45</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20" w:type="dxa"/>
            <w:vAlign w:val="bottom"/>
            <w:tcBorders>
              <w:bottom w:val="single" w:sz="8" w:color="0000FF"/>
            </w:tcBorders>
            <w:gridSpan w:val="13"/>
          </w:tcPr>
          <w:p>
            <w:pPr>
              <w:spacing w:after="0"/>
              <w:rPr>
                <w:rFonts w:ascii="Arial" w:cs="Arial" w:eastAsia="Arial" w:hAnsi="Arial"/>
                <w:sz w:val="18"/>
                <w:szCs w:val="18"/>
                <w:color w:val="0000FF"/>
                <w:w w:val="89"/>
              </w:rPr>
            </w:pPr>
            <w:hyperlink r:id="rId210">
              <w:r>
                <w:rPr>
                  <w:rFonts w:ascii="Arial" w:cs="Arial" w:eastAsia="Arial" w:hAnsi="Arial"/>
                  <w:sz w:val="18"/>
                  <w:szCs w:val="18"/>
                  <w:color w:val="0000FF"/>
                  <w:w w:val="89"/>
                </w:rPr>
                <w:t>Addendum to Master Lease Agreement No. 36629-90000 dated as of July 20, 2020 by and among Bank of America Leasing &amp;</w:t>
              </w:r>
            </w:hyperlink>
          </w:p>
        </w:tc>
        <w:tc>
          <w:tcPr>
            <w:tcW w:w="30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28"/>
          </w:tcPr>
          <w:p>
            <w:pPr>
              <w:spacing w:after="0" w:line="153" w:lineRule="exact"/>
              <w:rPr>
                <w:rFonts w:ascii="Arial" w:cs="Arial" w:eastAsia="Arial" w:hAnsi="Arial"/>
                <w:sz w:val="17"/>
                <w:szCs w:val="17"/>
                <w:color w:val="0000FF"/>
                <w:w w:val="96"/>
              </w:rPr>
            </w:pPr>
            <w:hyperlink r:id="rId210">
              <w:r>
                <w:rPr>
                  <w:rFonts w:ascii="Arial" w:cs="Arial" w:eastAsia="Arial" w:hAnsi="Arial"/>
                  <w:sz w:val="17"/>
                  <w:szCs w:val="17"/>
                  <w:color w:val="0000FF"/>
                  <w:w w:val="96"/>
                </w:rPr>
                <w:t>Capital, LLC, Casella Waste Systems, Inc. and certain of its subsidiaries (incorporated herein by reference to Exhibit 10.2 to the</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00" w:type="dxa"/>
            <w:vAlign w:val="bottom"/>
            <w:tcBorders>
              <w:top w:val="single" w:sz="8" w:color="0000FF"/>
            </w:tcBorders>
            <w:gridSpan w:val="17"/>
          </w:tcPr>
          <w:p>
            <w:pPr>
              <w:spacing w:after="0" w:line="166" w:lineRule="exact"/>
              <w:rPr>
                <w:rFonts w:ascii="Arial" w:cs="Arial" w:eastAsia="Arial" w:hAnsi="Arial"/>
                <w:sz w:val="18"/>
                <w:szCs w:val="18"/>
                <w:color w:val="0000FF"/>
              </w:rPr>
            </w:pPr>
            <w:hyperlink r:id="rId210">
              <w:r>
                <w:rPr>
                  <w:rFonts w:ascii="Arial" w:cs="Arial" w:eastAsia="Arial" w:hAnsi="Arial"/>
                  <w:sz w:val="18"/>
                  <w:szCs w:val="18"/>
                  <w:color w:val="0000FF"/>
                </w:rPr>
                <w:t>Current Report on Form 8-K of Casella as filed on July 22, 2020 (file no. 000-23211)).</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10.46</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28"/>
          </w:tcPr>
          <w:p>
            <w:pPr>
              <w:spacing w:after="0"/>
              <w:rPr>
                <w:rFonts w:ascii="Arial" w:cs="Arial" w:eastAsia="Arial" w:hAnsi="Arial"/>
                <w:sz w:val="18"/>
                <w:szCs w:val="18"/>
                <w:color w:val="0000FF"/>
                <w:w w:val="90"/>
              </w:rPr>
            </w:pPr>
            <w:hyperlink r:id="rId211">
              <w:r>
                <w:rPr>
                  <w:rFonts w:ascii="Arial" w:cs="Arial" w:eastAsia="Arial" w:hAnsi="Arial"/>
                  <w:sz w:val="18"/>
                  <w:szCs w:val="18"/>
                  <w:color w:val="0000FF"/>
                  <w:w w:val="90"/>
                </w:rPr>
                <w:t>Purchase and Sale Agreement dated as of January 23, 2011 among Casella, KTI, CE Holdings II, LLC and CE Holding Company,</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23"/>
          </w:tcPr>
          <w:p>
            <w:pPr>
              <w:spacing w:after="0" w:line="153" w:lineRule="exact"/>
              <w:rPr>
                <w:rFonts w:ascii="Arial" w:cs="Arial" w:eastAsia="Arial" w:hAnsi="Arial"/>
                <w:sz w:val="17"/>
                <w:szCs w:val="17"/>
                <w:color w:val="0000FF"/>
                <w:w w:val="97"/>
              </w:rPr>
            </w:pPr>
            <w:hyperlink r:id="rId211">
              <w:r>
                <w:rPr>
                  <w:rFonts w:ascii="Arial" w:cs="Arial" w:eastAsia="Arial" w:hAnsi="Arial"/>
                  <w:sz w:val="17"/>
                  <w:szCs w:val="17"/>
                  <w:color w:val="0000FF"/>
                  <w:w w:val="97"/>
                </w:rPr>
                <w:t>LLC (incorporated herein by reference to Exhibit 2.1 to the quarterly report on Form 10-Q of Casella as filed on March 3, 2011</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2"/>
          </w:tcPr>
          <w:p>
            <w:pPr>
              <w:spacing w:after="0" w:line="166" w:lineRule="exact"/>
              <w:rPr>
                <w:rFonts w:ascii="Arial" w:cs="Arial" w:eastAsia="Arial" w:hAnsi="Arial"/>
                <w:sz w:val="18"/>
                <w:szCs w:val="18"/>
                <w:color w:val="0000FF"/>
                <w:w w:val="90"/>
              </w:rPr>
            </w:pPr>
            <w:hyperlink r:id="rId211">
              <w:r>
                <w:rPr>
                  <w:rFonts w:ascii="Arial" w:cs="Arial" w:eastAsia="Arial" w:hAnsi="Arial"/>
                  <w:sz w:val="18"/>
                  <w:szCs w:val="18"/>
                  <w:color w:val="0000FF"/>
                  <w:w w:val="90"/>
                </w:rPr>
                <w:t>(file no. 000-23211)).</w:t>
              </w:r>
            </w:hyperlink>
          </w:p>
        </w:tc>
        <w:tc>
          <w:tcPr>
            <w:tcW w:w="750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21.1 +</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7"/>
              </w:rPr>
              <w:t>Subsidiaries of Casella Waste Systems, Inc.</w:t>
            </w:r>
          </w:p>
        </w:tc>
        <w:tc>
          <w:tcPr>
            <w:tcW w:w="6220" w:type="dxa"/>
            <w:vAlign w:val="bottom"/>
            <w:gridSpan w:val="23"/>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23.1 +</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28"/>
          </w:tcPr>
          <w:p>
            <w:pPr>
              <w:spacing w:after="0"/>
              <w:rPr>
                <w:sz w:val="20"/>
                <w:szCs w:val="20"/>
                <w:color w:val="auto"/>
              </w:rPr>
            </w:pPr>
            <w:r>
              <w:rPr>
                <w:rFonts w:ascii="Arial" w:cs="Arial" w:eastAsia="Arial" w:hAnsi="Arial"/>
                <w:sz w:val="18"/>
                <w:szCs w:val="18"/>
                <w:color w:val="0000FF"/>
              </w:rPr>
              <w:t>Consent of RSM US LLP</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60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31.1 +</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28"/>
          </w:tcPr>
          <w:p>
            <w:pPr>
              <w:spacing w:after="0"/>
              <w:rPr>
                <w:sz w:val="20"/>
                <w:szCs w:val="20"/>
                <w:color w:val="auto"/>
              </w:rPr>
            </w:pPr>
            <w:r>
              <w:rPr>
                <w:rFonts w:ascii="Arial" w:cs="Arial" w:eastAsia="Arial" w:hAnsi="Arial"/>
                <w:sz w:val="18"/>
                <w:szCs w:val="18"/>
                <w:color w:val="0000FF"/>
                <w:w w:val="91"/>
              </w:rPr>
              <w:t>Certification of Principal Executive Officer required by Rule 13a-14(a) or Rule 15d-14(a) of the Securities Exchange Act of 1934,</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4"/>
          </w:tcPr>
          <w:p>
            <w:pPr>
              <w:spacing w:after="0" w:line="153" w:lineRule="exact"/>
              <w:rPr>
                <w:sz w:val="20"/>
                <w:szCs w:val="20"/>
                <w:color w:val="auto"/>
              </w:rPr>
            </w:pPr>
            <w:r>
              <w:rPr>
                <w:rFonts w:ascii="Arial" w:cs="Arial" w:eastAsia="Arial" w:hAnsi="Arial"/>
                <w:sz w:val="17"/>
                <w:szCs w:val="17"/>
                <w:color w:val="0000FF"/>
              </w:rPr>
              <w:t>as amended.</w:t>
            </w: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560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31.2 +</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28"/>
          </w:tcPr>
          <w:p>
            <w:pPr>
              <w:spacing w:after="0"/>
              <w:rPr>
                <w:sz w:val="20"/>
                <w:szCs w:val="20"/>
                <w:color w:val="auto"/>
              </w:rPr>
            </w:pPr>
            <w:r>
              <w:rPr>
                <w:rFonts w:ascii="Arial" w:cs="Arial" w:eastAsia="Arial" w:hAnsi="Arial"/>
                <w:sz w:val="18"/>
                <w:szCs w:val="18"/>
                <w:color w:val="0000FF"/>
                <w:w w:val="92"/>
              </w:rPr>
              <w:t>Certification of Principal Financial Officer required by Rule 13a-14(a) or Rule 15d-14(a) of the Securities Exchange Act of 1934,</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2"/>
          </w:tcPr>
          <w:p>
            <w:pPr>
              <w:spacing w:after="0" w:line="153" w:lineRule="exact"/>
              <w:rPr>
                <w:sz w:val="20"/>
                <w:szCs w:val="20"/>
                <w:color w:val="auto"/>
              </w:rPr>
            </w:pPr>
            <w:r>
              <w:rPr>
                <w:rFonts w:ascii="Arial" w:cs="Arial" w:eastAsia="Arial" w:hAnsi="Arial"/>
                <w:sz w:val="17"/>
                <w:szCs w:val="17"/>
                <w:color w:val="0000FF"/>
              </w:rPr>
              <w:t>as amended.</w:t>
            </w: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5600" w:type="dxa"/>
            <w:vAlign w:val="bottom"/>
            <w:gridSpan w:val="9"/>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32.1 +</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28"/>
          </w:tcPr>
          <w:p>
            <w:pPr>
              <w:spacing w:after="0"/>
              <w:rPr>
                <w:sz w:val="20"/>
                <w:szCs w:val="20"/>
                <w:color w:val="auto"/>
              </w:rPr>
            </w:pPr>
            <w:r>
              <w:rPr>
                <w:rFonts w:ascii="Arial" w:cs="Arial" w:eastAsia="Arial" w:hAnsi="Arial"/>
                <w:sz w:val="18"/>
                <w:szCs w:val="18"/>
                <w:color w:val="0000FF"/>
                <w:w w:val="92"/>
              </w:rPr>
              <w:t>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6"/>
          </w:tcPr>
          <w:p>
            <w:pPr>
              <w:spacing w:after="0" w:line="153" w:lineRule="exact"/>
              <w:rPr>
                <w:sz w:val="20"/>
                <w:szCs w:val="20"/>
                <w:color w:val="auto"/>
              </w:rPr>
            </w:pPr>
            <w:r>
              <w:rPr>
                <w:rFonts w:ascii="Arial" w:cs="Arial" w:eastAsia="Arial" w:hAnsi="Arial"/>
                <w:sz w:val="17"/>
                <w:szCs w:val="17"/>
                <w:color w:val="0000FF"/>
                <w:w w:val="94"/>
              </w:rPr>
              <w:t>Section 906 of the Sarbanes- Oxley Act of 2002.</w:t>
            </w:r>
          </w:p>
        </w:tc>
        <w:tc>
          <w:tcPr>
            <w:tcW w:w="5600" w:type="dxa"/>
            <w:vAlign w:val="bottom"/>
            <w:tcBorders>
              <w:top w:val="single" w:sz="8" w:color="0000FF"/>
            </w:tcBorders>
            <w:gridSpan w:val="9"/>
          </w:tcPr>
          <w:p>
            <w:pPr>
              <w:spacing w:after="0"/>
              <w:rPr>
                <w:sz w:val="13"/>
                <w:szCs w:val="13"/>
                <w:color w:val="auto"/>
              </w:rPr>
            </w:pPr>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19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9320" w:type="dxa"/>
            <w:vAlign w:val="bottom"/>
            <w:gridSpan w:val="28"/>
          </w:tcPr>
          <w:p>
            <w:pPr>
              <w:spacing w:after="0"/>
              <w:rPr>
                <w:sz w:val="20"/>
                <w:szCs w:val="20"/>
                <w:color w:val="auto"/>
              </w:rPr>
            </w:pPr>
            <w:r>
              <w:rPr>
                <w:rFonts w:ascii="Arial" w:cs="Arial" w:eastAsia="Arial" w:hAnsi="Arial"/>
                <w:sz w:val="18"/>
                <w:szCs w:val="18"/>
                <w:color w:val="auto"/>
                <w:w w:val="91"/>
              </w:rPr>
              <w:t>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20" w:type="dxa"/>
            <w:vAlign w:val="bottom"/>
            <w:gridSpan w:val="28"/>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06"/>
        </w:trPr>
        <w:tc>
          <w:tcPr>
            <w:tcW w:w="1900" w:type="dxa"/>
            <w:vAlign w:val="bottom"/>
            <w:gridSpan w:val="3"/>
          </w:tcPr>
          <w:p>
            <w:pPr>
              <w:jc w:val="center"/>
              <w:ind w:right="8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9320" w:type="dxa"/>
            <w:vAlign w:val="bottom"/>
            <w:gridSpan w:val="2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9"/>
        </w:trPr>
        <w:tc>
          <w:tcPr>
            <w:tcW w:w="1900" w:type="dxa"/>
            <w:vAlign w:val="bottom"/>
            <w:gridSpan w:val="3"/>
          </w:tcPr>
          <w:p>
            <w:pPr>
              <w:jc w:val="center"/>
              <w:ind w:right="80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24"/>
                <w:szCs w:val="24"/>
                <w:color w:val="auto"/>
              </w:rPr>
            </w:pPr>
          </w:p>
        </w:tc>
        <w:tc>
          <w:tcPr>
            <w:tcW w:w="9320" w:type="dxa"/>
            <w:vAlign w:val="bottom"/>
            <w:gridSpan w:val="28"/>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79"/>
        </w:trPr>
        <w:tc>
          <w:tcPr>
            <w:tcW w:w="190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24"/>
                <w:szCs w:val="24"/>
                <w:color w:val="auto"/>
              </w:rPr>
            </w:pPr>
          </w:p>
        </w:tc>
        <w:tc>
          <w:tcPr>
            <w:tcW w:w="9320" w:type="dxa"/>
            <w:vAlign w:val="bottom"/>
            <w:gridSpan w:val="28"/>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79"/>
        </w:trPr>
        <w:tc>
          <w:tcPr>
            <w:tcW w:w="1900" w:type="dxa"/>
            <w:vAlign w:val="bottom"/>
            <w:gridSpan w:val="3"/>
          </w:tcPr>
          <w:p>
            <w:pPr>
              <w:jc w:val="center"/>
              <w:ind w:right="8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9320" w:type="dxa"/>
            <w:vAlign w:val="bottom"/>
            <w:gridSpan w:val="28"/>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79"/>
        </w:trPr>
        <w:tc>
          <w:tcPr>
            <w:tcW w:w="19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101.DEF</w:t>
            </w:r>
          </w:p>
        </w:tc>
        <w:tc>
          <w:tcPr>
            <w:tcW w:w="20" w:type="dxa"/>
            <w:vAlign w:val="bottom"/>
          </w:tcPr>
          <w:p>
            <w:pPr>
              <w:spacing w:after="0"/>
              <w:rPr>
                <w:sz w:val="24"/>
                <w:szCs w:val="24"/>
                <w:color w:val="auto"/>
              </w:rPr>
            </w:pPr>
          </w:p>
        </w:tc>
        <w:tc>
          <w:tcPr>
            <w:tcW w:w="9320" w:type="dxa"/>
            <w:vAlign w:val="bottom"/>
            <w:gridSpan w:val="2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8"/>
        </w:trPr>
        <w:tc>
          <w:tcPr>
            <w:tcW w:w="1080" w:type="dxa"/>
            <w:vAlign w:val="bottom"/>
          </w:tcPr>
          <w:p>
            <w:pPr>
              <w:ind w:left="22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20" w:type="dxa"/>
            <w:vAlign w:val="bottom"/>
            <w:gridSpan w:val="28"/>
          </w:tcPr>
          <w:p>
            <w:pPr>
              <w:spacing w:after="0"/>
              <w:rPr>
                <w:sz w:val="20"/>
                <w:szCs w:val="20"/>
                <w:color w:val="auto"/>
              </w:rPr>
            </w:pPr>
            <w:r>
              <w:rPr>
                <w:rFonts w:ascii="Arial" w:cs="Arial" w:eastAsia="Arial" w:hAnsi="Arial"/>
                <w:sz w:val="18"/>
                <w:szCs w:val="18"/>
                <w:color w:val="auto"/>
                <w:w w:val="97"/>
              </w:rPr>
              <w:t>Cover Page Interactive Data File (formatted as inline XBRL with applicable taxonomy extension information contained in</w:t>
            </w: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20" w:type="dxa"/>
            <w:vAlign w:val="bottom"/>
            <w:gridSpan w:val="28"/>
          </w:tcPr>
          <w:p>
            <w:pPr>
              <w:spacing w:after="0"/>
              <w:rPr>
                <w:sz w:val="20"/>
                <w:szCs w:val="20"/>
                <w:color w:val="auto"/>
              </w:rPr>
            </w:pPr>
            <w:r>
              <w:rPr>
                <w:rFonts w:ascii="Arial" w:cs="Arial" w:eastAsia="Arial" w:hAnsi="Arial"/>
                <w:sz w:val="18"/>
                <w:szCs w:val="18"/>
                <w:color w:val="auto"/>
              </w:rPr>
              <w:t>Exhibits 101.)</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20" w:hanging="314"/>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 w:lineRule="exact"/>
        <w:rPr>
          <w:sz w:val="20"/>
          <w:szCs w:val="20"/>
          <w:color w:val="auto"/>
        </w:rPr>
      </w:pPr>
    </w:p>
    <w:p>
      <w:pPr>
        <w:ind w:left="320" w:hanging="314"/>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is a management contract or compensatory plan or arrangement.</w:t>
      </w:r>
    </w:p>
    <w:p>
      <w:pPr>
        <w:spacing w:after="0" w:line="6" w:lineRule="exact"/>
        <w:rPr>
          <w:sz w:val="20"/>
          <w:szCs w:val="20"/>
          <w:color w:val="auto"/>
        </w:rPr>
      </w:pPr>
    </w:p>
    <w:p>
      <w:pPr>
        <w:ind w:right="180" w:firstLine="6"/>
        <w:spacing w:after="0" w:line="250" w:lineRule="auto"/>
        <w:tabs>
          <w:tab w:leader="none" w:pos="399"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Submitted Electronically Herewith. Attached as Exhibit 101 to this report are the following formatted in inline XBRL (Extensible Business Reporting Language): (i) Consolidated Balance Sheets as of December 31, 2022 and December 31, 2021, (ii) Consolidated Statements of Operations for fiscal years 2022, 2021 and 2020, (iii) Consolidated Statements of</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for fiscal years 2022, 2021 and 2020, (iv) Consolidated Statement of Stockholders’ Equity for fiscal years 2022, 2021 and 2020,</w:t>
      </w:r>
    </w:p>
    <w:p>
      <w:pPr>
        <w:spacing w:after="0" w:line="40" w:lineRule="exact"/>
        <w:rPr>
          <w:sz w:val="20"/>
          <w:szCs w:val="20"/>
          <w:color w:val="auto"/>
        </w:rPr>
      </w:pPr>
    </w:p>
    <w:p>
      <w:pPr>
        <w:ind w:left="260" w:hanging="254"/>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Consolidated Statements of Cash Flows for fiscal years 2022, 2021 and 2020, and (vi) Notes to Consolidated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1"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20"/>
          </w:cols>
          <w:pgMar w:left="320" w:top="118" w:right="75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Pursuant to the requirements of the Section 13 or 15(d) of Securities Exchange Act of 1934, the Registrant has duly caused this report to be signed on its behalf by the undersigned, thereunto duly authorized.</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632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Casella Waste Systems, Inc.</w:t>
            </w:r>
          </w:p>
        </w:tc>
      </w:tr>
      <w:tr>
        <w:trPr>
          <w:trHeight w:val="386"/>
        </w:trPr>
        <w:tc>
          <w:tcPr>
            <w:tcW w:w="6320" w:type="dxa"/>
            <w:vAlign w:val="bottom"/>
          </w:tcPr>
          <w:p>
            <w:pPr>
              <w:spacing w:after="0"/>
              <w:rPr>
                <w:sz w:val="20"/>
                <w:szCs w:val="20"/>
                <w:color w:val="auto"/>
              </w:rPr>
            </w:pPr>
            <w:r>
              <w:rPr>
                <w:rFonts w:ascii="Arial" w:cs="Arial" w:eastAsia="Arial" w:hAnsi="Arial"/>
                <w:sz w:val="18"/>
                <w:szCs w:val="18"/>
                <w:color w:val="auto"/>
              </w:rPr>
              <w:t>Dated: February 17, 2023</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19"/>
        </w:trPr>
        <w:tc>
          <w:tcPr>
            <w:tcW w:w="632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John W. Casella</w:t>
            </w:r>
          </w:p>
        </w:tc>
      </w:tr>
      <w:tr>
        <w:trPr>
          <w:trHeight w:val="188"/>
        </w:trPr>
        <w:tc>
          <w:tcPr>
            <w:tcW w:w="6320" w:type="dxa"/>
            <w:vAlign w:val="bottom"/>
          </w:tcPr>
          <w:p>
            <w:pPr>
              <w:spacing w:after="0"/>
              <w:rPr>
                <w:sz w:val="16"/>
                <w:szCs w:val="16"/>
                <w:color w:val="auto"/>
              </w:rPr>
            </w:pPr>
          </w:p>
        </w:tc>
        <w:tc>
          <w:tcPr>
            <w:tcW w:w="4880" w:type="dxa"/>
            <w:vAlign w:val="bottom"/>
          </w:tcPr>
          <w:p>
            <w:pPr>
              <w:ind w:left="20"/>
              <w:spacing w:after="0" w:line="189" w:lineRule="exact"/>
              <w:rPr>
                <w:sz w:val="20"/>
                <w:szCs w:val="20"/>
                <w:color w:val="auto"/>
              </w:rPr>
            </w:pPr>
            <w:r>
              <w:rPr>
                <w:rFonts w:ascii="Arial" w:cs="Arial" w:eastAsia="Arial" w:hAnsi="Arial"/>
                <w:sz w:val="18"/>
                <w:szCs w:val="18"/>
                <w:color w:val="auto"/>
              </w:rPr>
              <w:t>Chairman of the Board of Directors and Chief</w:t>
            </w:r>
          </w:p>
        </w:tc>
      </w:tr>
      <w:tr>
        <w:trPr>
          <w:trHeight w:val="173"/>
        </w:trPr>
        <w:tc>
          <w:tcPr>
            <w:tcW w:w="6320" w:type="dxa"/>
            <w:vAlign w:val="bottom"/>
          </w:tcPr>
          <w:p>
            <w:pPr>
              <w:spacing w:after="0"/>
              <w:rPr>
                <w:sz w:val="15"/>
                <w:szCs w:val="15"/>
                <w:color w:val="auto"/>
              </w:rPr>
            </w:pPr>
          </w:p>
        </w:tc>
        <w:tc>
          <w:tcPr>
            <w:tcW w:w="4880" w:type="dxa"/>
            <w:vAlign w:val="bottom"/>
          </w:tcPr>
          <w:p>
            <w:pPr>
              <w:ind w:left="20"/>
              <w:spacing w:after="0" w:line="173" w:lineRule="exact"/>
              <w:rPr>
                <w:sz w:val="20"/>
                <w:szCs w:val="20"/>
                <w:color w:val="auto"/>
              </w:rPr>
            </w:pPr>
            <w:r>
              <w:rPr>
                <w:rFonts w:ascii="Arial" w:cs="Arial" w:eastAsia="Arial" w:hAnsi="Arial"/>
                <w:sz w:val="18"/>
                <w:szCs w:val="18"/>
                <w:color w:val="auto"/>
              </w:rPr>
              <w:t>Executive Officer</w:t>
            </w:r>
          </w:p>
        </w:tc>
      </w:tr>
      <w:tr>
        <w:trPr>
          <w:trHeight w:val="224"/>
        </w:trPr>
        <w:tc>
          <w:tcPr>
            <w:tcW w:w="632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2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1780" w:type="dxa"/>
            <w:vAlign w:val="bottom"/>
          </w:tcPr>
          <w:p>
            <w:pPr>
              <w:jc w:val="center"/>
              <w:ind w:right="573"/>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Title</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4"/>
        </w:trPr>
        <w:tc>
          <w:tcPr>
            <w:tcW w:w="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351"/>
        </w:trPr>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3"/>
              </w:rPr>
              <w:t>/s/</w:t>
            </w:r>
          </w:p>
        </w:tc>
        <w:tc>
          <w:tcPr>
            <w:tcW w:w="178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w w:val="86"/>
              </w:rPr>
              <w:t>John W. Casella</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Chairman of the Board of Directors and Chief Executive Officer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17, 2023</w:t>
            </w:r>
          </w:p>
        </w:tc>
      </w:tr>
      <w:tr>
        <w:trPr>
          <w:trHeight w:val="219"/>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86"/>
              </w:rPr>
              <w:t>John W. Casella</w:t>
            </w:r>
          </w:p>
        </w:tc>
        <w:tc>
          <w:tcPr>
            <w:tcW w:w="120" w:type="dxa"/>
            <w:vAlign w:val="bottom"/>
          </w:tcPr>
          <w:p>
            <w:pPr>
              <w:spacing w:after="0"/>
              <w:rPr>
                <w:sz w:val="19"/>
                <w:szCs w:val="19"/>
                <w:color w:val="auto"/>
              </w:rPr>
            </w:pPr>
          </w:p>
        </w:tc>
        <w:tc>
          <w:tcPr>
            <w:tcW w:w="6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(Principal Executive Officer)</w:t>
            </w:r>
          </w:p>
        </w:tc>
        <w:tc>
          <w:tcPr>
            <w:tcW w:w="2480" w:type="dxa"/>
            <w:vAlign w:val="bottom"/>
          </w:tcPr>
          <w:p>
            <w:pPr>
              <w:spacing w:after="0"/>
              <w:rPr>
                <w:sz w:val="19"/>
                <w:szCs w:val="19"/>
                <w:color w:val="auto"/>
              </w:rPr>
            </w:pPr>
          </w:p>
        </w:tc>
      </w:tr>
      <w:tr>
        <w:trPr>
          <w:trHeight w:val="372"/>
        </w:trPr>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w:t>
            </w:r>
          </w:p>
        </w:tc>
        <w:tc>
          <w:tcPr>
            <w:tcW w:w="178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w w:val="90"/>
              </w:rPr>
              <w:t>Edmond R. Coletta</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President and Chief Financial Officer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17, 2023</w:t>
            </w:r>
          </w:p>
        </w:tc>
      </w:tr>
      <w:tr>
        <w:trPr>
          <w:trHeight w:val="219"/>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89"/>
              </w:rPr>
              <w:t>Edmond R. Coletta</w:t>
            </w:r>
          </w:p>
        </w:tc>
        <w:tc>
          <w:tcPr>
            <w:tcW w:w="120" w:type="dxa"/>
            <w:vAlign w:val="bottom"/>
          </w:tcPr>
          <w:p>
            <w:pPr>
              <w:spacing w:after="0"/>
              <w:rPr>
                <w:sz w:val="19"/>
                <w:szCs w:val="19"/>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(Principal Financial Officer)</w:t>
            </w:r>
          </w:p>
        </w:tc>
        <w:tc>
          <w:tcPr>
            <w:tcW w:w="2480" w:type="dxa"/>
            <w:vAlign w:val="bottom"/>
          </w:tcPr>
          <w:p>
            <w:pPr>
              <w:spacing w:after="0"/>
              <w:rPr>
                <w:sz w:val="19"/>
                <w:szCs w:val="19"/>
                <w:color w:val="auto"/>
              </w:rPr>
            </w:pPr>
          </w:p>
        </w:tc>
      </w:tr>
      <w:tr>
        <w:trPr>
          <w:trHeight w:val="372"/>
        </w:trPr>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3"/>
              </w:rPr>
              <w:t>/s/</w:t>
            </w:r>
          </w:p>
        </w:tc>
        <w:tc>
          <w:tcPr>
            <w:tcW w:w="17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Kevin J. Drohan</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Vice President and Chief Accounting Officer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17, 2023</w:t>
            </w:r>
          </w:p>
        </w:tc>
      </w:tr>
      <w:tr>
        <w:trPr>
          <w:trHeight w:val="219"/>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0"/>
              </w:rPr>
              <w:t>Kevin J. Drohan</w:t>
            </w:r>
          </w:p>
        </w:tc>
        <w:tc>
          <w:tcPr>
            <w:tcW w:w="120" w:type="dxa"/>
            <w:vAlign w:val="bottom"/>
          </w:tcPr>
          <w:p>
            <w:pPr>
              <w:spacing w:after="0"/>
              <w:rPr>
                <w:sz w:val="19"/>
                <w:szCs w:val="19"/>
                <w:color w:val="auto"/>
              </w:rPr>
            </w:pPr>
          </w:p>
        </w:tc>
        <w:tc>
          <w:tcPr>
            <w:tcW w:w="6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Accounting Officer)</w:t>
            </w:r>
          </w:p>
        </w:tc>
        <w:tc>
          <w:tcPr>
            <w:tcW w:w="2480" w:type="dxa"/>
            <w:vAlign w:val="bottom"/>
          </w:tcPr>
          <w:p>
            <w:pPr>
              <w:spacing w:after="0"/>
              <w:rPr>
                <w:sz w:val="19"/>
                <w:szCs w:val="19"/>
                <w:color w:val="auto"/>
              </w:rPr>
            </w:pPr>
          </w:p>
        </w:tc>
      </w:tr>
      <w:tr>
        <w:trPr>
          <w:trHeight w:val="373"/>
        </w:trPr>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w:t>
            </w:r>
          </w:p>
        </w:tc>
        <w:tc>
          <w:tcPr>
            <w:tcW w:w="178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w w:val="89"/>
              </w:rPr>
              <w:t>Douglas R. Casella</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17, 2023</w:t>
            </w:r>
          </w:p>
        </w:tc>
      </w:tr>
      <w:tr>
        <w:trPr>
          <w:trHeight w:val="219"/>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88"/>
              </w:rPr>
              <w:t>Douglas R. Casella</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3"/>
        </w:trPr>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/s/</w:t>
            </w:r>
          </w:p>
        </w:tc>
        <w:tc>
          <w:tcPr>
            <w:tcW w:w="178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w w:val="87"/>
              </w:rPr>
              <w:t>Joseph G. Doody</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17, 2023</w:t>
            </w:r>
          </w:p>
        </w:tc>
      </w:tr>
      <w:tr>
        <w:trPr>
          <w:trHeight w:val="219"/>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87"/>
              </w:rPr>
              <w:t>Joseph G. Doody</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3"/>
        </w:trPr>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w:t>
            </w:r>
          </w:p>
        </w:tc>
        <w:tc>
          <w:tcPr>
            <w:tcW w:w="178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w w:val="91"/>
              </w:rPr>
              <w:t>Rose Stuckey Kirk</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17, 2023</w:t>
            </w:r>
          </w:p>
        </w:tc>
      </w:tr>
      <w:tr>
        <w:trPr>
          <w:trHeight w:val="219"/>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1"/>
              </w:rPr>
              <w:t>Rose Stuckey Kirk</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3"/>
        </w:trPr>
        <w:tc>
          <w:tcPr>
            <w:tcW w:w="6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right="593"/>
              <w:spacing w:after="0"/>
              <w:rPr>
                <w:sz w:val="20"/>
                <w:szCs w:val="20"/>
                <w:color w:val="auto"/>
              </w:rPr>
            </w:pPr>
            <w:r>
              <w:rPr>
                <w:rFonts w:ascii="Arial" w:cs="Arial" w:eastAsia="Arial" w:hAnsi="Arial"/>
                <w:sz w:val="18"/>
                <w:szCs w:val="18"/>
                <w:color w:val="auto"/>
                <w:w w:val="96"/>
              </w:rPr>
              <w:t>/s/  Gary Sova</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17, 2023</w:t>
            </w:r>
          </w:p>
        </w:tc>
      </w:tr>
      <w:tr>
        <w:trPr>
          <w:trHeight w:val="219"/>
        </w:trPr>
        <w:tc>
          <w:tcPr>
            <w:tcW w:w="680" w:type="dxa"/>
            <w:vAlign w:val="bottom"/>
          </w:tcPr>
          <w:p>
            <w:pPr>
              <w:spacing w:after="0"/>
              <w:rPr>
                <w:sz w:val="19"/>
                <w:szCs w:val="19"/>
                <w:color w:val="auto"/>
              </w:rPr>
            </w:pPr>
          </w:p>
        </w:tc>
        <w:tc>
          <w:tcPr>
            <w:tcW w:w="1780" w:type="dxa"/>
            <w:vAlign w:val="bottom"/>
          </w:tcPr>
          <w:p>
            <w:pPr>
              <w:jc w:val="center"/>
              <w:ind w:right="573"/>
              <w:spacing w:after="0"/>
              <w:rPr>
                <w:sz w:val="20"/>
                <w:szCs w:val="20"/>
                <w:color w:val="auto"/>
              </w:rPr>
            </w:pPr>
            <w:r>
              <w:rPr>
                <w:rFonts w:ascii="Arial" w:cs="Arial" w:eastAsia="Arial" w:hAnsi="Arial"/>
                <w:sz w:val="18"/>
                <w:szCs w:val="18"/>
                <w:color w:val="auto"/>
                <w:w w:val="89"/>
              </w:rPr>
              <w:t>Gary Sova</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3"/>
        </w:trPr>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w:t>
            </w:r>
          </w:p>
        </w:tc>
        <w:tc>
          <w:tcPr>
            <w:tcW w:w="178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w w:val="93"/>
              </w:rPr>
              <w:t>William P. Hulligan</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17, 2023</w:t>
            </w:r>
          </w:p>
        </w:tc>
      </w:tr>
      <w:tr>
        <w:trPr>
          <w:trHeight w:val="219"/>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3"/>
              </w:rPr>
              <w:t>William P. Hulligan</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3"/>
        </w:trPr>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w:t>
            </w:r>
          </w:p>
        </w:tc>
        <w:tc>
          <w:tcPr>
            <w:tcW w:w="178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w w:val="92"/>
              </w:rPr>
              <w:t>Michael K. Burke</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17, 2023</w:t>
            </w:r>
          </w:p>
        </w:tc>
      </w:tr>
      <w:tr>
        <w:trPr>
          <w:trHeight w:val="219"/>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4"/>
              </w:rPr>
              <w:t>Michael K. Burke</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3"/>
        </w:trPr>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/s/ Michael L. Battles</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17, 2023</w:t>
            </w:r>
          </w:p>
        </w:tc>
      </w:tr>
      <w:tr>
        <w:trPr>
          <w:trHeight w:val="219"/>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2"/>
              </w:rPr>
              <w:t>Michael L. Battles</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2"/>
        </w:trPr>
        <w:tc>
          <w:tcPr>
            <w:tcW w:w="680" w:type="dxa"/>
            <w:vAlign w:val="bottom"/>
          </w:tcPr>
          <w:p>
            <w:pPr>
              <w:ind w:left="380"/>
              <w:spacing w:after="0"/>
              <w:rPr>
                <w:sz w:val="20"/>
                <w:szCs w:val="20"/>
                <w:color w:val="auto"/>
              </w:rPr>
            </w:pPr>
            <w:r>
              <w:rPr>
                <w:rFonts w:ascii="Arial" w:cs="Arial" w:eastAsia="Arial" w:hAnsi="Arial"/>
                <w:sz w:val="18"/>
                <w:szCs w:val="18"/>
                <w:color w:val="auto"/>
              </w:rPr>
              <w:t>/s/</w:t>
            </w:r>
          </w:p>
        </w:tc>
        <w:tc>
          <w:tcPr>
            <w:tcW w:w="1780" w:type="dxa"/>
            <w:vAlign w:val="bottom"/>
          </w:tcPr>
          <w:p>
            <w:pPr>
              <w:jc w:val="center"/>
              <w:ind w:right="233"/>
              <w:spacing w:after="0"/>
              <w:rPr>
                <w:sz w:val="20"/>
                <w:szCs w:val="20"/>
                <w:color w:val="auto"/>
              </w:rPr>
            </w:pPr>
            <w:r>
              <w:rPr>
                <w:rFonts w:ascii="Arial" w:cs="Arial" w:eastAsia="Arial" w:hAnsi="Arial"/>
                <w:sz w:val="18"/>
                <w:szCs w:val="18"/>
                <w:color w:val="auto"/>
                <w:w w:val="91"/>
              </w:rPr>
              <w:t>Emily Nagle Green</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17,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15621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5">
                      <a:extLst>
                        <a:ext uri="{28A0092B-C50C-407E-A947-70E740481C1C}"/>
                      </a:extLst>
                    </a:blip>
                    <a:srcRect/>
                    <a:stretch>
                      <a:fillRect/>
                    </a:stretch>
                  </pic:blipFill>
                  <pic:spPr bwMode="auto">
                    <a:xfrm>
                      <a:off x="0" y="0"/>
                      <a:ext cx="156210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Emily Nagle Green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1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FOURTH AMENDED AND RESTATED</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BY-LAWS</w:t>
      </w:r>
    </w:p>
    <w:p>
      <w:pPr>
        <w:jc w:val="center"/>
        <w:ind w:right="1100"/>
        <w:spacing w:after="0" w:line="231" w:lineRule="auto"/>
        <w:rPr>
          <w:sz w:val="20"/>
          <w:szCs w:val="20"/>
          <w:color w:val="auto"/>
        </w:rPr>
      </w:pPr>
      <w:r>
        <w:rPr>
          <w:rFonts w:ascii="Arial" w:cs="Arial" w:eastAsia="Arial" w:hAnsi="Arial"/>
          <w:sz w:val="18"/>
          <w:szCs w:val="18"/>
          <w:color w:val="auto"/>
        </w:rPr>
        <w:t>OF</w:t>
      </w:r>
    </w:p>
    <w:p>
      <w:pPr>
        <w:jc w:val="center"/>
        <w:ind w:right="1100"/>
        <w:spacing w:after="0"/>
        <w:rPr>
          <w:sz w:val="20"/>
          <w:szCs w:val="20"/>
          <w:color w:val="auto"/>
        </w:rPr>
      </w:pPr>
      <w:r>
        <w:rPr>
          <w:rFonts w:ascii="Arial" w:cs="Arial" w:eastAsia="Arial" w:hAnsi="Arial"/>
          <w:sz w:val="18"/>
          <w:szCs w:val="18"/>
          <w:color w:val="auto"/>
        </w:rPr>
        <w:t>CASELLA WASTE SYSTEMS,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Effective: February 15, 2023</w:t>
      </w:r>
    </w:p>
    <w:p>
      <w:pPr>
        <w:sectPr>
          <w:pgSz w:w="11900" w:h="16838" w:orient="portrait"/>
          <w:cols w:equalWidth="0" w:num="1">
            <w:col w:w="10120"/>
          </w:cols>
          <w:pgMar w:left="1440" w:top="879"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13"/>
        </w:trPr>
        <w:tc>
          <w:tcPr>
            <w:tcW w:w="2040" w:type="dxa"/>
            <w:vAlign w:val="bottom"/>
          </w:tcPr>
          <w:p>
            <w:pPr>
              <w:spacing w:after="0"/>
              <w:rPr>
                <w:sz w:val="18"/>
                <w:szCs w:val="18"/>
                <w:color w:val="auto"/>
              </w:rPr>
            </w:pPr>
          </w:p>
        </w:tc>
        <w:tc>
          <w:tcPr>
            <w:tcW w:w="8220" w:type="dxa"/>
            <w:vAlign w:val="bottom"/>
          </w:tcPr>
          <w:p>
            <w:pPr>
              <w:jc w:val="center"/>
              <w:ind w:right="1003"/>
              <w:spacing w:after="0"/>
              <w:rPr>
                <w:sz w:val="20"/>
                <w:szCs w:val="20"/>
                <w:color w:val="auto"/>
              </w:rPr>
            </w:pPr>
            <w:r>
              <w:rPr>
                <w:rFonts w:ascii="Arial" w:cs="Arial" w:eastAsia="Arial" w:hAnsi="Arial"/>
                <w:sz w:val="18"/>
                <w:szCs w:val="18"/>
                <w:b w:val="1"/>
                <w:bCs w:val="1"/>
                <w:color w:val="auto"/>
                <w:w w:val="97"/>
              </w:rPr>
              <w:t>CASELLA WASTE SYSTEMS, INC.</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Pr>
          <w:p>
            <w:pPr>
              <w:spacing w:after="0"/>
              <w:rPr>
                <w:sz w:val="18"/>
                <w:szCs w:val="18"/>
                <w:color w:val="auto"/>
              </w:rPr>
            </w:pPr>
          </w:p>
        </w:tc>
        <w:tc>
          <w:tcPr>
            <w:tcW w:w="8220" w:type="dxa"/>
            <w:vAlign w:val="bottom"/>
          </w:tcPr>
          <w:p>
            <w:pPr>
              <w:jc w:val="center"/>
              <w:ind w:right="1003"/>
              <w:spacing w:after="0"/>
              <w:rPr>
                <w:sz w:val="20"/>
                <w:szCs w:val="20"/>
                <w:color w:val="auto"/>
              </w:rPr>
            </w:pPr>
            <w:r>
              <w:rPr>
                <w:rFonts w:ascii="Arial" w:cs="Arial" w:eastAsia="Arial" w:hAnsi="Arial"/>
                <w:sz w:val="18"/>
                <w:szCs w:val="18"/>
                <w:b w:val="1"/>
                <w:bCs w:val="1"/>
                <w:color w:val="auto"/>
                <w:w w:val="95"/>
              </w:rPr>
              <w:t>BY-LAWS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8220" w:type="dxa"/>
            <w:vAlign w:val="bottom"/>
          </w:tcPr>
          <w:p>
            <w:pPr>
              <w:jc w:val="center"/>
              <w:ind w:right="983"/>
              <w:spacing w:after="0"/>
              <w:rPr>
                <w:sz w:val="20"/>
                <w:szCs w:val="20"/>
                <w:color w:val="auto"/>
              </w:rPr>
            </w:pPr>
            <w:r>
              <w:rPr>
                <w:rFonts w:ascii="Arial" w:cs="Arial" w:eastAsia="Arial" w:hAnsi="Arial"/>
                <w:sz w:val="18"/>
                <w:szCs w:val="18"/>
                <w:b w:val="1"/>
                <w:bCs w:val="1"/>
                <w:color w:val="auto"/>
                <w:w w:val="97"/>
              </w:rPr>
              <w:t>TABLE OF CONTENTS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1"/>
        </w:trPr>
        <w:tc>
          <w:tcPr>
            <w:tcW w:w="204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b w:val="1"/>
                <w:bCs w:val="1"/>
                <w:color w:val="auto"/>
              </w:rPr>
              <w:t>Page</w:t>
            </w:r>
          </w:p>
        </w:tc>
        <w:tc>
          <w:tcPr>
            <w:tcW w:w="0" w:type="dxa"/>
            <w:vAlign w:val="bottom"/>
          </w:tcPr>
          <w:p>
            <w:pPr>
              <w:spacing w:after="0"/>
              <w:rPr>
                <w:sz w:val="1"/>
                <w:szCs w:val="1"/>
                <w:color w:val="auto"/>
              </w:rPr>
            </w:pPr>
          </w:p>
        </w:tc>
      </w:tr>
      <w:tr>
        <w:trPr>
          <w:trHeight w:val="272"/>
        </w:trPr>
        <w:tc>
          <w:tcPr>
            <w:tcW w:w="10260" w:type="dxa"/>
            <w:vAlign w:val="bottom"/>
            <w:gridSpan w:val="2"/>
          </w:tcPr>
          <w:p>
            <w:pPr>
              <w:spacing w:after="0"/>
              <w:rPr>
                <w:sz w:val="20"/>
                <w:szCs w:val="20"/>
                <w:color w:val="auto"/>
              </w:rPr>
            </w:pPr>
            <w:r>
              <w:rPr>
                <w:rFonts w:ascii="Arial" w:cs="Arial" w:eastAsia="Arial" w:hAnsi="Arial"/>
                <w:sz w:val="19"/>
                <w:szCs w:val="19"/>
                <w:b w:val="1"/>
                <w:bCs w:val="1"/>
                <w:color w:val="auto"/>
              </w:rPr>
              <w:t>ARTICLE 1 - Stockholders</w:t>
            </w:r>
          </w:p>
        </w:tc>
        <w:tc>
          <w:tcPr>
            <w:tcW w:w="72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1.1</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Place of Meetings</w:t>
            </w:r>
          </w:p>
        </w:tc>
        <w:tc>
          <w:tcPr>
            <w:tcW w:w="72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54"/>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1.2</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Annual Meeting</w:t>
            </w:r>
          </w:p>
        </w:tc>
        <w:tc>
          <w:tcPr>
            <w:tcW w:w="72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78"/>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1.3</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Special Meetings</w:t>
            </w:r>
          </w:p>
        </w:tc>
        <w:tc>
          <w:tcPr>
            <w:tcW w:w="72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1.4</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Record Date for Stockholder Meetings</w:t>
            </w:r>
          </w:p>
        </w:tc>
        <w:tc>
          <w:tcPr>
            <w:tcW w:w="72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1.5</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Notice of Meetings</w:t>
            </w:r>
          </w:p>
        </w:tc>
        <w:tc>
          <w:tcPr>
            <w:tcW w:w="72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54"/>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1.6</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Voting List</w:t>
            </w:r>
          </w:p>
        </w:tc>
        <w:tc>
          <w:tcPr>
            <w:tcW w:w="72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79"/>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1.7</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Quorum</w:t>
            </w:r>
          </w:p>
        </w:tc>
        <w:tc>
          <w:tcPr>
            <w:tcW w:w="72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79"/>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1.8</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Adjournments</w:t>
            </w:r>
          </w:p>
        </w:tc>
        <w:tc>
          <w:tcPr>
            <w:tcW w:w="72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79"/>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1.9</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Voting and Proxies</w:t>
            </w:r>
          </w:p>
        </w:tc>
        <w:tc>
          <w:tcPr>
            <w:tcW w:w="72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79"/>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1.10</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Action at Meeting</w:t>
            </w:r>
          </w:p>
        </w:tc>
        <w:tc>
          <w:tcPr>
            <w:tcW w:w="72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79"/>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1.11</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Notice of Business at Annual Meetings</w:t>
            </w:r>
          </w:p>
        </w:tc>
        <w:tc>
          <w:tcPr>
            <w:tcW w:w="720" w:type="dxa"/>
            <w:vAlign w:val="bottom"/>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79"/>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1.12</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Action without Meeting</w:t>
            </w:r>
          </w:p>
        </w:tc>
        <w:tc>
          <w:tcPr>
            <w:tcW w:w="720" w:type="dxa"/>
            <w:vAlign w:val="bottom"/>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79"/>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1.13</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Nomination of Directors</w:t>
            </w:r>
          </w:p>
        </w:tc>
        <w:tc>
          <w:tcPr>
            <w:tcW w:w="720" w:type="dxa"/>
            <w:vAlign w:val="bottom"/>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78"/>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1.14</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Conduct of Meetings</w:t>
            </w:r>
          </w:p>
        </w:tc>
        <w:tc>
          <w:tcPr>
            <w:tcW w:w="720" w:type="dxa"/>
            <w:vAlign w:val="bottom"/>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53"/>
        </w:trPr>
        <w:tc>
          <w:tcPr>
            <w:tcW w:w="2040" w:type="dxa"/>
            <w:vAlign w:val="bottom"/>
          </w:tcPr>
          <w:p>
            <w:pPr>
              <w:spacing w:after="0"/>
              <w:rPr>
                <w:sz w:val="20"/>
                <w:szCs w:val="20"/>
                <w:color w:val="auto"/>
              </w:rPr>
            </w:pPr>
            <w:r>
              <w:rPr>
                <w:rFonts w:ascii="Arial" w:cs="Arial" w:eastAsia="Arial" w:hAnsi="Arial"/>
                <w:sz w:val="19"/>
                <w:szCs w:val="19"/>
                <w:b w:val="1"/>
                <w:bCs w:val="1"/>
                <w:color w:val="auto"/>
              </w:rPr>
              <w:t>ARTICLE 2 - Directors</w:t>
            </w:r>
          </w:p>
        </w:tc>
        <w:tc>
          <w:tcPr>
            <w:tcW w:w="8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2.1</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General Powers</w:t>
            </w:r>
          </w:p>
        </w:tc>
        <w:tc>
          <w:tcPr>
            <w:tcW w:w="72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2.2</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Number of Directors</w:t>
            </w:r>
          </w:p>
        </w:tc>
        <w:tc>
          <w:tcPr>
            <w:tcW w:w="72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2.3</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Classes of Directors</w:t>
            </w:r>
          </w:p>
        </w:tc>
        <w:tc>
          <w:tcPr>
            <w:tcW w:w="72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2.4</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Election of Directors</w:t>
            </w:r>
          </w:p>
        </w:tc>
        <w:tc>
          <w:tcPr>
            <w:tcW w:w="72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2.5</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Terms of Office</w:t>
            </w:r>
          </w:p>
        </w:tc>
        <w:tc>
          <w:tcPr>
            <w:tcW w:w="72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199"/>
        </w:trPr>
        <w:tc>
          <w:tcPr>
            <w:tcW w:w="204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2.6</w:t>
            </w:r>
          </w:p>
        </w:tc>
        <w:tc>
          <w:tcPr>
            <w:tcW w:w="8220" w:type="dxa"/>
            <w:vAlign w:val="bottom"/>
          </w:tcPr>
          <w:p>
            <w:pPr>
              <w:ind w:left="80"/>
              <w:spacing w:after="0" w:line="200" w:lineRule="exact"/>
              <w:rPr>
                <w:sz w:val="20"/>
                <w:szCs w:val="20"/>
                <w:color w:val="auto"/>
              </w:rPr>
            </w:pPr>
            <w:r>
              <w:rPr>
                <w:rFonts w:ascii="Arial" w:cs="Arial" w:eastAsia="Arial" w:hAnsi="Arial"/>
                <w:sz w:val="19"/>
                <w:szCs w:val="19"/>
                <w:b w:val="1"/>
                <w:bCs w:val="1"/>
                <w:color w:val="auto"/>
                <w:w w:val="94"/>
              </w:rPr>
              <w:t>Allocation of Directors Among Classes in the Event of Increases or Decreases in the Number of</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40" w:type="dxa"/>
            <w:vAlign w:val="bottom"/>
            <w:vMerge w:val="continue"/>
          </w:tcPr>
          <w:p>
            <w:pPr>
              <w:spacing w:after="0"/>
              <w:rPr>
                <w:sz w:val="20"/>
                <w:szCs w:val="20"/>
                <w:color w:val="auto"/>
              </w:rPr>
            </w:pP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Directors</w:t>
            </w:r>
          </w:p>
        </w:tc>
        <w:tc>
          <w:tcPr>
            <w:tcW w:w="72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2.7</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Tenure</w:t>
            </w:r>
          </w:p>
        </w:tc>
        <w:tc>
          <w:tcPr>
            <w:tcW w:w="72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2.8</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Vacancies</w:t>
            </w:r>
          </w:p>
        </w:tc>
        <w:tc>
          <w:tcPr>
            <w:tcW w:w="720" w:type="dxa"/>
            <w:vAlign w:val="bottom"/>
          </w:tcPr>
          <w:p>
            <w:pPr>
              <w:jc w:val="right"/>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2.9</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Quorum</w:t>
            </w:r>
          </w:p>
        </w:tc>
        <w:tc>
          <w:tcPr>
            <w:tcW w:w="720" w:type="dxa"/>
            <w:vAlign w:val="bottom"/>
          </w:tcPr>
          <w:p>
            <w:pPr>
              <w:jc w:val="right"/>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2.10</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Action at Meeting</w:t>
            </w:r>
          </w:p>
        </w:tc>
        <w:tc>
          <w:tcPr>
            <w:tcW w:w="720" w:type="dxa"/>
            <w:vAlign w:val="bottom"/>
          </w:tcPr>
          <w:p>
            <w:pPr>
              <w:jc w:val="right"/>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2.11</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Removal</w:t>
            </w:r>
          </w:p>
        </w:tc>
        <w:tc>
          <w:tcPr>
            <w:tcW w:w="720" w:type="dxa"/>
            <w:vAlign w:val="bottom"/>
          </w:tcPr>
          <w:p>
            <w:pPr>
              <w:jc w:val="right"/>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2.12</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Resignation</w:t>
            </w:r>
          </w:p>
        </w:tc>
        <w:tc>
          <w:tcPr>
            <w:tcW w:w="720" w:type="dxa"/>
            <w:vAlign w:val="bottom"/>
          </w:tcPr>
          <w:p>
            <w:pPr>
              <w:jc w:val="right"/>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2.13</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Regular Meetings</w:t>
            </w:r>
          </w:p>
        </w:tc>
        <w:tc>
          <w:tcPr>
            <w:tcW w:w="720" w:type="dxa"/>
            <w:vAlign w:val="bottom"/>
          </w:tcPr>
          <w:p>
            <w:pPr>
              <w:jc w:val="right"/>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2.14</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Special Meetings</w:t>
            </w:r>
          </w:p>
        </w:tc>
        <w:tc>
          <w:tcPr>
            <w:tcW w:w="720" w:type="dxa"/>
            <w:vAlign w:val="bottom"/>
          </w:tcPr>
          <w:p>
            <w:pPr>
              <w:jc w:val="right"/>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2.15</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Notice of Special Meetings</w:t>
            </w:r>
          </w:p>
        </w:tc>
        <w:tc>
          <w:tcPr>
            <w:tcW w:w="720" w:type="dxa"/>
            <w:vAlign w:val="bottom"/>
          </w:tcPr>
          <w:p>
            <w:pPr>
              <w:jc w:val="right"/>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2.16</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Meetings by Conference Communications Equipment</w:t>
            </w:r>
          </w:p>
        </w:tc>
        <w:tc>
          <w:tcPr>
            <w:tcW w:w="720" w:type="dxa"/>
            <w:vAlign w:val="bottom"/>
          </w:tcPr>
          <w:p>
            <w:pPr>
              <w:jc w:val="right"/>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53"/>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2.17</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Action by Consent</w:t>
            </w:r>
          </w:p>
        </w:tc>
        <w:tc>
          <w:tcPr>
            <w:tcW w:w="720" w:type="dxa"/>
            <w:vAlign w:val="bottom"/>
          </w:tcPr>
          <w:p>
            <w:pPr>
              <w:jc w:val="right"/>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54"/>
        </w:trPr>
        <w:tc>
          <w:tcPr>
            <w:tcW w:w="2040" w:type="dxa"/>
            <w:vAlign w:val="bottom"/>
          </w:tcPr>
          <w:p>
            <w:pPr>
              <w:ind w:left="80"/>
              <w:spacing w:after="0"/>
              <w:rPr>
                <w:sz w:val="20"/>
                <w:szCs w:val="20"/>
                <w:color w:val="auto"/>
              </w:rPr>
            </w:pPr>
            <w:r>
              <w:rPr>
                <w:rFonts w:ascii="Arial" w:cs="Arial" w:eastAsia="Arial" w:hAnsi="Arial"/>
                <w:sz w:val="19"/>
                <w:szCs w:val="19"/>
                <w:b w:val="1"/>
                <w:bCs w:val="1"/>
                <w:color w:val="auto"/>
              </w:rPr>
              <w:t>2.18</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Committees</w:t>
            </w:r>
          </w:p>
        </w:tc>
        <w:tc>
          <w:tcPr>
            <w:tcW w:w="720" w:type="dxa"/>
            <w:vAlign w:val="bottom"/>
          </w:tcPr>
          <w:p>
            <w:pPr>
              <w:jc w:val="right"/>
              <w:spacing w:after="0"/>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340" w:top="879" w:right="57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2.19</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Compensation of Directors</w:t>
            </w:r>
          </w:p>
        </w:tc>
        <w:tc>
          <w:tcPr>
            <w:tcW w:w="198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2.20</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Emergency Bylaws</w:t>
            </w:r>
          </w:p>
        </w:tc>
        <w:tc>
          <w:tcPr>
            <w:tcW w:w="198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53"/>
        </w:trPr>
        <w:tc>
          <w:tcPr>
            <w:tcW w:w="1880" w:type="dxa"/>
            <w:vAlign w:val="bottom"/>
          </w:tcPr>
          <w:p>
            <w:pPr>
              <w:spacing w:after="0"/>
              <w:rPr>
                <w:sz w:val="20"/>
                <w:szCs w:val="20"/>
                <w:color w:val="auto"/>
              </w:rPr>
            </w:pPr>
            <w:r>
              <w:rPr>
                <w:rFonts w:ascii="Arial" w:cs="Arial" w:eastAsia="Arial" w:hAnsi="Arial"/>
                <w:sz w:val="19"/>
                <w:szCs w:val="19"/>
                <w:b w:val="1"/>
                <w:bCs w:val="1"/>
                <w:color w:val="auto"/>
                <w:w w:val="99"/>
              </w:rPr>
              <w:t>ARTICLE 3 - Officers</w:t>
            </w:r>
          </w:p>
        </w:tc>
        <w:tc>
          <w:tcPr>
            <w:tcW w:w="71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3.1</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Enumeration</w:t>
            </w:r>
          </w:p>
        </w:tc>
        <w:tc>
          <w:tcPr>
            <w:tcW w:w="198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3.2</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Election</w:t>
            </w:r>
          </w:p>
        </w:tc>
        <w:tc>
          <w:tcPr>
            <w:tcW w:w="198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3.3</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Qualification</w:t>
            </w:r>
          </w:p>
        </w:tc>
        <w:tc>
          <w:tcPr>
            <w:tcW w:w="19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3.4</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Tenure</w:t>
            </w:r>
          </w:p>
        </w:tc>
        <w:tc>
          <w:tcPr>
            <w:tcW w:w="19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3.5</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Resignation and Removal</w:t>
            </w:r>
          </w:p>
        </w:tc>
        <w:tc>
          <w:tcPr>
            <w:tcW w:w="19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3.6</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Vacancies</w:t>
            </w:r>
          </w:p>
        </w:tc>
        <w:tc>
          <w:tcPr>
            <w:tcW w:w="19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3.7</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Chairman of the Board and Vice-Chairman of the Board</w:t>
            </w:r>
          </w:p>
        </w:tc>
        <w:tc>
          <w:tcPr>
            <w:tcW w:w="19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3.8</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Chief Executive Officer</w:t>
            </w:r>
          </w:p>
        </w:tc>
        <w:tc>
          <w:tcPr>
            <w:tcW w:w="19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3.9</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Vice Presidents</w:t>
            </w:r>
          </w:p>
        </w:tc>
        <w:tc>
          <w:tcPr>
            <w:tcW w:w="19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3.10</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Secretary and Assistant Secretaries</w:t>
            </w:r>
          </w:p>
        </w:tc>
        <w:tc>
          <w:tcPr>
            <w:tcW w:w="19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3.11</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Treasurer and Assistant Treasurers</w:t>
            </w:r>
          </w:p>
        </w:tc>
        <w:tc>
          <w:tcPr>
            <w:tcW w:w="19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3.12</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Salaries</w:t>
            </w:r>
          </w:p>
        </w:tc>
        <w:tc>
          <w:tcPr>
            <w:tcW w:w="19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53"/>
        </w:trPr>
        <w:tc>
          <w:tcPr>
            <w:tcW w:w="9000" w:type="dxa"/>
            <w:vAlign w:val="bottom"/>
            <w:gridSpan w:val="2"/>
          </w:tcPr>
          <w:p>
            <w:pPr>
              <w:spacing w:after="0"/>
              <w:rPr>
                <w:sz w:val="20"/>
                <w:szCs w:val="20"/>
                <w:color w:val="auto"/>
              </w:rPr>
            </w:pPr>
            <w:r>
              <w:rPr>
                <w:rFonts w:ascii="Arial" w:cs="Arial" w:eastAsia="Arial" w:hAnsi="Arial"/>
                <w:sz w:val="19"/>
                <w:szCs w:val="19"/>
                <w:b w:val="1"/>
                <w:bCs w:val="1"/>
                <w:color w:val="auto"/>
              </w:rPr>
              <w:t>ARTICLE 4 - Capital Stock</w:t>
            </w:r>
          </w:p>
        </w:tc>
        <w:tc>
          <w:tcPr>
            <w:tcW w:w="19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4.1</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Issuance of Stock</w:t>
            </w:r>
          </w:p>
        </w:tc>
        <w:tc>
          <w:tcPr>
            <w:tcW w:w="19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4.2</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Stock Certificates; Uncertificated Shares</w:t>
            </w:r>
          </w:p>
        </w:tc>
        <w:tc>
          <w:tcPr>
            <w:tcW w:w="19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4.3</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Transfers</w:t>
            </w:r>
          </w:p>
        </w:tc>
        <w:tc>
          <w:tcPr>
            <w:tcW w:w="198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4.4</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Lost, Stolen or Destroyed Certificates</w:t>
            </w:r>
          </w:p>
        </w:tc>
        <w:tc>
          <w:tcPr>
            <w:tcW w:w="198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54"/>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4.5</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Regulations</w:t>
            </w:r>
          </w:p>
        </w:tc>
        <w:tc>
          <w:tcPr>
            <w:tcW w:w="198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65"/>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4.6</w:t>
            </w:r>
          </w:p>
        </w:tc>
        <w:tc>
          <w:tcPr>
            <w:tcW w:w="7120" w:type="dxa"/>
            <w:vAlign w:val="bottom"/>
          </w:tcPr>
          <w:p>
            <w:pPr>
              <w:ind w:left="2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9"/>
                <w:szCs w:val="19"/>
                <w:b w:val="1"/>
                <w:bCs w:val="1"/>
                <w:color w:val="auto"/>
              </w:rPr>
              <w:t>Record Date for Purposes Other Than Stockholder Meetings</w:t>
            </w:r>
          </w:p>
        </w:tc>
        <w:tc>
          <w:tcPr>
            <w:tcW w:w="198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53"/>
        </w:trPr>
        <w:tc>
          <w:tcPr>
            <w:tcW w:w="9000" w:type="dxa"/>
            <w:vAlign w:val="bottom"/>
            <w:gridSpan w:val="2"/>
          </w:tcPr>
          <w:p>
            <w:pPr>
              <w:spacing w:after="0"/>
              <w:rPr>
                <w:sz w:val="20"/>
                <w:szCs w:val="20"/>
                <w:color w:val="auto"/>
              </w:rPr>
            </w:pPr>
            <w:r>
              <w:rPr>
                <w:rFonts w:ascii="Arial" w:cs="Arial" w:eastAsia="Arial" w:hAnsi="Arial"/>
                <w:sz w:val="19"/>
                <w:szCs w:val="19"/>
                <w:b w:val="1"/>
                <w:bCs w:val="1"/>
                <w:color w:val="auto"/>
              </w:rPr>
              <w:t>ARTICLE 5 - General Provisions</w:t>
            </w:r>
          </w:p>
        </w:tc>
        <w:tc>
          <w:tcPr>
            <w:tcW w:w="198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5.1</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Fiscal Year</w:t>
            </w:r>
          </w:p>
        </w:tc>
        <w:tc>
          <w:tcPr>
            <w:tcW w:w="198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5.2</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Corporate Seal</w:t>
            </w:r>
          </w:p>
        </w:tc>
        <w:tc>
          <w:tcPr>
            <w:tcW w:w="198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5.3</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Waiver of Notice</w:t>
            </w:r>
          </w:p>
        </w:tc>
        <w:tc>
          <w:tcPr>
            <w:tcW w:w="198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5.4</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Voting of Securities</w:t>
            </w:r>
          </w:p>
        </w:tc>
        <w:tc>
          <w:tcPr>
            <w:tcW w:w="198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5.5</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Evidence of Authority</w:t>
            </w:r>
          </w:p>
        </w:tc>
        <w:tc>
          <w:tcPr>
            <w:tcW w:w="198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5.6</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Certificate of Incorporation</w:t>
            </w:r>
          </w:p>
        </w:tc>
        <w:tc>
          <w:tcPr>
            <w:tcW w:w="198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5.7</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Transactions with Interested Parties</w:t>
            </w:r>
          </w:p>
        </w:tc>
        <w:tc>
          <w:tcPr>
            <w:tcW w:w="198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5.8</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Severability</w:t>
            </w:r>
          </w:p>
        </w:tc>
        <w:tc>
          <w:tcPr>
            <w:tcW w:w="198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5.9</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Pronouns</w:t>
            </w:r>
          </w:p>
        </w:tc>
        <w:tc>
          <w:tcPr>
            <w:tcW w:w="198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5.10</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Exclusive Forum</w:t>
            </w:r>
          </w:p>
        </w:tc>
        <w:tc>
          <w:tcPr>
            <w:tcW w:w="198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53"/>
        </w:trPr>
        <w:tc>
          <w:tcPr>
            <w:tcW w:w="9000" w:type="dxa"/>
            <w:vAlign w:val="bottom"/>
            <w:gridSpan w:val="2"/>
          </w:tcPr>
          <w:p>
            <w:pPr>
              <w:spacing w:after="0"/>
              <w:rPr>
                <w:sz w:val="20"/>
                <w:szCs w:val="20"/>
                <w:color w:val="auto"/>
              </w:rPr>
            </w:pPr>
            <w:r>
              <w:rPr>
                <w:rFonts w:ascii="Arial" w:cs="Arial" w:eastAsia="Arial" w:hAnsi="Arial"/>
                <w:sz w:val="19"/>
                <w:szCs w:val="19"/>
                <w:b w:val="1"/>
                <w:bCs w:val="1"/>
                <w:color w:val="auto"/>
              </w:rPr>
              <w:t>ARTICLE 6 - Amendments</w:t>
            </w:r>
          </w:p>
        </w:tc>
        <w:tc>
          <w:tcPr>
            <w:tcW w:w="198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5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6.1</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By the Board of Directors</w:t>
            </w:r>
          </w:p>
        </w:tc>
        <w:tc>
          <w:tcPr>
            <w:tcW w:w="198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54"/>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6.2</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By the Stockholders</w:t>
            </w:r>
          </w:p>
        </w:tc>
        <w:tc>
          <w:tcPr>
            <w:tcW w:w="1980" w:type="dxa"/>
            <w:vAlign w:val="bottom"/>
          </w:tcPr>
          <w:p>
            <w:pPr>
              <w:jc w:val="right"/>
              <w:spacing w:after="0"/>
              <w:rPr>
                <w:sz w:val="20"/>
                <w:szCs w:val="20"/>
                <w:color w:val="auto"/>
              </w:rPr>
            </w:pPr>
            <w:r>
              <w:rPr>
                <w:rFonts w:ascii="Arial" w:cs="Arial" w:eastAsia="Arial" w:hAnsi="Arial"/>
                <w:sz w:val="19"/>
                <w:szCs w:val="19"/>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340" w:top="914" w:right="57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1 - Stockholders</w:t>
      </w:r>
    </w:p>
    <w:p>
      <w:pPr>
        <w:spacing w:after="0" w:line="218" w:lineRule="exact"/>
        <w:rPr>
          <w:sz w:val="20"/>
          <w:szCs w:val="20"/>
          <w:color w:val="auto"/>
        </w:rPr>
      </w:pPr>
    </w:p>
    <w:p>
      <w:pPr>
        <w:ind w:right="100" w:firstLine="1276"/>
        <w:spacing w:after="0" w:line="25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Place of Meetings</w:t>
      </w:r>
      <w:r>
        <w:rPr>
          <w:rFonts w:ascii="Arial" w:cs="Arial" w:eastAsia="Arial" w:hAnsi="Arial"/>
          <w:sz w:val="18"/>
          <w:szCs w:val="18"/>
          <w:color w:val="auto"/>
        </w:rPr>
        <w:t>. All meetings of stockholders shall be held at such place, if any, as may be designated from time to time by the Board of Directors or the Chief Executive Officer or, if not so designated, at the principal executive office of the corporation. The Board of Directors may, in its sole discretion, determine that a meeting shall not be held at any place, but shall instead be held solely by means of remote communication in a manner consistent with the General Corporation Law of the State of Delaware.</w:t>
      </w:r>
    </w:p>
    <w:p>
      <w:pPr>
        <w:spacing w:after="0" w:line="191" w:lineRule="exact"/>
        <w:rPr>
          <w:sz w:val="20"/>
          <w:szCs w:val="20"/>
          <w:color w:val="auto"/>
        </w:rPr>
      </w:pPr>
    </w:p>
    <w:p>
      <w:pPr>
        <w:ind w:firstLine="1276"/>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Annual Meeting</w:t>
      </w:r>
      <w:r>
        <w:rPr>
          <w:rFonts w:ascii="Arial" w:cs="Arial" w:eastAsia="Arial" w:hAnsi="Arial"/>
          <w:sz w:val="16"/>
          <w:szCs w:val="16"/>
          <w:color w:val="auto"/>
        </w:rPr>
        <w:t>. The annual meeting of stockholders for the election of directors and for the transaction of such other business as may properly be brought before the meeting shall be held on a date to be fixed by the Board of Directors or the Chief Executive Officer (which date shall not be a legal holiday in the place where the meeting is to be held) at the time and place to be fixed by the Board of Directors or the Chief Executive Officer and stated in the notice of the meeting. If no annual meeting is held in accordance with the foregoing provisions, the Board of Directors shall cause the meeting to be held as soon thereafter as convenient. If no annual meeting is held in accordance with the foregoing provisions, a special meeting may be held in lieu of the annual meeting, and any action taken at that special meeting shall have the same effect as if it had been taken at the annual meeting, and in such case all references in these By-laws to the annual meeting of the stockholders shall be deemed to refer to such special meeting.</w:t>
      </w:r>
    </w:p>
    <w:p>
      <w:pPr>
        <w:spacing w:after="0" w:line="167" w:lineRule="exact"/>
        <w:rPr>
          <w:sz w:val="20"/>
          <w:szCs w:val="20"/>
          <w:color w:val="auto"/>
        </w:rPr>
      </w:pPr>
    </w:p>
    <w:p>
      <w:pPr>
        <w:jc w:val="both"/>
        <w:ind w:right="160" w:firstLine="1276"/>
        <w:spacing w:after="0" w:line="256"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may be called at any time by the Chief Executive Officer or by the Chairman of the Board. Business transacted at any special meeting of stockholders shall be limited to matters relating to the purpose or purposes stated in the notice of meeting.</w:t>
      </w:r>
    </w:p>
    <w:p>
      <w:pPr>
        <w:spacing w:after="0" w:line="189" w:lineRule="exact"/>
        <w:rPr>
          <w:sz w:val="20"/>
          <w:szCs w:val="20"/>
          <w:color w:val="auto"/>
        </w:rPr>
      </w:pPr>
    </w:p>
    <w:p>
      <w:pPr>
        <w:ind w:right="20" w:firstLine="1276"/>
        <w:spacing w:after="0" w:line="264"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Record Date for Stockholder Meetings</w:t>
      </w:r>
      <w:r>
        <w:rPr>
          <w:rFonts w:ascii="Arial" w:cs="Arial" w:eastAsia="Arial" w:hAnsi="Arial"/>
          <w:sz w:val="17"/>
          <w:szCs w:val="17"/>
          <w:color w:val="auto"/>
        </w:rPr>
        <w:t>.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and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85" w:lineRule="exact"/>
        <w:rPr>
          <w:sz w:val="20"/>
          <w:szCs w:val="20"/>
          <w:color w:val="auto"/>
        </w:rPr>
      </w:pPr>
    </w:p>
    <w:p>
      <w:pPr>
        <w:ind w:right="40" w:firstLine="1276"/>
        <w:spacing w:after="0" w:line="286"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Notice of Meetings</w:t>
      </w:r>
      <w:r>
        <w:rPr>
          <w:rFonts w:ascii="Arial" w:cs="Arial" w:eastAsia="Arial" w:hAnsi="Arial"/>
          <w:sz w:val="16"/>
          <w:szCs w:val="16"/>
          <w:color w:val="auto"/>
        </w:rPr>
        <w:t>. Except as otherwise provided by law, the Certificate of Incorporation or these By-laws, notice of each meeting of stockholders, whether annual or special, shall be given not less than 10 nor more than 60 days before the date of the meeting to each stockholder entitled to vote at such meeting as of the record date for determining the stockholders entitled to notice of the meeting. Without limiting the manner by which notice otherwise may be given to stockholders, any notice shall be effective if given in accordance with Section 232 of the General Corporation Law of the State of Delaware. The notices of all meetings shall state the place, if any, date and hour of the meeting, the means of remote communications, if any, by which stockholders and proxyholders may be deemed to be present in person and vote at such meeting, and the record date for determining stockholders entitled to vote at the meeting, if such date is different from the record date for determining stockholders entitled to notice of</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the meeting. The notice of a special meeting shall state, in addition, the purpose or purposes for which the meeting is called.</w:t>
      </w:r>
    </w:p>
    <w:p>
      <w:pPr>
        <w:spacing w:after="0" w:line="218" w:lineRule="exact"/>
        <w:rPr>
          <w:sz w:val="20"/>
          <w:szCs w:val="20"/>
          <w:color w:val="auto"/>
        </w:rPr>
      </w:pPr>
    </w:p>
    <w:p>
      <w:pPr>
        <w:ind w:firstLine="1276"/>
        <w:spacing w:after="0" w:line="284"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Voting List</w:t>
      </w:r>
      <w:r>
        <w:rPr>
          <w:rFonts w:ascii="Arial" w:cs="Arial" w:eastAsia="Arial" w:hAnsi="Arial"/>
          <w:sz w:val="16"/>
          <w:szCs w:val="16"/>
          <w:color w:val="auto"/>
        </w:rPr>
        <w:t>. The corporation shall prepare, no later than the tenth day before each meeting of stockholders, a complete list of the stockholders entitled to vote at the meeting (provided, however, if the record date for determining the stockholders entitled to vote is less than 10 days before the meeting date, the list shall reflect the stockholders entitled to vote as of the tenth day before the meeting), arranged in alphabetical order, and showing the address of each stockholder and the number of shares registered in the name of each stockholder. Such list shall be open to the examination of any stockholder for any purpose germane to the meeting for a period of 10 days ending on the day before the meeting date: (a) on a reasonably accessible electronic network, provided that the information required to gain access to such list is provided with the notice of the meeting, or (b) during ordinary business hours, at the principal place of business of the corporation. Except as otherwise provided by law, the stock ledger shall be the only evidence as to who are the stockholders entitled to examine the list of stockholders required by this Section 1.6 or to vote in person or by proxy at any meeting of stockholders.</w:t>
      </w:r>
    </w:p>
    <w:p>
      <w:pPr>
        <w:spacing w:after="0" w:line="173" w:lineRule="exact"/>
        <w:rPr>
          <w:sz w:val="20"/>
          <w:szCs w:val="20"/>
          <w:color w:val="auto"/>
        </w:rPr>
      </w:pPr>
    </w:p>
    <w:p>
      <w:pPr>
        <w:ind w:right="20" w:firstLine="1276"/>
        <w:spacing w:after="0" w:line="251"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Quorum</w:t>
      </w:r>
      <w:r>
        <w:rPr>
          <w:rFonts w:ascii="Arial" w:cs="Arial" w:eastAsia="Arial" w:hAnsi="Arial"/>
          <w:sz w:val="18"/>
          <w:szCs w:val="18"/>
          <w:color w:val="auto"/>
        </w:rPr>
        <w:t>. Except as otherwise provided by law, the Certificate of Incorporation or these By-laws, the holders of shares representing a majority of the votes entitled to be cast on matters other than the election of the Class A Director, present in person or represented by proxy, shall constitute a quorum for the transaction of business; provided, however, that a quorum shall only be deemed to be present for purposes of the election of the Class A Director if the holders of shares representing a majority of the votes entitled to be cast by the holders of the Class A Common Stock are present or represented by proxy.</w:t>
      </w:r>
    </w:p>
    <w:p>
      <w:pPr>
        <w:spacing w:after="0" w:line="194" w:lineRule="exact"/>
        <w:rPr>
          <w:sz w:val="20"/>
          <w:szCs w:val="20"/>
          <w:color w:val="auto"/>
        </w:rPr>
      </w:pPr>
    </w:p>
    <w:p>
      <w:pPr>
        <w:ind w:right="40" w:firstLine="1276"/>
        <w:spacing w:after="0" w:line="264"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Adjournments</w:t>
      </w:r>
      <w:r>
        <w:rPr>
          <w:rFonts w:ascii="Arial" w:cs="Arial" w:eastAsia="Arial" w:hAnsi="Arial"/>
          <w:sz w:val="17"/>
          <w:szCs w:val="17"/>
          <w:color w:val="auto"/>
        </w:rPr>
        <w:t>. Any meeting of stockholders may be adjourned from time to time to reconvene at any other time and to any other place at which a meeting of stockholders may be held under these By-laws by the chairman of the meeting.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1.5 hereof. 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 new record date for determining stockholders entitled to notice of such adjourned meeting that is the same or an earlier date as that fixed for determination of stockholders entitled to vote at such adjourned meeting, and shall give notice of the adjourned meeting to each stockholder of record entitled to vote at such adjourned meeting as of the record date fixed for notice of such adjourned meeting.</w:t>
      </w:r>
    </w:p>
    <w:p>
      <w:pPr>
        <w:spacing w:after="0" w:line="183" w:lineRule="exact"/>
        <w:rPr>
          <w:sz w:val="20"/>
          <w:szCs w:val="20"/>
          <w:color w:val="auto"/>
        </w:rPr>
      </w:pPr>
    </w:p>
    <w:p>
      <w:pPr>
        <w:ind w:right="60" w:firstLine="1276"/>
        <w:spacing w:after="0" w:line="249"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Voting and Proxies</w:t>
      </w:r>
      <w:r>
        <w:rPr>
          <w:rFonts w:ascii="Arial" w:cs="Arial" w:eastAsia="Arial" w:hAnsi="Arial"/>
          <w:sz w:val="18"/>
          <w:szCs w:val="18"/>
          <w:color w:val="auto"/>
        </w:rPr>
        <w:t>. Each stockholder shall have one vote for each share of stock entitled to vote held of record by such stockholder and a proportionate vote for each fractional share so held, unless otherwise provided by law or the Certificate of Incorporation. Each stockholder of record entitled to vote at a meeting of stockholders may vote in person (including by means of remote communications, if any, by which stockholders may be deemed to be present in person and vote at such meeting) or may authorize another person or persons to vote for such stockholder by a proxy executed or transmitted in a manner permitted by the General Corporation Law of the State of Delaware by the stockholder or such stockholder’s authorized officer, director, employee or agent and delivered (including by electronic transmission) to the Secretary of the corporation. No such proxy shall be voted upon after three years from the date of its execution, unless the proxy expressly provides for a longer period. Any person directly or indirectly soliciting proxies from stockholders of the corporation must use a proxy card color other than white, the color white being reserved for the exclusive use of the Board of Directors of the corporation.</w:t>
      </w:r>
    </w:p>
    <w:p>
      <w:pPr>
        <w:spacing w:after="0" w:line="195" w:lineRule="exact"/>
        <w:rPr>
          <w:sz w:val="20"/>
          <w:szCs w:val="20"/>
          <w:color w:val="auto"/>
        </w:rPr>
      </w:pPr>
    </w:p>
    <w:p>
      <w:pPr>
        <w:jc w:val="both"/>
        <w:ind w:right="280" w:firstLine="1276"/>
        <w:spacing w:after="0" w:line="364" w:lineRule="auto"/>
        <w:rPr>
          <w:sz w:val="20"/>
          <w:szCs w:val="20"/>
          <w:color w:val="auto"/>
        </w:rPr>
      </w:pPr>
      <w:r>
        <w:rPr>
          <w:rFonts w:ascii="Arial" w:cs="Arial" w:eastAsia="Arial" w:hAnsi="Arial"/>
          <w:sz w:val="14"/>
          <w:szCs w:val="14"/>
          <w:color w:val="auto"/>
        </w:rPr>
        <w:t xml:space="preserve">1.10 </w:t>
      </w:r>
      <w:r>
        <w:rPr>
          <w:rFonts w:ascii="Arial" w:cs="Arial" w:eastAsia="Arial" w:hAnsi="Arial"/>
          <w:sz w:val="14"/>
          <w:szCs w:val="14"/>
          <w:u w:val="single" w:color="auto"/>
          <w:color w:val="auto"/>
        </w:rPr>
        <w:t>Action at Meeting</w:t>
      </w:r>
      <w:r>
        <w:rPr>
          <w:rFonts w:ascii="Arial" w:cs="Arial" w:eastAsia="Arial" w:hAnsi="Arial"/>
          <w:sz w:val="14"/>
          <w:szCs w:val="14"/>
          <w:color w:val="auto"/>
        </w:rPr>
        <w:t>. When a quorum is present at any meeting, the holders of shares of stock representing a majority of the votes cast on a matter (or if there are two or more classes of stock entitled to vote as separate classes, then in the case of each such class, the holders of shares of stock of that class representing a majority of the votes cast on a matter) shall decide any matter to be voted upon by the stockholders at such meeting,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98" w:right="339" w:bottom="1440" w:gutter="0" w:footer="0" w:header="0"/>
        </w:sectPr>
      </w:pPr>
    </w:p>
    <w:bookmarkStart w:id="117" w:name="page118"/>
    <w:bookmarkEnd w:id="117"/>
    <w:p>
      <w:pPr>
        <w:ind w:right="60"/>
        <w:spacing w:after="0" w:line="256" w:lineRule="auto"/>
        <w:rPr>
          <w:sz w:val="20"/>
          <w:szCs w:val="20"/>
          <w:color w:val="auto"/>
        </w:rPr>
      </w:pPr>
      <w:r>
        <w:rPr>
          <w:rFonts w:ascii="Arial" w:cs="Arial" w:eastAsia="Arial" w:hAnsi="Arial"/>
          <w:sz w:val="18"/>
          <w:szCs w:val="18"/>
          <w:color w:val="auto"/>
        </w:rPr>
        <w:t>except when a different vote is required by express provision of law, the Certificate of Incorporation or these By-laws. Except as otherwise provided by these By-laws, when a quorum is present at any meeting, any election by stockholders of directors shall be determined by a plurality of the votes cast on the election.</w:t>
      </w:r>
    </w:p>
    <w:p>
      <w:pPr>
        <w:spacing w:after="0" w:line="189" w:lineRule="exact"/>
        <w:rPr>
          <w:sz w:val="20"/>
          <w:szCs w:val="20"/>
          <w:color w:val="auto"/>
        </w:rPr>
      </w:pPr>
    </w:p>
    <w:p>
      <w:pPr>
        <w:ind w:left="1280"/>
        <w:spacing w:after="0"/>
        <w:tabs>
          <w:tab w:leader="none" w:pos="18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Notice of Business at Annual Meetings</w:t>
      </w:r>
      <w:r>
        <w:rPr>
          <w:rFonts w:ascii="Arial" w:cs="Arial" w:eastAsia="Arial" w:hAnsi="Arial"/>
          <w:sz w:val="16"/>
          <w:szCs w:val="16"/>
          <w:color w:val="auto"/>
        </w:rPr>
        <w:t>.</w:t>
      </w:r>
    </w:p>
    <w:p>
      <w:pPr>
        <w:spacing w:after="0" w:line="218" w:lineRule="exact"/>
        <w:rPr>
          <w:sz w:val="20"/>
          <w:szCs w:val="20"/>
          <w:color w:val="auto"/>
        </w:rPr>
      </w:pPr>
    </w:p>
    <w:p>
      <w:pPr>
        <w:ind w:firstLine="1921"/>
        <w:spacing w:after="0" w:line="284" w:lineRule="auto"/>
        <w:tabs>
          <w:tab w:leader="none" w:pos="255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At any annual meeting of the stockholders, only such business shall be conducted as shall have been properly brought before the meeting. To be properly brought before an annual meeting, business must be (1) specified in the notice of meeting (or any supplement thereto) given by or at the direction of the Board of Directors, (2) otherwise properly brought before the meeting by or at the direction of the Board of Directors, or (3) properly brought before the meeting by a stockholder. For business to be properly brought before an annual meeting by a stockholder, (i) if such business relates to the nomination of a person for election as a director of the corporation, the procedures in Section 1.13 must be complied with and (ii) if such business relates to any other matter, the business must constitute a proper matter under Delaware law for stockholder action and the stockholder must (x) have given timely notice thereof in writing to the Secretary in accordance with the procedures in, and otherwise complied with, Section 1.11(b), (y) be a stockholder of record who is entitled to vote on such business on the date of the giving of such notice and on the record date for the determination of stockholders entitled to vote at such annual meeting and (z) be entitled to vote at such annual meeting.</w:t>
      </w:r>
    </w:p>
    <w:p>
      <w:pPr>
        <w:spacing w:after="0" w:line="61" w:lineRule="exact"/>
        <w:rPr>
          <w:rFonts w:ascii="Arial" w:cs="Arial" w:eastAsia="Arial" w:hAnsi="Arial"/>
          <w:sz w:val="16"/>
          <w:szCs w:val="16"/>
          <w:color w:val="auto"/>
        </w:rPr>
      </w:pPr>
    </w:p>
    <w:p>
      <w:pPr>
        <w:ind w:right="80" w:firstLine="1921"/>
        <w:spacing w:after="0" w:line="284" w:lineRule="auto"/>
        <w:tabs>
          <w:tab w:leader="none" w:pos="254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be timely, a stockholder’s notice must be received in writing by the Secretary at the principal executive office of the corporation not less than 90 days nor more than 120 days prior to the first anniversary of the preceding year’s annual meeting; provided, however, that in the event that the date of the annual meeting is advanced by more than 20 days, or delayed by more than 60 days, from the first anniversary of the preceding year’s annual meeting, or if no annual meeting was held or deemed to have been held in the preceding year,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given or public disclosure of the date of such annual meeting was made, whichever first occurs. In no event shall the adjournment or postponement of an annual meeting (or the public disclosure thereof) commence a new time period (or extend any time period) for the giving of a stockholder’s notice.</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stockholder’s notice to the Secretary shall set forth: (A) as to each matter the stockholder proposes to bring before the annual meeting</w:t>
      </w:r>
    </w:p>
    <w:p>
      <w:pPr>
        <w:spacing w:after="0" w:line="40" w:lineRule="exact"/>
        <w:rPr>
          <w:sz w:val="20"/>
          <w:szCs w:val="20"/>
          <w:color w:val="auto"/>
        </w:rPr>
      </w:pPr>
    </w:p>
    <w:p>
      <w:pPr>
        <w:ind w:firstLine="6"/>
        <w:spacing w:after="0" w:line="279" w:lineRule="auto"/>
        <w:tabs>
          <w:tab w:leader="none" w:pos="251"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annual meeting, (2) the text of the proposal (including the exact text of any resolutions proposed for consideration and, in the event that such business includes a proposal to amend the By-laws, the exact text of the proposed amendment), and (3) the reasons for conducting such business at the annual meeting, and (B) as to the stockholder giving the notice and the beneficial owner, if any, on whose behalf the proposal is being made (1) the name and address of such stockholder, as they appear on the corporation’s books, and of such beneficial owner, (2) the class and series and number of shares of stock of the corporation that are, directly or indirectly, owned, beneficially or of record, by such stockholder and such beneficial owner, (3) a description of any material interest of such stockholder, such beneficial owner and/or the respective affiliates and associates of, or others acting in concert with, such stockholder or such beneficial owner (each, a “Stockholder Associated Person”) in the business proposed to be brought before the annual meeting, (4) a description of any agreement, arrangement or understanding between or among such stockholder, such beneficial owner, any Stockholder Associated Person and any other person or persons (including their names) in connection with the proposal of such business or who may participate in the solicitation of proxies in favor of such proposal, (5)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such beneficial owner and/or any Stockholder Associated Person, the effect or intent of which is to mitigate loss to, manage risk or benefit of share price changes for, or increase or decrease the voting power of, such stockholder, such beneficial owner and/or any Stockholder Associated Person with respect to shares of stock of the corporation, (6) any other information relating to such stockholder, such beneficial owner and/or any Stockholder Associated Person that would be required to be disclosed in a proxy statement or other filings required to be made in connection with solicitations of proxies for the business proposed pursuant to Section 14 of the Securities Exchange Act of 1934, as amended (the “Exchange Act”) and the rules and regulations promulgated thereunder, (7) a representation that such stockholder intends to appear in person or by proxy at the annual meeting to bring such</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098" w:right="359" w:bottom="1440" w:gutter="0" w:footer="0" w:header="0"/>
        </w:sectPr>
      </w:pPr>
    </w:p>
    <w:bookmarkStart w:id="118" w:name="page119"/>
    <w:bookmarkEnd w:id="118"/>
    <w:p>
      <w:pPr>
        <w:spacing w:after="0" w:line="263" w:lineRule="auto"/>
        <w:rPr>
          <w:sz w:val="20"/>
          <w:szCs w:val="20"/>
          <w:color w:val="auto"/>
        </w:rPr>
      </w:pPr>
      <w:r>
        <w:rPr>
          <w:rFonts w:ascii="Arial" w:cs="Arial" w:eastAsia="Arial" w:hAnsi="Arial"/>
          <w:sz w:val="17"/>
          <w:szCs w:val="17"/>
          <w:color w:val="auto"/>
        </w:rPr>
        <w:t>business before the meeting, (8) a representation that such stockholder, such beneficial owner and/or any Stockholder Associated Person has complied, and will comply, with all applicable requirements of state law and the Exchange Act with respect to matters set forth in this Section 1.11, and (9) a representation whether such stockholder, such beneficial owner and/or any Stockholder Associated Person intends or is part of a group that intends (x) to deliver a proxy statement and/or form of proxy to holders of at least the percentage of the corporation’s outstanding capital stock required to approve or adopt the proposal (and such representation shall be included in any such proxy statement and form of proxy) and/or (y) otherwise to solicit proxies or votes from stockholders in support of such proposal (and such representation shall be included in any such solicitation materials). Not later than 10 days after the record date for the meeting, the information required by Items (A)(3) and (B)(1)-(6) of the prior sentence shall be supplemented by the stockholder giving the notice to provide updated information as of the record date. Notwithstanding anything in these By-laws to the contrary, no business shall be conducted at any annual meeting of stockholders except in accordance with the procedures in this Section 1.11; provided that any stockholder proposal that complies with Rule 14a-8 of the proxy rules (or any successor provision) promulgated under the Exchange Act and is to be included in the corporation’s proxy statement for an annual meeting of stockholders shall be deemed to comply with the notice requirements of this Section 1.11. Notwithstanding anything herein to the contrary, a stockholder shall not have complied with this Section 1.11(b) if the stockholder, beneficial owner and/or any Stockholder Associated Person solicits or does not solicit, as the case may be, proxies or votes in support of such stockholder’s proposal in contravention of the representations with respect thereto required by this Section 1.11.</w:t>
      </w:r>
    </w:p>
    <w:p>
      <w:pPr>
        <w:spacing w:after="0" w:line="86" w:lineRule="exact"/>
        <w:rPr>
          <w:sz w:val="20"/>
          <w:szCs w:val="20"/>
          <w:color w:val="auto"/>
        </w:rPr>
      </w:pPr>
    </w:p>
    <w:p>
      <w:pPr>
        <w:ind w:firstLine="1921"/>
        <w:spacing w:after="0" w:line="268" w:lineRule="auto"/>
        <w:tabs>
          <w:tab w:leader="none" w:pos="255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chairman of any annual meeting (and, in advance of any annual meeting, the Board of Directors) shall have the power and duty to determine whether business was properly brought before the annual meeting in accordance with the provisions of this Section 1.11 (including whether the stockholder, beneficial owner and/or any Stockholder Associated Person did or did not so solicit, as the case may be, proxies or votes in support of such stockholder’s proposal in compliance with the representation with respect thereto required by this Section 1.11), and if the chairman (or the Board of Directors) should determine that business was not properly brought before the annual meeting in accordance with the provisions of this Section 1.11, the chairman shall so declare to the meeting and such business shall not be brought before the annual meeting.</w:t>
      </w:r>
    </w:p>
    <w:p>
      <w:pPr>
        <w:spacing w:after="0" w:line="73" w:lineRule="exact"/>
        <w:rPr>
          <w:rFonts w:ascii="Arial" w:cs="Arial" w:eastAsia="Arial" w:hAnsi="Arial"/>
          <w:sz w:val="17"/>
          <w:szCs w:val="17"/>
          <w:color w:val="auto"/>
        </w:rPr>
      </w:pPr>
    </w:p>
    <w:p>
      <w:pPr>
        <w:ind w:right="140" w:firstLine="1921"/>
        <w:spacing w:after="0" w:line="256" w:lineRule="auto"/>
        <w:tabs>
          <w:tab w:leader="none" w:pos="25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Section 1.11 shall obligate the corporation or the Board of Directors to include in any proxy statement or other stockholder communication distributed on behalf of the corporation or the Board of Directors information with respect to any proposal submitted by a stockholder.</w:t>
      </w:r>
    </w:p>
    <w:p>
      <w:pPr>
        <w:spacing w:after="0" w:line="82" w:lineRule="exact"/>
        <w:rPr>
          <w:rFonts w:ascii="Arial" w:cs="Arial" w:eastAsia="Arial" w:hAnsi="Arial"/>
          <w:sz w:val="18"/>
          <w:szCs w:val="18"/>
          <w:color w:val="auto"/>
        </w:rPr>
      </w:pPr>
    </w:p>
    <w:p>
      <w:pPr>
        <w:ind w:right="120" w:firstLine="1921"/>
        <w:spacing w:after="0" w:line="256" w:lineRule="auto"/>
        <w:tabs>
          <w:tab w:leader="none" w:pos="25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1.11, unless otherwise required by law, if the stockholder (or a qualified representative of the stockholder) does not appear at the annual meeting to present business, such business shall not be considered, notwithstanding that proxies in respect of such business may have been received by the corporation.</w:t>
      </w:r>
    </w:p>
    <w:p>
      <w:pPr>
        <w:spacing w:after="0" w:line="82" w:lineRule="exact"/>
        <w:rPr>
          <w:rFonts w:ascii="Arial" w:cs="Arial" w:eastAsia="Arial" w:hAnsi="Arial"/>
          <w:sz w:val="18"/>
          <w:szCs w:val="18"/>
          <w:color w:val="auto"/>
        </w:rPr>
      </w:pPr>
    </w:p>
    <w:p>
      <w:pPr>
        <w:ind w:right="340" w:firstLine="1921"/>
        <w:spacing w:after="0" w:line="266" w:lineRule="auto"/>
        <w:tabs>
          <w:tab w:leader="none" w:pos="25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purposes of this Section 1.11, the terms “qualified representative of the stockholder” and “public disclosure” shall have the same meaning as in Section 1.13.</w:t>
      </w:r>
    </w:p>
    <w:p>
      <w:pPr>
        <w:spacing w:after="0" w:line="73" w:lineRule="exact"/>
        <w:rPr>
          <w:rFonts w:ascii="Arial" w:cs="Arial" w:eastAsia="Arial" w:hAnsi="Arial"/>
          <w:sz w:val="18"/>
          <w:szCs w:val="18"/>
          <w:color w:val="auto"/>
        </w:rPr>
      </w:pPr>
    </w:p>
    <w:p>
      <w:pPr>
        <w:ind w:right="60" w:firstLine="1921"/>
        <w:spacing w:after="0" w:line="253" w:lineRule="auto"/>
        <w:tabs>
          <w:tab w:leader="none" w:pos="25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Unless the corporation elects otherwise, a stockholder’s notice to the corporation of business desired to be brought before the annual meeting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8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Action without Meeting</w:t>
      </w:r>
      <w:r>
        <w:rPr>
          <w:rFonts w:ascii="Arial" w:cs="Arial" w:eastAsia="Arial" w:hAnsi="Arial"/>
          <w:sz w:val="16"/>
          <w:szCs w:val="16"/>
          <w:color w:val="auto"/>
        </w:rPr>
        <w:t>. Stockholders of the corporation may not take any action by written consent in lieu of a meeting.</w:t>
      </w:r>
    </w:p>
    <w:p>
      <w:pPr>
        <w:spacing w:after="0" w:line="11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Nomination of Directors</w:t>
      </w:r>
      <w:r>
        <w:rPr>
          <w:rFonts w:ascii="Arial" w:cs="Arial" w:eastAsia="Arial" w:hAnsi="Arial"/>
          <w:sz w:val="16"/>
          <w:szCs w:val="16"/>
          <w:color w:val="auto"/>
        </w:rPr>
        <w:t>.</w:t>
      </w:r>
    </w:p>
    <w:p>
      <w:pPr>
        <w:spacing w:after="0" w:line="112" w:lineRule="exact"/>
        <w:rPr>
          <w:sz w:val="20"/>
          <w:szCs w:val="20"/>
          <w:color w:val="auto"/>
        </w:rPr>
      </w:pPr>
    </w:p>
    <w:p>
      <w:pPr>
        <w:ind w:right="20" w:firstLine="1921"/>
        <w:spacing w:after="0" w:line="256" w:lineRule="auto"/>
        <w:tabs>
          <w:tab w:leader="none" w:pos="25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for (1) any directors entitled to be elected by the holders of preferred stock, (2) any directors elected in accordance with Section 2.8 hereof by the Board of Directors to fill a vacancy or newly-created directorship or (3) as otherwise required by applicable law or stock exchange regulation, at any meeting of</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91" w:right="339" w:bottom="1440" w:gutter="0" w:footer="0" w:header="0"/>
        </w:sectPr>
      </w:pPr>
    </w:p>
    <w:bookmarkStart w:id="119" w:name="page120"/>
    <w:bookmarkEnd w:id="119"/>
    <w:p>
      <w:pPr>
        <w:spacing w:after="0" w:line="251" w:lineRule="auto"/>
        <w:rPr>
          <w:sz w:val="20"/>
          <w:szCs w:val="20"/>
          <w:color w:val="auto"/>
        </w:rPr>
      </w:pPr>
      <w:r>
        <w:rPr>
          <w:rFonts w:ascii="Arial" w:cs="Arial" w:eastAsia="Arial" w:hAnsi="Arial"/>
          <w:sz w:val="18"/>
          <w:szCs w:val="18"/>
          <w:color w:val="auto"/>
        </w:rPr>
        <w:t>stockholders, only persons who are nominated in accordance with the procedures in this Section 1.13 shall be eligible for election as directors. Nomination for election to the Board of Directors at a meeting of stockholders may be made (i) by or at the direction of the Board of Directors or (ii) by any stockholder of the corporation who (x) timely complies with the notice procedures in Section 1.13(b), (y) is a stockholder of record who is entitled to vote for the election of such nominee on the date of the giving of such notice and on the record date for the determination of stockholders entitled to vote at such meeting and (z) is entitled to vote at such meeting.</w:t>
      </w:r>
    </w:p>
    <w:p>
      <w:pPr>
        <w:spacing w:after="0" w:line="88" w:lineRule="exact"/>
        <w:rPr>
          <w:sz w:val="20"/>
          <w:szCs w:val="20"/>
          <w:color w:val="auto"/>
        </w:rPr>
      </w:pPr>
    </w:p>
    <w:p>
      <w:pPr>
        <w:ind w:firstLine="1921"/>
        <w:spacing w:after="0" w:line="281" w:lineRule="auto"/>
        <w:tabs>
          <w:tab w:leader="none" w:pos="2547"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be timely, a stockholder’s notice must be received in writing by the Secretary at the principal executive office of the corporation as follows: (i) in the case of an election of directors at an annual meeting of stockholders, not less than 90 days nor more than 120 days prior to the first anniversary of the preceding year’s annual meeting; provided, however, that in the event that the date of the annual meeting is advanced by more than 20 days, or delayed by more than 60 days, from the first anniversary of the preceding year’s annual meeting, or if no annual meeting was held or deemed to have been held in the preceding year,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given or public disclosure of the date of such annual meeting was made, whichever first occurs; or (ii) in the case of an election of directors at a special meeting of stockholders, provided that the Board of Directors, the Chairman of the Board or the Chief Executive Officer has determined, in accordance with Section 1.3, that directors shall be elected at such special meeting and provided further that the nomination made by the stockholder is for one of the director positions that the Board of Directors, the Chairman of the Board or the Chief Executive Officer, as the case may be, has determined will be filled at such special meeting, not earlier than the 120th day prior to such special meeting and not later than the close of business on the later of (x) the 90th day prior to such special meeting and (y) the tenth day following the day on which notice of the date of such special meeting was given or public disclosure of the date of such special meeting was made, whichever first occurs. In no event shall the adjournment or postponement of a meeting (or the public disclosure thereof) commence a new time period (or extend any time period) for the giving of a stockholder’s notice.</w:t>
      </w:r>
    </w:p>
    <w:p>
      <w:pPr>
        <w:spacing w:after="0" w:line="69" w:lineRule="exact"/>
        <w:rPr>
          <w:sz w:val="20"/>
          <w:szCs w:val="20"/>
          <w:color w:val="auto"/>
        </w:rPr>
      </w:pPr>
    </w:p>
    <w:p>
      <w:pPr>
        <w:ind w:firstLine="1276"/>
        <w:spacing w:after="0" w:line="279" w:lineRule="auto"/>
        <w:rPr>
          <w:sz w:val="20"/>
          <w:szCs w:val="20"/>
          <w:color w:val="auto"/>
        </w:rPr>
      </w:pPr>
      <w:r>
        <w:rPr>
          <w:rFonts w:ascii="Arial" w:cs="Arial" w:eastAsia="Arial" w:hAnsi="Arial"/>
          <w:sz w:val="16"/>
          <w:szCs w:val="16"/>
          <w:color w:val="auto"/>
        </w:rPr>
        <w:t>The stockholder’s notice to the Secretary shall set forth: (A) as to each proposed nominee (1) such person’s name, age, business address and, if known, residence address, (2) such person’s principal occupation or employment, (3) the class and series and number of shares of stock of the corporation that are, directly or indirectly, owned, beneficially or of record, by such person, (4) a description of all direct and indirect compensation and other material monetary agreements, arrangements and understandings during the past three years, and any other material relationships, between or among (x) the stockholder, the beneficial owner, if any, on whose behalf the nomination is being made and any Stockholder Associated Person, on the one hand, and (y) each proposed nominee, and his or her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Stockholder Associated Person were the “registrant” for purposes of such Item and the proposed nominee were a director or executive officer of such registrant, and (5) any other information concerning such person that must be disclosed as to nominees in proxy solicitations pursuant to Regulation 14A under the Securities Exchange Act of 1934, as amended (the “Exchange Act”); and (B) as to the stockholder giving the notice and the beneficial owner, if any, on whose behalf the nomination is being made (1) the name and address of such stockholder, as they appear on the corporation’s books, and of such beneficial owner, (2) the class and series and number of shares of stock of the corporation that are, directly or indirectly, owned, beneficially or of record, by such stockholder and such beneficial owner, (3) a description of any material interest related to the nomination of such stockholder, such beneficial owner and/or any Stockholder Associated Person, (4) a description of any agreement, arrangement or understanding between or among such stockholder, such beneficial owner and/or any Stockholder Associated Person and each proposed nominee and any other person or persons (including their names) pursuant to which the nomination(s) are being made or who may participate in the solicitation of proxies or votes in favor of electing such nominee(s), (5)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such beneficial owner and/or any Stockholder Associated Person, the effect or intent of which is to mitigate loss to, manage risk or benefit of share price changes for, or increase or decrease the voting power of, such stockholder, such beneficial owner and/or any Stockholder Associated Person with respect to shares of stock of the corporation, (6) any other information relating to such stockholder, such beneficial owner and/or any Stockholder Associated Person that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91" w:right="339" w:bottom="1440" w:gutter="0" w:footer="0" w:header="0"/>
        </w:sectPr>
      </w:pPr>
    </w:p>
    <w:bookmarkStart w:id="120" w:name="page121"/>
    <w:bookmarkEnd w:id="120"/>
    <w:p>
      <w:pPr>
        <w:ind w:right="20"/>
        <w:spacing w:after="0" w:line="280" w:lineRule="auto"/>
        <w:rPr>
          <w:sz w:val="20"/>
          <w:szCs w:val="20"/>
          <w:color w:val="auto"/>
        </w:rPr>
      </w:pPr>
      <w:r>
        <w:rPr>
          <w:rFonts w:ascii="Arial" w:cs="Arial" w:eastAsia="Arial" w:hAnsi="Arial"/>
          <w:sz w:val="16"/>
          <w:szCs w:val="16"/>
          <w:color w:val="auto"/>
        </w:rPr>
        <w:t>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(7) a representation that such stockholder intends to appear in person or by proxy at the meeting to nominate the person(s) named in its notice, (8) a representation that such stockholder, such beneficial owner and/or any Stockholder Associated Person has complied, and will comply, with all applicable requirements of state law and the Exchange Act with respect to matters set forth in this Section 1.13, and (9) a representation whether such stockholder, such beneficial owner and/or any Stockholder Associated Person intends or is part of a group that intends (x) to deliver a proxy statement and/or form of proxy to holders of at least the percentage of the corporation’s outstanding capital stock reasonably believed by such stockholder or such beneficial owner to be sufficient to elect the nominee (and such representation shall be included in any such proxy statement and form of proxy) and/or (y) otherwise to solicit proxies or votes from stockholders in support of such nomination (and such representation shall be included in any such solicitation materials). Not later than 10 days after the record date for the meeting, the information required by Items (A)(1)-(5) and (B)(1)-(6) of the prior sentence shall be supplemented by the stockholder giving the notice to provide updated information as of the record date. In addition, to be effective, the stockholder’s notice must also be accompanied by the written consent of the proposed nominee to being named in the corporation’s proxy statement and accompanying proxy card as a nominee and to serve as a director if elected. The corporation may require any proposed nominee to furnish such other information as the corporation may reasonably require to determine, among other things, the eligibility of such proposed nominee to serve as a director of the corporation or whether such nominee would be independent under applicable Securities and Exchange Commission and stock exchange rules and the corporation’s publicly disclosed corporate governance guidelines. Notwithstanding anything herein to the contrary, a stockholder shall not have complied with this Section 1.13(b) if the stockholder, beneficial owner and/or any Stockholder Associated Person solicits or does not solicit, as the case may be, proxies or votes in support of such stockholder’s nominee in contravention of the representations with respect thereto required by this Section 1.13.</w:t>
      </w:r>
    </w:p>
    <w:p>
      <w:pPr>
        <w:spacing w:after="0" w:line="72" w:lineRule="exact"/>
        <w:rPr>
          <w:sz w:val="20"/>
          <w:szCs w:val="20"/>
          <w:color w:val="auto"/>
        </w:rPr>
      </w:pPr>
    </w:p>
    <w:p>
      <w:pPr>
        <w:ind w:firstLine="1276"/>
        <w:spacing w:after="0" w:line="281" w:lineRule="auto"/>
        <w:rPr>
          <w:sz w:val="20"/>
          <w:szCs w:val="20"/>
          <w:color w:val="auto"/>
        </w:rPr>
      </w:pPr>
      <w:r>
        <w:rPr>
          <w:rFonts w:ascii="Arial" w:cs="Arial" w:eastAsia="Arial" w:hAnsi="Arial"/>
          <w:sz w:val="16"/>
          <w:szCs w:val="16"/>
          <w:color w:val="auto"/>
        </w:rPr>
        <w:t>Such notice must also be accompanied by a representation as to whether or not such stockholder, beneficial owner and/or any Stockholder Associated Person intends to solicit proxies in support of any director nominees other than the corporation’s nominees in accordance with Rule 14a-19 under the Exchange Act, and, where such stockholder, beneficial owner and/or Stockholder Associated Person intends to so solicit proxies, the notice and information required by Rule 14a-19(b) under the Exchange Act. Notwithstanding anything to the contrary in these bylaws, unless otherwise required by law, if any stockholder, beneficial owner and/or Stockholder Associated Person (i) provides notice pursuant to Rule 14a-19(b) under the Exchange Act and (ii) subsequently fails to comply with the requirements of Rule 14a-19(a)(2) and Rule 14a-19(a)(3) under the Exchange Act (or fails to timely provide reasonable evidence sufficient to satisfy the corporation that such stockholder, beneficial owner and/or Stockholder Associated Person has met the requirements of Rule 14a-19(a)(3) promulgated under the Exchange Act in accordance with the following sentence), then the nomination of each of the director nominees proposed by such stockholder, beneficial owner and/or Stockholder Associated Person shall be disregarded, notwithstanding that proxies or votes in respect of the election of such proposed nominees may have been received by the corporation (which proxies and votes shall be disregarded). Upon request by the corporation, if any stockholder, beneficial owner and/or Stockholder Associated Person provides notice pursuant to Rule 14a-19(b) under the Exchange Act, such stockholder, beneficial owner and/or Stockholder Associated Person shall deliver to the corporation, no later than five business days prior to the applicable meeting, reasonable evidence that it has met the requirements of Rule 14a-19(a)(3) under the Exchange Act.</w:t>
      </w:r>
    </w:p>
    <w:p>
      <w:pPr>
        <w:spacing w:after="0" w:line="72" w:lineRule="exact"/>
        <w:rPr>
          <w:sz w:val="20"/>
          <w:szCs w:val="20"/>
          <w:color w:val="auto"/>
        </w:rPr>
      </w:pPr>
    </w:p>
    <w:p>
      <w:pPr>
        <w:ind w:right="20" w:firstLine="1921"/>
        <w:spacing w:after="0" w:line="250" w:lineRule="auto"/>
        <w:tabs>
          <w:tab w:leader="none" w:pos="25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chairman of any meeting (and, in advance of any meeting, the Board of Directors) shall have the power and duty to determine whether a nomination was made in accordance with the provisions of this Section 1.13 (including whether the stockholder, beneficial owner and/or any Stockholder Associated Person did or did not so solicit, as the case may be, proxies or votes in support of such stockholder’s nominee in compliance with the representations with respect thereto required by this Section 1.13), and if the chairman (or the Board of Directors) should determine that a nomination was not made in accordance with the provisions of this Section 1.13, the chairman shall so declare to the meeting and such nomination shall not be brought before the meeting.</w:t>
      </w:r>
    </w:p>
    <w:p>
      <w:pPr>
        <w:spacing w:after="0" w:line="89" w:lineRule="exact"/>
        <w:rPr>
          <w:rFonts w:ascii="Arial" w:cs="Arial" w:eastAsia="Arial" w:hAnsi="Arial"/>
          <w:sz w:val="18"/>
          <w:szCs w:val="18"/>
          <w:color w:val="auto"/>
        </w:rPr>
      </w:pPr>
    </w:p>
    <w:p>
      <w:pPr>
        <w:ind w:right="120" w:firstLine="1921"/>
        <w:spacing w:after="0" w:line="303" w:lineRule="auto"/>
        <w:tabs>
          <w:tab w:leader="none" w:pos="2547"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Except as otherwise required by law (including Rule 14a-19 under the Exchange Act), nothing in this Section 1.13 shall obligate the corporation or the Board of Directors to include in any proxy statement, proxy card or other stockholder communication distributed on behalf of the corporation or the Board of Directors the name of or other information with respect to any nominee for director submitted by a stockholder.</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991" w:right="359" w:bottom="1440" w:gutter="0" w:footer="0" w:header="0"/>
        </w:sectPr>
      </w:pPr>
    </w:p>
    <w:bookmarkStart w:id="121" w:name="page122"/>
    <w:bookmarkEnd w:id="121"/>
    <w:p>
      <w:pPr>
        <w:ind w:left="-20" w:right="60" w:firstLine="1921"/>
        <w:spacing w:after="0" w:line="267" w:lineRule="auto"/>
        <w:tabs>
          <w:tab w:leader="none" w:pos="253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1.13, unless otherwise required by law, if the stockholder (or a qualified representative of the stockholder) does not appear at the meeting to present a nomination, such nomination shall not be brought before the meeting, notwithstanding that proxies in respect of such nominee may have been received by the corporation. For purposes of this Section 1.13, to be considered a “qualified representative of the stockholder”, a person must be a duly authorized officer, manager or partner of such stockholder or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spacing w:after="0" w:line="73" w:lineRule="exact"/>
        <w:rPr>
          <w:rFonts w:ascii="Arial" w:cs="Arial" w:eastAsia="Arial" w:hAnsi="Arial"/>
          <w:sz w:val="17"/>
          <w:szCs w:val="17"/>
          <w:color w:val="auto"/>
        </w:rPr>
      </w:pPr>
    </w:p>
    <w:p>
      <w:pPr>
        <w:ind w:left="-20" w:right="440" w:firstLine="1921"/>
        <w:spacing w:after="0" w:line="256" w:lineRule="auto"/>
        <w:tabs>
          <w:tab w:leader="none" w:pos="25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purposes of this Section 1.13, “public disclosure”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82" w:lineRule="exact"/>
        <w:rPr>
          <w:rFonts w:ascii="Arial" w:cs="Arial" w:eastAsia="Arial" w:hAnsi="Arial"/>
          <w:sz w:val="18"/>
          <w:szCs w:val="18"/>
          <w:color w:val="auto"/>
        </w:rPr>
      </w:pPr>
    </w:p>
    <w:p>
      <w:pPr>
        <w:ind w:left="-20" w:right="140" w:firstLine="1921"/>
        <w:spacing w:after="0" w:line="253" w:lineRule="auto"/>
        <w:tabs>
          <w:tab w:leader="none" w:pos="2527"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Unless the corporation elects otherwise, a stockholder’s notice to the corporation of nominations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85" w:lineRule="exact"/>
        <w:rPr>
          <w:sz w:val="20"/>
          <w:szCs w:val="20"/>
          <w:color w:val="auto"/>
        </w:rPr>
      </w:pPr>
    </w:p>
    <w:p>
      <w:pPr>
        <w:ind w:left="1260"/>
        <w:spacing w:after="0"/>
        <w:tabs>
          <w:tab w:leader="none" w:pos="18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Conduct of Meetings</w:t>
      </w:r>
      <w:r>
        <w:rPr>
          <w:rFonts w:ascii="Arial" w:cs="Arial" w:eastAsia="Arial" w:hAnsi="Arial"/>
          <w:sz w:val="16"/>
          <w:szCs w:val="16"/>
          <w:color w:val="auto"/>
        </w:rPr>
        <w:t>.</w:t>
      </w:r>
    </w:p>
    <w:p>
      <w:pPr>
        <w:spacing w:after="0" w:line="112" w:lineRule="exact"/>
        <w:rPr>
          <w:sz w:val="20"/>
          <w:szCs w:val="20"/>
          <w:color w:val="auto"/>
        </w:rPr>
      </w:pPr>
    </w:p>
    <w:p>
      <w:pPr>
        <w:ind w:left="-20" w:right="20" w:firstLine="1921"/>
        <w:spacing w:after="0" w:line="251" w:lineRule="auto"/>
        <w:tabs>
          <w:tab w:leader="none" w:pos="25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The Secretary shall act as secretary of the meeting, but in the Secretary’s absence the chairman of the meeting may appoint any person to act as secretary of the meeting.</w:t>
      </w:r>
    </w:p>
    <w:p>
      <w:pPr>
        <w:spacing w:after="0" w:line="87" w:lineRule="exact"/>
        <w:rPr>
          <w:rFonts w:ascii="Arial" w:cs="Arial" w:eastAsia="Arial" w:hAnsi="Arial"/>
          <w:sz w:val="18"/>
          <w:szCs w:val="18"/>
          <w:color w:val="auto"/>
        </w:rPr>
      </w:pPr>
    </w:p>
    <w:p>
      <w:pPr>
        <w:ind w:left="-20" w:right="100" w:firstLine="1921"/>
        <w:spacing w:after="0" w:line="282" w:lineRule="auto"/>
        <w:tabs>
          <w:tab w:leader="none" w:pos="2527"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 by the Board of Directors or the chairman of any meeting;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65" w:lineRule="exact"/>
        <w:rPr>
          <w:rFonts w:ascii="Arial" w:cs="Arial" w:eastAsia="Arial" w:hAnsi="Arial"/>
          <w:sz w:val="16"/>
          <w:szCs w:val="16"/>
          <w:color w:val="auto"/>
        </w:rPr>
      </w:pPr>
    </w:p>
    <w:p>
      <w:pPr>
        <w:ind w:left="-20" w:right="20" w:firstLine="1921"/>
        <w:spacing w:after="0" w:line="296" w:lineRule="auto"/>
        <w:tabs>
          <w:tab w:leader="none" w:pos="253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chairman of the meeting shall announce at the meeting when the polls for each matter to be voted upon at the meeting will be opened and closed. After the polls close, no ballots, proxies or votes or any revocations or changes thereto may be accepted.</w:t>
      </w:r>
    </w:p>
    <w:p>
      <w:pPr>
        <w:spacing w:after="0" w:line="49" w:lineRule="exact"/>
        <w:rPr>
          <w:rFonts w:ascii="Arial" w:cs="Arial" w:eastAsia="Arial" w:hAnsi="Arial"/>
          <w:sz w:val="17"/>
          <w:szCs w:val="17"/>
          <w:color w:val="auto"/>
        </w:rPr>
      </w:pPr>
    </w:p>
    <w:p>
      <w:pPr>
        <w:ind w:left="-20" w:firstLine="1921"/>
        <w:spacing w:after="0" w:line="272" w:lineRule="auto"/>
        <w:tabs>
          <w:tab w:leader="none" w:pos="2527"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advance of any meeting of stockholders, the corporation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chairman of the meeting shall appoint one or more inspectors to act at the meeting. Unless otherwise required by law, inspectors may be officers, employees or agents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991" w:right="339" w:bottom="1440" w:gutter="0" w:footer="0" w:header="0"/>
        </w:sectPr>
      </w:pPr>
    </w:p>
    <w:bookmarkStart w:id="122" w:name="page123"/>
    <w:bookmarkEnd w:id="122"/>
    <w:p>
      <w:pPr>
        <w:ind w:right="40"/>
        <w:spacing w:after="0" w:line="253" w:lineRule="auto"/>
        <w:rPr>
          <w:sz w:val="20"/>
          <w:szCs w:val="20"/>
          <w:color w:val="auto"/>
        </w:rPr>
      </w:pPr>
      <w:r>
        <w:rPr>
          <w:rFonts w:ascii="Arial" w:cs="Arial" w:eastAsia="Arial" w:hAnsi="Arial"/>
          <w:sz w:val="18"/>
          <w:szCs w:val="18"/>
          <w:color w:val="auto"/>
        </w:rPr>
        <w:t>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2 - Directors</w:t>
      </w:r>
    </w:p>
    <w:p>
      <w:pPr>
        <w:spacing w:after="0" w:line="112" w:lineRule="exact"/>
        <w:rPr>
          <w:sz w:val="20"/>
          <w:szCs w:val="20"/>
          <w:color w:val="auto"/>
        </w:rPr>
      </w:pPr>
    </w:p>
    <w:p>
      <w:pPr>
        <w:ind w:right="20" w:firstLine="1276"/>
        <w:spacing w:after="0" w:line="303"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by or under the direction of a Board of Directors, who may exercise all of the powers of the corporation except as otherwise provided by law or the Certificate of Incorporation. In the event of a vacancy in the Board of Directors, the remaining directors, except as otherwise provided by law, may exercise the powers of the full Board until the vacancy is filled.</w:t>
      </w:r>
    </w:p>
    <w:p>
      <w:pPr>
        <w:spacing w:after="0" w:line="48" w:lineRule="exact"/>
        <w:rPr>
          <w:sz w:val="20"/>
          <w:szCs w:val="20"/>
          <w:color w:val="auto"/>
        </w:rPr>
      </w:pPr>
    </w:p>
    <w:p>
      <w:pPr>
        <w:ind w:right="80" w:firstLine="1276"/>
        <w:spacing w:after="0" w:line="251"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Number of Directors</w:t>
      </w:r>
      <w:r>
        <w:rPr>
          <w:rFonts w:ascii="Arial" w:cs="Arial" w:eastAsia="Arial" w:hAnsi="Arial"/>
          <w:sz w:val="18"/>
          <w:szCs w:val="18"/>
          <w:color w:val="auto"/>
        </w:rPr>
        <w:t>. The number of directors which shall constitute the whole Board of Directors shall be determined by resolution of a majority of the Board of Directors, but in no event shall be less than three. The number of directors may be decreased at any time and from time to time by a majority of the directors then in office, but only to eliminate vacancies existing by reason of the death, resignation, removal or expiration of the term of one or more directors. The directors shall be elected at the annual meeting of the stockholders by such stockholders as have the right to vote on such election. Directors need not be stockholders of the corporation.</w:t>
      </w:r>
    </w:p>
    <w:p>
      <w:pPr>
        <w:spacing w:after="0" w:line="88" w:lineRule="exact"/>
        <w:rPr>
          <w:sz w:val="20"/>
          <w:szCs w:val="20"/>
          <w:color w:val="auto"/>
        </w:rPr>
      </w:pPr>
    </w:p>
    <w:p>
      <w:pPr>
        <w:ind w:right="40" w:firstLine="1276"/>
        <w:spacing w:after="0" w:line="26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Classes of Directors</w:t>
      </w:r>
      <w:r>
        <w:rPr>
          <w:rFonts w:ascii="Arial" w:cs="Arial" w:eastAsia="Arial" w:hAnsi="Arial"/>
          <w:sz w:val="17"/>
          <w:szCs w:val="17"/>
          <w:color w:val="auto"/>
        </w:rPr>
        <w:t>. The Board of Directors shall be and is divided into three classes: Class I, Class II and Class III. No one class shall have more than one director more than any other class. If a fraction is contained in the quotient arrived at by dividing the authorized number of directors by three, then, if such fraction is one-third, the extra director shall be a member of Class I and, if such fraction is two-thirds, one of the extra directors shall be a member of Class I and the other extra director shall be a member of Class II unless otherwise provided for from time to time by resolution adopted by a majority of the Board of Directors. The Class A Director shall be in Class II.</w:t>
      </w:r>
    </w:p>
    <w:p>
      <w:pPr>
        <w:spacing w:after="0" w:line="75" w:lineRule="exact"/>
        <w:rPr>
          <w:sz w:val="20"/>
          <w:szCs w:val="20"/>
          <w:color w:val="auto"/>
        </w:rPr>
      </w:pPr>
    </w:p>
    <w:p>
      <w:pPr>
        <w:ind w:right="40" w:firstLine="1276"/>
        <w:spacing w:after="0" w:line="25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The holders of Class A Common Stock, voting separately as a class, shall be entitled to elect one director (the “Class A Director”). All other directors shall be elected by the holders of the Class A Common Stock and Class B Common Stock, if any, voting together as a single class.</w:t>
      </w:r>
    </w:p>
    <w:p>
      <w:pPr>
        <w:spacing w:after="0" w:line="82" w:lineRule="exact"/>
        <w:rPr>
          <w:sz w:val="20"/>
          <w:szCs w:val="20"/>
          <w:color w:val="auto"/>
        </w:rPr>
      </w:pPr>
    </w:p>
    <w:p>
      <w:pPr>
        <w:ind w:firstLine="1276"/>
        <w:spacing w:after="0" w:line="26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Terms of Office</w:t>
      </w:r>
      <w:r>
        <w:rPr>
          <w:rFonts w:ascii="Arial" w:cs="Arial" w:eastAsia="Arial" w:hAnsi="Arial"/>
          <w:sz w:val="17"/>
          <w:szCs w:val="17"/>
          <w:color w:val="auto"/>
        </w:rPr>
        <w:t>. Each director shall serve for a term ending on the date of the third annual meeting following the annual meeting at which such director was elected; provided, however, that each initial director in Class I shall serve for a term ending on the date of the annual meeting next following the end of the Corporation’s fiscal year ending April 30,1998; each initial director in Class II shall serve for a term ending on the date of the annual meeting next following the end of the Corporation’s fiscal year ending April 30,1999; and each initial director in Class III shall serve for a term ending on the date of the annual meeting next following the end of the Corporation’s fiscal year ending April 30, 2000.</w:t>
      </w:r>
    </w:p>
    <w:p>
      <w:pPr>
        <w:spacing w:after="0" w:line="75" w:lineRule="exact"/>
        <w:rPr>
          <w:sz w:val="20"/>
          <w:szCs w:val="20"/>
          <w:color w:val="auto"/>
        </w:rPr>
      </w:pPr>
    </w:p>
    <w:p>
      <w:pPr>
        <w:ind w:right="160" w:firstLine="1276"/>
        <w:spacing w:after="0" w:line="284"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Allocation of Directors Among Classes in the Event of Increases or Decreases in the Number of Directors</w:t>
      </w:r>
      <w:r>
        <w:rPr>
          <w:rFonts w:ascii="Arial" w:cs="Arial" w:eastAsia="Arial" w:hAnsi="Arial"/>
          <w:sz w:val="16"/>
          <w:szCs w:val="16"/>
          <w:color w:val="auto"/>
        </w:rPr>
        <w:t>. In the event of any increase or decrease in the authorized number of directors, (i) each director then serving as such shall nevertheless continue as director of the class of which he is a member until the expiration of his current term or his prior death, retirement or resignation and (ii) the newly created or eliminated directorships resulting from such increase or decrease shall be apportioned by the Board of Directors among the three classes of directors so as to ensure that no one class has more than one director more than any other class. To the extent possible, consistent with the foregoing rule, any newly created directorships shall be added to those classes whose terms of office are to expire at the latest dates following such allocation, and any newly eliminated directorships shall be subtracted from those classes whose terms of office are to expire at the earliest dates following such allocation, unless otherwise provided for from time to time by resolution adopted by a majority of the directors then in office, although less than a quorum.</w:t>
      </w:r>
    </w:p>
    <w:p>
      <w:pPr>
        <w:spacing w:after="0" w:line="67" w:lineRule="exact"/>
        <w:rPr>
          <w:sz w:val="20"/>
          <w:szCs w:val="20"/>
          <w:color w:val="auto"/>
        </w:rPr>
      </w:pPr>
    </w:p>
    <w:p>
      <w:pPr>
        <w:ind w:right="480" w:firstLine="1276"/>
        <w:spacing w:after="0" w:line="266"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Tenure</w:t>
      </w:r>
      <w:r>
        <w:rPr>
          <w:rFonts w:ascii="Arial" w:cs="Arial" w:eastAsia="Arial" w:hAnsi="Arial"/>
          <w:sz w:val="18"/>
          <w:szCs w:val="18"/>
          <w:color w:val="auto"/>
        </w:rPr>
        <w:t>. Notwithstanding any provisions to the contrary contained herein, each director shall hold office until his successor is elected and qualified, or until his earlier death, resignation or removal.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91" w:right="339" w:bottom="1440" w:gutter="0" w:footer="0" w:header="0"/>
        </w:sectPr>
      </w:pPr>
    </w:p>
    <w:bookmarkStart w:id="123" w:name="page124"/>
    <w:bookmarkEnd w:id="123"/>
    <w:p>
      <w:pPr>
        <w:ind w:right="60" w:firstLine="1276"/>
        <w:spacing w:after="0" w:line="253"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the Board of Directors, however occurring, including a vacancy resulting from an enlargement of the Board, may be filled only by a vote of a majority of the directors then in office, although less than a quorum, or by a sole remaining director. The term of any director elected to fill a vacancy between annual meetings will last until the next annual meeting and until such director’s successor has been elected and qualified, or until his earlier death, resignation or removal.</w:t>
      </w:r>
    </w:p>
    <w:p>
      <w:pPr>
        <w:spacing w:after="0" w:line="85" w:lineRule="exact"/>
        <w:rPr>
          <w:sz w:val="20"/>
          <w:szCs w:val="20"/>
          <w:color w:val="auto"/>
        </w:rPr>
      </w:pPr>
    </w:p>
    <w:p>
      <w:pPr>
        <w:ind w:firstLine="1276"/>
        <w:spacing w:after="0" w:line="251"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Quorum</w:t>
      </w:r>
      <w:r>
        <w:rPr>
          <w:rFonts w:ascii="Arial" w:cs="Arial" w:eastAsia="Arial" w:hAnsi="Arial"/>
          <w:sz w:val="18"/>
          <w:szCs w:val="18"/>
          <w:color w:val="auto"/>
        </w:rPr>
        <w:t>. A majority of the total number of the whole Board of Directors shall constitute a quorum at all meetings of the Board of Directors. In the event one or more of the directors shall be disqualified to vote at any meeting, then the required quorum shall be reduced by one for each such director so disqualified; provided, however, that in no case shall less than one-third (⅓) of the number so fixed constitute a quorum. In the absence of a quorum at any such meeting, a majority of the directors present may adjourn the meeting from time to time without further notice other than announcement at the meting, until a quorum shall be present.</w:t>
      </w:r>
    </w:p>
    <w:p>
      <w:pPr>
        <w:spacing w:after="0" w:line="88" w:lineRule="exact"/>
        <w:rPr>
          <w:sz w:val="20"/>
          <w:szCs w:val="20"/>
          <w:color w:val="auto"/>
        </w:rPr>
      </w:pPr>
    </w:p>
    <w:p>
      <w:pPr>
        <w:ind w:right="120" w:firstLine="1276"/>
        <w:spacing w:after="0" w:line="296"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Action at Meeting</w:t>
      </w:r>
      <w:r>
        <w:rPr>
          <w:rFonts w:ascii="Arial" w:cs="Arial" w:eastAsia="Arial" w:hAnsi="Arial"/>
          <w:sz w:val="17"/>
          <w:szCs w:val="17"/>
          <w:color w:val="auto"/>
        </w:rPr>
        <w:t>. At any meeting of the Board of Directors at which a quorum is present, the vote of a majority of those present shall be sufficient to take any action, unless a different vote is specified by law, the Certificate of Incorporation or these By-laws.</w:t>
      </w:r>
    </w:p>
    <w:p>
      <w:pPr>
        <w:spacing w:after="0" w:line="50" w:lineRule="exact"/>
        <w:rPr>
          <w:sz w:val="20"/>
          <w:szCs w:val="20"/>
          <w:color w:val="auto"/>
        </w:rPr>
      </w:pPr>
    </w:p>
    <w:p>
      <w:pPr>
        <w:jc w:val="both"/>
        <w:ind w:right="60" w:firstLine="1276"/>
        <w:spacing w:after="0" w:line="25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Removal</w:t>
      </w:r>
      <w:r>
        <w:rPr>
          <w:rFonts w:ascii="Arial" w:cs="Arial" w:eastAsia="Arial" w:hAnsi="Arial"/>
          <w:sz w:val="18"/>
          <w:szCs w:val="18"/>
          <w:color w:val="auto"/>
        </w:rPr>
        <w:t>. Any one or more or all of the directors may be removed, with or without cause, by the holders of shares representing at least seventy-five percent (75%) of the votes which all the stockholders would be entitled to cast at any election of directors or class of directors (other than an election of the Class A Director); provided, however, that the Class A Director may be removed only by the holders of at least seventy-five percent (75%) of the outstanding shares of Class A Common Stock.</w:t>
      </w:r>
    </w:p>
    <w:p>
      <w:pPr>
        <w:spacing w:after="0" w:line="85" w:lineRule="exact"/>
        <w:rPr>
          <w:sz w:val="20"/>
          <w:szCs w:val="20"/>
          <w:color w:val="auto"/>
        </w:rPr>
      </w:pPr>
    </w:p>
    <w:p>
      <w:pPr>
        <w:jc w:val="both"/>
        <w:ind w:right="60" w:firstLine="1276"/>
        <w:spacing w:after="0" w:line="256"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by delivering his written resignation to the corporation at its principal office or to the Chief Executive Officer or Secretary. Such resignation shall be effective upon receipt unless it is specified to be effective at some other time or upon the happening of some other event.</w:t>
      </w:r>
    </w:p>
    <w:p>
      <w:pPr>
        <w:spacing w:after="0" w:line="82" w:lineRule="exact"/>
        <w:rPr>
          <w:sz w:val="20"/>
          <w:szCs w:val="20"/>
          <w:color w:val="auto"/>
        </w:rPr>
      </w:pPr>
    </w:p>
    <w:p>
      <w:pPr>
        <w:ind w:right="100" w:firstLine="1276"/>
        <w:spacing w:after="0" w:line="251"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without notice at such time and place, either within or without the State of Delaware, as shall be determined from time to time by the Board of Directors; provided that any director who is absent when such a determination is made shall be given notice of the determination; provided further that the Board of Directors shall meet at least once during each of the corporation’s fiscal quarters. A regular meeting of the Board of Directors may be held without notice immediately after and at the same place as the annual meeting of stockholders.</w:t>
      </w:r>
    </w:p>
    <w:p>
      <w:pPr>
        <w:spacing w:after="0" w:line="88" w:lineRule="exact"/>
        <w:rPr>
          <w:sz w:val="20"/>
          <w:szCs w:val="20"/>
          <w:color w:val="auto"/>
        </w:rPr>
      </w:pPr>
    </w:p>
    <w:p>
      <w:pPr>
        <w:ind w:right="160" w:firstLine="1276"/>
        <w:spacing w:after="0" w:line="256"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held at any time and place, within or without the State of Delaware, designated in a call by the Chairman of the Board, the Chief Executive Officer, two or more directors, or by one director in the event that there is only a single director in office.</w:t>
      </w:r>
    </w:p>
    <w:p>
      <w:pPr>
        <w:spacing w:after="0" w:line="82" w:lineRule="exact"/>
        <w:rPr>
          <w:sz w:val="20"/>
          <w:szCs w:val="20"/>
          <w:color w:val="auto"/>
        </w:rPr>
      </w:pPr>
    </w:p>
    <w:p>
      <w:pPr>
        <w:jc w:val="both"/>
        <w:ind w:right="100" w:firstLine="1276"/>
        <w:spacing w:after="0" w:line="290"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Notice of Special Meetings</w:t>
      </w:r>
      <w:r>
        <w:rPr>
          <w:rFonts w:ascii="Arial" w:cs="Arial" w:eastAsia="Arial" w:hAnsi="Arial"/>
          <w:sz w:val="16"/>
          <w:szCs w:val="16"/>
          <w:color w:val="auto"/>
        </w:rPr>
        <w:t>. Notice of the time and place of any special meeting of directors shall be given to each director by the Secretary or by the officer or one of the directors calling the meeting. Notice shall be duly given to each director (i) in person, by telephone or by electronic transmission at least 48 hours in advance of the meeting, (ii) by delivering written notice by hand, to such director’s last known business or home address at least 48 hours in advance of the meeting, or (iii)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58" w:lineRule="exact"/>
        <w:rPr>
          <w:sz w:val="20"/>
          <w:szCs w:val="20"/>
          <w:color w:val="auto"/>
        </w:rPr>
      </w:pPr>
    </w:p>
    <w:p>
      <w:pPr>
        <w:ind w:firstLine="1276"/>
        <w:spacing w:after="0" w:line="256"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Meetings by Conference Communications Equipment</w:t>
      </w:r>
      <w:r>
        <w:rPr>
          <w:rFonts w:ascii="Arial" w:cs="Arial" w:eastAsia="Arial" w:hAnsi="Arial"/>
          <w:sz w:val="18"/>
          <w:szCs w:val="18"/>
          <w:color w:val="auto"/>
        </w:rPr>
        <w:t>. Directors may participate in meetings of the Board of Directors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82" w:lineRule="exact"/>
        <w:rPr>
          <w:sz w:val="20"/>
          <w:szCs w:val="20"/>
          <w:color w:val="auto"/>
        </w:rPr>
      </w:pPr>
    </w:p>
    <w:p>
      <w:pPr>
        <w:jc w:val="both"/>
        <w:ind w:right="140" w:firstLine="1276"/>
        <w:spacing w:after="0" w:line="256"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Action by Consent</w:t>
      </w:r>
      <w:r>
        <w:rPr>
          <w:rFonts w:ascii="Arial" w:cs="Arial" w:eastAsia="Arial" w:hAnsi="Arial"/>
          <w:sz w:val="18"/>
          <w:szCs w:val="18"/>
          <w:color w:val="auto"/>
        </w:rPr>
        <w:t>. Any action required or permitted to be taken at any meeting of the Board of Directors or of any committee of the Board of Directors may be taken without a meeting, if all members of the Board or committee, as the case may be, consent to the action in writing or by electronic transmission. After an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991" w:right="379" w:bottom="1440" w:gutter="0" w:footer="0" w:header="0"/>
        </w:sectPr>
      </w:pPr>
    </w:p>
    <w:bookmarkStart w:id="124" w:name="page125"/>
    <w:bookmarkEnd w:id="124"/>
    <w:p>
      <w:pPr>
        <w:ind w:right="620"/>
        <w:spacing w:after="0" w:line="266" w:lineRule="auto"/>
        <w:rPr>
          <w:sz w:val="20"/>
          <w:szCs w:val="20"/>
          <w:color w:val="auto"/>
        </w:rPr>
      </w:pPr>
      <w:r>
        <w:rPr>
          <w:rFonts w:ascii="Arial" w:cs="Arial" w:eastAsia="Arial" w:hAnsi="Arial"/>
          <w:sz w:val="18"/>
          <w:szCs w:val="18"/>
          <w:color w:val="auto"/>
        </w:rPr>
        <w:t>action is taken, the consent or consents relating thereto shall be filed with the minutes of proceedings of the Board or committee in the same paper or electronic form as the minutes are maintained.</w:t>
      </w:r>
    </w:p>
    <w:p>
      <w:pPr>
        <w:spacing w:after="0" w:line="73" w:lineRule="exact"/>
        <w:rPr>
          <w:sz w:val="20"/>
          <w:szCs w:val="20"/>
          <w:color w:val="auto"/>
        </w:rPr>
      </w:pPr>
    </w:p>
    <w:p>
      <w:pPr>
        <w:ind w:right="60" w:firstLine="1276"/>
        <w:spacing w:after="0" w:line="264"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the General Corporation Law of the State of Delaware,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w:t>
      </w:r>
    </w:p>
    <w:p>
      <w:pPr>
        <w:spacing w:after="0" w:line="81" w:lineRule="exact"/>
        <w:rPr>
          <w:sz w:val="20"/>
          <w:szCs w:val="20"/>
          <w:color w:val="auto"/>
        </w:rPr>
      </w:pPr>
    </w:p>
    <w:p>
      <w:pPr>
        <w:ind w:firstLine="1276"/>
        <w:spacing w:after="0" w:line="278" w:lineRule="auto"/>
        <w:rPr>
          <w:sz w:val="20"/>
          <w:szCs w:val="20"/>
          <w:color w:val="auto"/>
        </w:rPr>
      </w:pPr>
      <w:r>
        <w:rPr>
          <w:rFonts w:ascii="Arial" w:cs="Arial" w:eastAsia="Arial" w:hAnsi="Arial"/>
          <w:sz w:val="17"/>
          <w:szCs w:val="17"/>
          <w:color w:val="auto"/>
        </w:rPr>
        <w:t xml:space="preserve">2.19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corporations in any other capacity and receiving compensation for such service.</w:t>
      </w:r>
    </w:p>
    <w:p>
      <w:pPr>
        <w:spacing w:after="0" w:line="65" w:lineRule="exact"/>
        <w:rPr>
          <w:sz w:val="20"/>
          <w:szCs w:val="20"/>
          <w:color w:val="auto"/>
        </w:rPr>
      </w:pPr>
    </w:p>
    <w:p>
      <w:pPr>
        <w:jc w:val="both"/>
        <w:ind w:right="80" w:firstLine="1276"/>
        <w:spacing w:after="0" w:line="278" w:lineRule="auto"/>
        <w:rPr>
          <w:sz w:val="20"/>
          <w:szCs w:val="20"/>
          <w:color w:val="auto"/>
        </w:rPr>
      </w:pPr>
      <w:r>
        <w:rPr>
          <w:rFonts w:ascii="Arial" w:cs="Arial" w:eastAsia="Arial" w:hAnsi="Arial"/>
          <w:sz w:val="17"/>
          <w:szCs w:val="17"/>
          <w:color w:val="auto"/>
        </w:rPr>
        <w:t xml:space="preserve">2.20 </w:t>
      </w:r>
      <w:r>
        <w:rPr>
          <w:rFonts w:ascii="Arial" w:cs="Arial" w:eastAsia="Arial" w:hAnsi="Arial"/>
          <w:sz w:val="17"/>
          <w:szCs w:val="17"/>
          <w:u w:val="single" w:color="auto"/>
          <w:color w:val="auto"/>
        </w:rPr>
        <w:t>Emergency Bylaws</w:t>
      </w:r>
      <w:r>
        <w:rPr>
          <w:rFonts w:ascii="Arial" w:cs="Arial" w:eastAsia="Arial" w:hAnsi="Arial"/>
          <w:sz w:val="17"/>
          <w:szCs w:val="17"/>
          <w:color w:val="auto"/>
        </w:rPr>
        <w:t>. In the event of any emergency, disaster, catastrophe or other similar emergency condition of a type described in Section 110(a) of the General Corporation Law of the State of Delaware (an “Emergency”), notwithstanding any different or conflicting provisions in the General Corporation Law of the State of Delaware, the Certificate of Incorporation or these By-laws, during such Emergency:</w:t>
      </w:r>
    </w:p>
    <w:p>
      <w:pPr>
        <w:spacing w:after="0" w:line="65" w:lineRule="exact"/>
        <w:rPr>
          <w:sz w:val="20"/>
          <w:szCs w:val="20"/>
          <w:color w:val="auto"/>
        </w:rPr>
      </w:pPr>
    </w:p>
    <w:p>
      <w:pPr>
        <w:ind w:right="40" w:firstLine="1921"/>
        <w:spacing w:after="0" w:line="269" w:lineRule="auto"/>
        <w:tabs>
          <w:tab w:leader="none" w:pos="255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 meeting of the Board of Directors or a committee thereof may be called by any director, the Chairman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w:t>
      </w:r>
    </w:p>
    <w:p>
      <w:pPr>
        <w:spacing w:after="0" w:line="74" w:lineRule="exact"/>
        <w:rPr>
          <w:rFonts w:ascii="Arial" w:cs="Arial" w:eastAsia="Arial" w:hAnsi="Arial"/>
          <w:sz w:val="17"/>
          <w:szCs w:val="17"/>
          <w:color w:val="auto"/>
        </w:rPr>
      </w:pPr>
    </w:p>
    <w:p>
      <w:pPr>
        <w:ind w:left="2560" w:hanging="639"/>
        <w:spacing w:after="0"/>
        <w:tabs>
          <w:tab w:leader="none" w:pos="256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Quorum</w:t>
      </w:r>
      <w:r>
        <w:rPr>
          <w:rFonts w:ascii="Arial" w:cs="Arial" w:eastAsia="Arial" w:hAnsi="Arial"/>
          <w:sz w:val="16"/>
          <w:szCs w:val="16"/>
          <w:color w:val="auto"/>
        </w:rPr>
        <w:t>. The director or directors in attendance at a meeting called in accordance with Section 2.20(a) shall constitute a</w:t>
      </w:r>
    </w:p>
    <w:p>
      <w:pPr>
        <w:spacing w:after="0" w:line="3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quorum.</w:t>
      </w:r>
    </w:p>
    <w:p>
      <w:pPr>
        <w:spacing w:after="0" w:line="100" w:lineRule="exact"/>
        <w:rPr>
          <w:rFonts w:ascii="Arial" w:cs="Arial" w:eastAsia="Arial" w:hAnsi="Arial"/>
          <w:sz w:val="16"/>
          <w:szCs w:val="16"/>
          <w:color w:val="auto"/>
        </w:rPr>
      </w:pPr>
    </w:p>
    <w:p>
      <w:pPr>
        <w:ind w:right="240" w:firstLine="1921"/>
        <w:spacing w:after="0" w:line="256" w:lineRule="auto"/>
        <w:tabs>
          <w:tab w:leader="none" w:pos="255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Liability</w:t>
      </w:r>
      <w:r>
        <w:rPr>
          <w:rFonts w:ascii="Arial" w:cs="Arial" w:eastAsia="Arial" w:hAnsi="Arial"/>
          <w:sz w:val="18"/>
          <w:szCs w:val="18"/>
          <w:color w:val="auto"/>
        </w:rPr>
        <w:t>. No officer, director or employee acting in accordance with this Section 2.20 shall be liable except for willful misconduct. No amendment, repeal or change to this Section 2.20 shall modify the prior sentence with regard to actions taken prior to the time of such amendment, repeal or change.</w:t>
      </w:r>
    </w:p>
    <w:p>
      <w:pPr>
        <w:spacing w:after="0" w:line="82"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3 - Officers</w:t>
      </w:r>
    </w:p>
    <w:p>
      <w:pPr>
        <w:spacing w:after="0" w:line="112" w:lineRule="exact"/>
        <w:rPr>
          <w:sz w:val="20"/>
          <w:szCs w:val="20"/>
          <w:color w:val="auto"/>
        </w:rPr>
      </w:pPr>
    </w:p>
    <w:p>
      <w:pPr>
        <w:ind w:right="120" w:firstLine="1276"/>
        <w:spacing w:after="0" w:line="30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Enumeration</w:t>
      </w:r>
      <w:r>
        <w:rPr>
          <w:rFonts w:ascii="Arial" w:cs="Arial" w:eastAsia="Arial" w:hAnsi="Arial"/>
          <w:sz w:val="16"/>
          <w:szCs w:val="16"/>
          <w:color w:val="auto"/>
        </w:rPr>
        <w:t>. The officers of the corporation shall consist of a Chief Executive Officer, a Secretary, a Treasurer and such other officers with such other titles as the Board of Directors shall determine, including a Chairman of the Board, a Vice-Chairman of the Board, and one or more Vice Presidents, Assistant Treasurers, and Assistant Secretaries. The Board of Directors may appoint such other officers as it may deem appropriate.</w:t>
      </w:r>
    </w:p>
    <w:p>
      <w:pPr>
        <w:spacing w:after="0" w:line="48" w:lineRule="exact"/>
        <w:rPr>
          <w:sz w:val="20"/>
          <w:szCs w:val="20"/>
          <w:color w:val="auto"/>
        </w:rPr>
      </w:pPr>
    </w:p>
    <w:p>
      <w:pPr>
        <w:ind w:right="220" w:firstLine="1276"/>
        <w:spacing w:after="0" w:line="329"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w:t>
      </w:r>
      <w:r>
        <w:rPr>
          <w:rFonts w:ascii="Arial" w:cs="Arial" w:eastAsia="Arial" w:hAnsi="Arial"/>
          <w:sz w:val="16"/>
          <w:szCs w:val="16"/>
          <w:color w:val="auto"/>
        </w:rPr>
        <w:t>. The Chief Executive Officer, Treasurer and Secretary shall be elected annually by the Board of Directors at its first meeting following the annual meeting of stockholders. Other officers may be appointed by the Board of Directors at such meeting or at any other meeting.</w:t>
      </w: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320" w:top="991" w:right="399" w:bottom="1440" w:gutter="0" w:footer="0" w:header="0"/>
        </w:sectPr>
      </w:pPr>
    </w:p>
    <w:bookmarkStart w:id="125" w:name="page126"/>
    <w:bookmarkEnd w:id="125"/>
    <w:p>
      <w:pPr>
        <w:ind w:left="1280"/>
        <w:spacing w:after="0"/>
        <w:tabs>
          <w:tab w:leader="none" w:pos="1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Qualification</w:t>
      </w:r>
      <w:r>
        <w:rPr>
          <w:rFonts w:ascii="Arial" w:cs="Arial" w:eastAsia="Arial" w:hAnsi="Arial"/>
          <w:sz w:val="16"/>
          <w:szCs w:val="16"/>
          <w:color w:val="auto"/>
        </w:rPr>
        <w:t>. No officer need be a stockholder. Any two or more offices may be held by the same person.</w:t>
      </w:r>
    </w:p>
    <w:p>
      <w:pPr>
        <w:spacing w:after="0" w:line="112" w:lineRule="exact"/>
        <w:rPr>
          <w:sz w:val="20"/>
          <w:szCs w:val="20"/>
          <w:color w:val="auto"/>
        </w:rPr>
      </w:pPr>
    </w:p>
    <w:p>
      <w:pPr>
        <w:jc w:val="both"/>
        <w:ind w:right="60" w:firstLine="1276"/>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the Certificate of Incorporation or these By-laws, each officer shall hold office until such officer’s successor is elected and qualified, unless a different term is specified in the resolution electing or appointing such officer, or until such officer’s earlier death, resignation or removal.</w:t>
      </w:r>
    </w:p>
    <w:p>
      <w:pPr>
        <w:spacing w:after="0" w:line="82" w:lineRule="exact"/>
        <w:rPr>
          <w:sz w:val="20"/>
          <w:szCs w:val="20"/>
          <w:color w:val="auto"/>
        </w:rPr>
      </w:pPr>
    </w:p>
    <w:p>
      <w:pPr>
        <w:ind w:firstLine="1276"/>
        <w:spacing w:after="0" w:line="25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officer may resign by delivering his written resignation to the corporation at its principal office or to the Chief Executive Officer or Secretary. Such resignation shall be effective upon receipt unless it is specified to be effective at some other time or upon the happening of some other event.</w:t>
      </w:r>
    </w:p>
    <w:p>
      <w:pPr>
        <w:spacing w:after="0" w:line="8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Any officer may be removed at any time, with or without cause, by vote of a majority of the entire number of directors then in office.</w:t>
      </w:r>
    </w:p>
    <w:p>
      <w:pPr>
        <w:spacing w:after="0" w:line="124" w:lineRule="exact"/>
        <w:rPr>
          <w:sz w:val="20"/>
          <w:szCs w:val="20"/>
          <w:color w:val="auto"/>
        </w:rPr>
      </w:pPr>
    </w:p>
    <w:p>
      <w:pPr>
        <w:ind w:right="160" w:firstLine="1276"/>
        <w:spacing w:after="0" w:line="253" w:lineRule="auto"/>
        <w:rPr>
          <w:sz w:val="20"/>
          <w:szCs w:val="20"/>
          <w:color w:val="auto"/>
        </w:rPr>
      </w:pPr>
      <w:r>
        <w:rPr>
          <w:rFonts w:ascii="Arial" w:cs="Arial" w:eastAsia="Arial" w:hAnsi="Arial"/>
          <w:sz w:val="18"/>
          <w:szCs w:val="18"/>
          <w:color w:val="auto"/>
        </w:rPr>
        <w:t>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85" w:lineRule="exact"/>
        <w:rPr>
          <w:sz w:val="20"/>
          <w:szCs w:val="20"/>
          <w:color w:val="auto"/>
        </w:rPr>
      </w:pPr>
    </w:p>
    <w:p>
      <w:pPr>
        <w:ind w:right="160" w:firstLine="1276"/>
        <w:spacing w:after="0" w:line="253"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Vacancies</w:t>
      </w:r>
      <w:r>
        <w:rPr>
          <w:rFonts w:ascii="Arial" w:cs="Arial" w:eastAsia="Arial" w:hAnsi="Arial"/>
          <w:sz w:val="18"/>
          <w:szCs w:val="18"/>
          <w:color w:val="auto"/>
        </w:rPr>
        <w:t>. The Board of Directors may fill any vacancy occurring in any office for any reason and may, in its discretion, leave unfilled for such period as it may determine any offices other than those of Chief Executive Officer, Treasurer and Secretary. Each such successor shall hold office for the unexpired term of such officer’s predecessor and until a successor is elected and qualified, or until such officer’s earlier death, resignation or removal.</w:t>
      </w:r>
    </w:p>
    <w:p>
      <w:pPr>
        <w:spacing w:after="0" w:line="85" w:lineRule="exact"/>
        <w:rPr>
          <w:sz w:val="20"/>
          <w:szCs w:val="20"/>
          <w:color w:val="auto"/>
        </w:rPr>
      </w:pPr>
    </w:p>
    <w:p>
      <w:pPr>
        <w:ind w:right="40" w:firstLine="1276"/>
        <w:spacing w:after="0" w:line="26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Chairman of the Board and Vice-Chairman of the Board</w:t>
      </w:r>
      <w:r>
        <w:rPr>
          <w:rFonts w:ascii="Arial" w:cs="Arial" w:eastAsia="Arial" w:hAnsi="Arial"/>
          <w:sz w:val="17"/>
          <w:szCs w:val="17"/>
          <w:color w:val="auto"/>
        </w:rPr>
        <w:t>. The Board of Directors may appoint a Chairman of the Board and may designate the Chairman of the Board as Chief Executive Officer. If the Board of Directors appoints a Chairman of the Board, he shall perform such duties and possess such powers as are assigned to him by the Board of Directors. If the Board of Directors appoints a Vice-Chairman of the Board, he shall, in the absence or disability of the Chairman of the Board, perform the duties and exercise the powers of the Chairman of the Board and shall perform such other duties and possess such other powers as may from time to time be vested in him by the Board of Directors.</w:t>
      </w:r>
    </w:p>
    <w:p>
      <w:pPr>
        <w:spacing w:after="0" w:line="75" w:lineRule="exact"/>
        <w:rPr>
          <w:sz w:val="20"/>
          <w:szCs w:val="20"/>
          <w:color w:val="auto"/>
        </w:rPr>
      </w:pPr>
    </w:p>
    <w:p>
      <w:pPr>
        <w:ind w:firstLine="1276"/>
        <w:spacing w:after="0" w:line="25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subject to the direction of the Board of Directors, have general charge and supervision of the business of the corporation. Unless otherwise provided by the Board of Directors, he shall preside at all meetings of the stockholders and, if he is a director, at all meetings of the Board of Directors. The Chief Executive Officer shall perform such other duties and shall have such other powers as the Board of Directors may from time to time prescribe.</w:t>
      </w:r>
    </w:p>
    <w:p>
      <w:pPr>
        <w:spacing w:after="0" w:line="85" w:lineRule="exact"/>
        <w:rPr>
          <w:sz w:val="20"/>
          <w:szCs w:val="20"/>
          <w:color w:val="auto"/>
        </w:rPr>
      </w:pPr>
    </w:p>
    <w:p>
      <w:pPr>
        <w:ind w:right="60" w:firstLine="1276"/>
        <w:spacing w:after="0" w:line="250"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Vice Presidents</w:t>
      </w:r>
      <w:r>
        <w:rPr>
          <w:rFonts w:ascii="Arial" w:cs="Arial" w:eastAsia="Arial" w:hAnsi="Arial"/>
          <w:sz w:val="18"/>
          <w:szCs w:val="18"/>
          <w:color w:val="auto"/>
        </w:rPr>
        <w:t>. Any Vice President shall perform such duties and possess such powers as the Board of Directors or the Chief Executive Officer may from time to time prescribe. In the event of the absence, inability or refusal to act of the Chief Executive Officer, and, if there shall be one, the President, the Vice President (or if there shall be more than one, the Vice Presidents in the order determined by the Board of Directors) shall perform the duties of the Chief Executive Officer and when so performing shall have all the powers of and be subject to all the restrictions upon the Chief Executive Officer. The Board of Directors may assign to any Vice President the title of Executive Vice President, Senior Vice President or any other title selected by the Board of Directors.</w:t>
      </w:r>
    </w:p>
    <w:p>
      <w:pPr>
        <w:spacing w:after="0" w:line="89" w:lineRule="exact"/>
        <w:rPr>
          <w:sz w:val="20"/>
          <w:szCs w:val="20"/>
          <w:color w:val="auto"/>
        </w:rPr>
      </w:pPr>
    </w:p>
    <w:p>
      <w:pPr>
        <w:ind w:firstLine="1276"/>
        <w:spacing w:after="0" w:line="272"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Secretary and Assistant Secretaries</w:t>
      </w:r>
      <w:r>
        <w:rPr>
          <w:rFonts w:ascii="Arial" w:cs="Arial" w:eastAsia="Arial" w:hAnsi="Arial"/>
          <w:sz w:val="17"/>
          <w:szCs w:val="17"/>
          <w:color w:val="auto"/>
        </w:rPr>
        <w:t>. 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91" w:right="339" w:bottom="1440" w:gutter="0" w:footer="0" w:header="0"/>
        </w:sectPr>
      </w:pPr>
    </w:p>
    <w:bookmarkStart w:id="126" w:name="page127"/>
    <w:bookmarkEnd w:id="126"/>
    <w:p>
      <w:pPr>
        <w:ind w:right="700"/>
        <w:spacing w:after="0" w:line="266" w:lineRule="auto"/>
        <w:rPr>
          <w:sz w:val="20"/>
          <w:szCs w:val="20"/>
          <w:color w:val="auto"/>
        </w:rPr>
      </w:pPr>
      <w:r>
        <w:rPr>
          <w:rFonts w:ascii="Arial" w:cs="Arial" w:eastAsia="Arial" w:hAnsi="Arial"/>
          <w:sz w:val="18"/>
          <w:szCs w:val="18"/>
          <w:color w:val="auto"/>
        </w:rPr>
        <w:t>proceedings, to maintain a stock ledger and prepare lists of stockholders and their addresses as required, to be custodian of corporate records and the corporate seal and to affix and attest to the same on documents.</w:t>
      </w:r>
    </w:p>
    <w:p>
      <w:pPr>
        <w:spacing w:after="0" w:line="73" w:lineRule="exact"/>
        <w:rPr>
          <w:sz w:val="20"/>
          <w:szCs w:val="20"/>
          <w:color w:val="auto"/>
        </w:rPr>
      </w:pPr>
    </w:p>
    <w:p>
      <w:pPr>
        <w:ind w:right="120" w:firstLine="1276"/>
        <w:spacing w:after="0" w:line="364" w:lineRule="auto"/>
        <w:rPr>
          <w:sz w:val="20"/>
          <w:szCs w:val="20"/>
          <w:color w:val="auto"/>
        </w:rPr>
      </w:pPr>
      <w:r>
        <w:rPr>
          <w:rFonts w:ascii="Arial" w:cs="Arial" w:eastAsia="Arial" w:hAnsi="Arial"/>
          <w:sz w:val="14"/>
          <w:szCs w:val="14"/>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2" w:lineRule="exact"/>
        <w:rPr>
          <w:sz w:val="20"/>
          <w:szCs w:val="20"/>
          <w:color w:val="auto"/>
        </w:rPr>
      </w:pPr>
    </w:p>
    <w:p>
      <w:pPr>
        <w:ind w:right="340" w:firstLine="1276"/>
        <w:spacing w:after="0" w:line="266" w:lineRule="auto"/>
        <w:rPr>
          <w:sz w:val="20"/>
          <w:szCs w:val="20"/>
          <w:color w:val="auto"/>
        </w:rPr>
      </w:pPr>
      <w:r>
        <w:rPr>
          <w:rFonts w:ascii="Arial" w:cs="Arial" w:eastAsia="Arial" w:hAnsi="Arial"/>
          <w:sz w:val="18"/>
          <w:szCs w:val="18"/>
          <w:color w:val="auto"/>
        </w:rPr>
        <w:t>In the absence of the Secretary or any Assistant Secretary at any meeting of stockholders or directors, the chairman of the meeting shall designate a temporary secretary to keep a record of the meeting.</w:t>
      </w:r>
    </w:p>
    <w:p>
      <w:pPr>
        <w:spacing w:after="0" w:line="73" w:lineRule="exact"/>
        <w:rPr>
          <w:sz w:val="20"/>
          <w:szCs w:val="20"/>
          <w:color w:val="auto"/>
        </w:rPr>
      </w:pPr>
    </w:p>
    <w:p>
      <w:pPr>
        <w:ind w:right="40" w:firstLine="1276"/>
        <w:spacing w:after="0" w:line="250"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Treasurer and Assistant Treasurers</w:t>
      </w:r>
      <w:r>
        <w:rPr>
          <w:rFonts w:ascii="Arial" w:cs="Arial" w:eastAsia="Arial" w:hAnsi="Arial"/>
          <w:sz w:val="18"/>
          <w:szCs w:val="18"/>
          <w:color w:val="auto"/>
        </w:rPr>
        <w:t>.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89" w:lineRule="exact"/>
        <w:rPr>
          <w:sz w:val="20"/>
          <w:szCs w:val="20"/>
          <w:color w:val="auto"/>
        </w:rPr>
      </w:pPr>
    </w:p>
    <w:p>
      <w:pPr>
        <w:ind w:right="140" w:firstLine="1276"/>
        <w:spacing w:after="0" w:line="364" w:lineRule="auto"/>
        <w:rPr>
          <w:sz w:val="20"/>
          <w:szCs w:val="20"/>
          <w:color w:val="auto"/>
        </w:rPr>
      </w:pPr>
      <w:r>
        <w:rPr>
          <w:rFonts w:ascii="Arial" w:cs="Arial" w:eastAsia="Arial" w:hAnsi="Arial"/>
          <w:sz w:val="14"/>
          <w:szCs w:val="14"/>
          <w:color w:val="auto"/>
        </w:rPr>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12" w:lineRule="exact"/>
        <w:rPr>
          <w:sz w:val="20"/>
          <w:szCs w:val="20"/>
          <w:color w:val="auto"/>
        </w:rPr>
      </w:pPr>
    </w:p>
    <w:p>
      <w:pPr>
        <w:ind w:right="140" w:firstLine="1276"/>
        <w:spacing w:after="0" w:line="266"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Salaries</w:t>
      </w:r>
      <w:r>
        <w:rPr>
          <w:rFonts w:ascii="Arial" w:cs="Arial" w:eastAsia="Arial" w:hAnsi="Arial"/>
          <w:sz w:val="18"/>
          <w:szCs w:val="18"/>
          <w:color w:val="auto"/>
        </w:rPr>
        <w:t>. Officers of the corporation shall be entitled to such salaries, compensation or reimbursement as shall be fixed or allowed from time to time by the Board of Directors.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4 - Capital Stock</w:t>
      </w:r>
    </w:p>
    <w:p>
      <w:pPr>
        <w:spacing w:after="0" w:line="112" w:lineRule="exact"/>
        <w:rPr>
          <w:sz w:val="20"/>
          <w:szCs w:val="20"/>
          <w:color w:val="auto"/>
        </w:rPr>
      </w:pPr>
    </w:p>
    <w:p>
      <w:pPr>
        <w:jc w:val="both"/>
        <w:ind w:right="20" w:firstLine="1276"/>
        <w:spacing w:after="0" w:line="25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Issuance of Stock</w:t>
      </w:r>
      <w:r>
        <w:rPr>
          <w:rFonts w:ascii="Arial" w:cs="Arial" w:eastAsia="Arial" w:hAnsi="Arial"/>
          <w:sz w:val="18"/>
          <w:szCs w:val="18"/>
          <w:color w:val="auto"/>
        </w:rPr>
        <w:t>. Unless otherwise voted by the stockholders and subject to the provisions of the Certificate of Incorporation, the whole or any part of any unissued balance of the authorized capital stock of the corporation or the whole or any part of any unissued balance of the authorized capital stock of the corporation held in its treasury may be issued, sold, transferred or otherwise disposed of by vote of the Board of Directors in such manner, for such consideration and on such terms as the Board of Directors may determine.</w:t>
      </w:r>
    </w:p>
    <w:p>
      <w:pPr>
        <w:spacing w:after="0" w:line="85" w:lineRule="exact"/>
        <w:rPr>
          <w:sz w:val="20"/>
          <w:szCs w:val="20"/>
          <w:color w:val="auto"/>
        </w:rPr>
      </w:pPr>
    </w:p>
    <w:p>
      <w:pPr>
        <w:ind w:firstLine="1276"/>
        <w:spacing w:after="0" w:line="24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Stock Certificates; Uncertificated Shares</w:t>
      </w:r>
      <w:r>
        <w:rPr>
          <w:rFonts w:ascii="Arial" w:cs="Arial" w:eastAsia="Arial" w:hAnsi="Arial"/>
          <w:sz w:val="18"/>
          <w:szCs w:val="18"/>
          <w:color w:val="auto"/>
        </w:rPr>
        <w:t>. The shares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 by or in the name of any two officers of the corporation, each of whom is an authorized officer for this purpose.</w:t>
      </w:r>
    </w:p>
    <w:p>
      <w:pPr>
        <w:spacing w:after="0" w:line="92" w:lineRule="exact"/>
        <w:rPr>
          <w:sz w:val="20"/>
          <w:szCs w:val="20"/>
          <w:color w:val="auto"/>
        </w:rPr>
      </w:pPr>
    </w:p>
    <w:p>
      <w:pPr>
        <w:ind w:right="40" w:firstLine="1276"/>
        <w:spacing w:after="0" w:line="303" w:lineRule="auto"/>
        <w:rPr>
          <w:sz w:val="20"/>
          <w:szCs w:val="20"/>
          <w:color w:val="auto"/>
        </w:rPr>
      </w:pPr>
      <w:r>
        <w:rPr>
          <w:rFonts w:ascii="Arial" w:cs="Arial" w:eastAsia="Arial" w:hAnsi="Arial"/>
          <w:sz w:val="16"/>
          <w:szCs w:val="16"/>
          <w:color w:val="auto"/>
        </w:rPr>
        <w:t>Each certificate representing shares of stock that are subject to any restriction on transfer pursuant to the Certificate of Incorporation, the By-laws, applicable securities laws or any agreement among any number of shareholders or among such holders and the corporation shall have conspicuously noted on the face or back of the certificate either the full text of the restriction or a statement of the existence of such restriction.</w:t>
      </w:r>
    </w:p>
    <w:p>
      <w:pPr>
        <w:spacing w:after="0" w:line="48" w:lineRule="exact"/>
        <w:rPr>
          <w:sz w:val="20"/>
          <w:szCs w:val="20"/>
          <w:color w:val="auto"/>
        </w:rPr>
      </w:pPr>
    </w:p>
    <w:p>
      <w:pPr>
        <w:ind w:right="120" w:firstLine="1356"/>
        <w:spacing w:after="0" w:line="294" w:lineRule="auto"/>
        <w:rPr>
          <w:sz w:val="20"/>
          <w:szCs w:val="20"/>
          <w:color w:val="auto"/>
        </w:rPr>
      </w:pPr>
      <w:r>
        <w:rPr>
          <w:rFonts w:ascii="Arial" w:cs="Arial" w:eastAsia="Arial" w:hAnsi="Arial"/>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91" w:right="339" w:bottom="1440" w:gutter="0" w:footer="0" w:header="0"/>
        </w:sectPr>
      </w:pPr>
    </w:p>
    <w:bookmarkStart w:id="127" w:name="page128"/>
    <w:bookmarkEnd w:id="127"/>
    <w:p>
      <w:pPr>
        <w:ind w:right="60"/>
        <w:spacing w:after="0" w:line="256" w:lineRule="auto"/>
        <w:rPr>
          <w:sz w:val="20"/>
          <w:szCs w:val="20"/>
          <w:color w:val="auto"/>
        </w:rPr>
      </w:pPr>
      <w:r>
        <w:rPr>
          <w:rFonts w:ascii="Arial" w:cs="Arial" w:eastAsia="Arial" w:hAnsi="Arial"/>
          <w:sz w:val="18"/>
          <w:szCs w:val="18"/>
          <w:color w:val="auto"/>
        </w:rPr>
        <w:t>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82" w:lineRule="exact"/>
        <w:rPr>
          <w:sz w:val="20"/>
          <w:szCs w:val="20"/>
          <w:color w:val="auto"/>
        </w:rPr>
      </w:pPr>
    </w:p>
    <w:p>
      <w:pPr>
        <w:ind w:right="220" w:firstLine="1276"/>
        <w:spacing w:after="0" w:line="250" w:lineRule="auto"/>
        <w:rPr>
          <w:sz w:val="20"/>
          <w:szCs w:val="20"/>
          <w:color w:val="auto"/>
        </w:rPr>
      </w:pPr>
      <w:r>
        <w:rPr>
          <w:rFonts w:ascii="Arial" w:cs="Arial" w:eastAsia="Arial" w:hAnsi="Arial"/>
          <w:sz w:val="18"/>
          <w:szCs w:val="18"/>
          <w:color w:val="auto"/>
        </w:rPr>
        <w:t>Within a reasonable time after the issuance or transfer of uncertificated shares, the registered owner thereof shall be given a notice, in writing or by electronic transmission, containing the information required to be set forth or stated on certificates pursuant to Sections 151, 156, 202(a) or 218(a) of the General Corporation Law of the State of Delaware or, with respect to Section 151 of the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89" w:lineRule="exact"/>
        <w:rPr>
          <w:sz w:val="20"/>
          <w:szCs w:val="20"/>
          <w:color w:val="auto"/>
        </w:rPr>
      </w:pPr>
    </w:p>
    <w:p>
      <w:pPr>
        <w:ind w:firstLine="1276"/>
        <w:spacing w:after="0" w:line="283"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Transfers</w:t>
      </w:r>
      <w:r>
        <w:rPr>
          <w:rFonts w:ascii="Arial" w:cs="Arial" w:eastAsia="Arial" w:hAnsi="Arial"/>
          <w:sz w:val="16"/>
          <w:szCs w:val="16"/>
          <w:color w:val="auto"/>
        </w:rPr>
        <w:t>. 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Uncertificated shares may be transferred by delivery of a written assignment or power of attorney properly executed, and with such proof of authority or the authenticity of signature as the corporation or its transfer agent may reasonably require. Except as may be otherwise required by law, the Certificate of Incorporation or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64" w:lineRule="exact"/>
        <w:rPr>
          <w:sz w:val="20"/>
          <w:szCs w:val="20"/>
          <w:color w:val="auto"/>
        </w:rPr>
      </w:pPr>
    </w:p>
    <w:p>
      <w:pPr>
        <w:ind w:right="40" w:firstLine="1276"/>
        <w:spacing w:after="0" w:line="25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or uncertificated shares in place of any previously issued certificate alleged to have been lost, stolen, or destroyed, upon such terms and conditions as the corporation may prescribe, including the presentation of reasonable evidence of such loss, theft or destruction and the giving of such indemnity and posting of such bond as the corporation may require for the protection of the corporation or any transfer agent or registrar.</w:t>
      </w:r>
    </w:p>
    <w:p>
      <w:pPr>
        <w:spacing w:after="0" w:line="85" w:lineRule="exact"/>
        <w:rPr>
          <w:sz w:val="20"/>
          <w:szCs w:val="20"/>
          <w:color w:val="auto"/>
        </w:rPr>
      </w:pPr>
    </w:p>
    <w:p>
      <w:pPr>
        <w:ind w:right="160" w:firstLine="1276"/>
        <w:spacing w:after="0" w:line="26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Regulations</w:t>
      </w:r>
      <w:r>
        <w:rPr>
          <w:rFonts w:ascii="Arial" w:cs="Arial" w:eastAsia="Arial" w:hAnsi="Arial"/>
          <w:sz w:val="18"/>
          <w:szCs w:val="18"/>
          <w:color w:val="auto"/>
        </w:rPr>
        <w:t>. The issue, transfer, conversion and registration of shares of stock of the corporation shall be governed by such other regulations as the Board of Directors may establish.</w:t>
      </w:r>
    </w:p>
    <w:p>
      <w:pPr>
        <w:spacing w:after="0" w:line="73" w:lineRule="exact"/>
        <w:rPr>
          <w:sz w:val="20"/>
          <w:szCs w:val="20"/>
          <w:color w:val="auto"/>
        </w:rPr>
      </w:pPr>
    </w:p>
    <w:p>
      <w:pPr>
        <w:ind w:right="40" w:firstLine="1276"/>
        <w:spacing w:after="0" w:line="24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Record Date for Purposes Other Than Stockholder Meetings</w:t>
      </w:r>
      <w:r>
        <w:rPr>
          <w:rFonts w:ascii="Arial" w:cs="Arial" w:eastAsia="Arial" w:hAnsi="Arial"/>
          <w:sz w:val="18"/>
          <w:szCs w:val="18"/>
          <w:color w:val="auto"/>
        </w:rPr>
        <w:t>. In order that the corporation may determine the stockholders entitled to receive payment of any dividend or other distribution or allotment of any rights, entitled to exercise any rights in respect of any change, conversion or exchange of stock, or for the purpose of any other lawful action (other than with respect to determining stockholders entitled to notice of and/or to vote at a meeting of stockholders which is addressed in Section 1.4 of these By-laws), the Board of Directors may fix a record date, which shall not precede the date upon which the resolution fixing the record date is adopted, and which record date shall not be more than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92" w:lineRule="exact"/>
        <w:rPr>
          <w:sz w:val="20"/>
          <w:szCs w:val="20"/>
          <w:color w:val="auto"/>
        </w:rPr>
      </w:pPr>
    </w:p>
    <w:p>
      <w:pPr>
        <w:ind w:left="5240"/>
        <w:spacing w:after="0"/>
        <w:rPr>
          <w:sz w:val="20"/>
          <w:szCs w:val="20"/>
          <w:color w:val="auto"/>
        </w:rPr>
      </w:pPr>
      <w:r>
        <w:rPr>
          <w:rFonts w:ascii="Arial" w:cs="Arial" w:eastAsia="Arial" w:hAnsi="Arial"/>
          <w:sz w:val="18"/>
          <w:szCs w:val="18"/>
          <w:u w:val="single" w:color="auto"/>
          <w:color w:val="auto"/>
        </w:rPr>
        <w:t>ARTICLE 5 - General Provisions</w:t>
      </w:r>
    </w:p>
    <w:p>
      <w:pPr>
        <w:spacing w:after="0" w:line="112" w:lineRule="exact"/>
        <w:rPr>
          <w:sz w:val="20"/>
          <w:szCs w:val="20"/>
          <w:color w:val="auto"/>
        </w:rPr>
      </w:pPr>
    </w:p>
    <w:p>
      <w:pPr>
        <w:ind w:right="280" w:firstLine="1276"/>
        <w:spacing w:after="0" w:line="26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Fiscal Year</w:t>
      </w:r>
      <w:r>
        <w:rPr>
          <w:rFonts w:ascii="Arial" w:cs="Arial" w:eastAsia="Arial" w:hAnsi="Arial"/>
          <w:sz w:val="18"/>
          <w:szCs w:val="18"/>
          <w:color w:val="auto"/>
        </w:rPr>
        <w:t>. Except as from time to time otherwise designated by the Board of Directors, the fiscal year of the corporation shall begin on the first day of January in each year and end on the last day of December in each year.</w:t>
      </w:r>
    </w:p>
    <w:p>
      <w:pPr>
        <w:spacing w:after="0" w:line="73"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4"/>
          <w:szCs w:val="14"/>
          <w:u w:val="single" w:color="auto"/>
          <w:color w:val="auto"/>
        </w:rPr>
        <w:t>Corporate Seal</w:t>
      </w:r>
      <w:r>
        <w:rPr>
          <w:rFonts w:ascii="Arial" w:cs="Arial" w:eastAsia="Arial" w:hAnsi="Arial"/>
          <w:sz w:val="14"/>
          <w:szCs w:val="14"/>
          <w:color w:val="auto"/>
        </w:rPr>
        <w:t>. The corporate seal shall be in such form as shall be approved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991" w:right="359" w:bottom="1440" w:gutter="0" w:footer="0" w:header="0"/>
        </w:sectPr>
      </w:pPr>
    </w:p>
    <w:bookmarkStart w:id="128" w:name="page129"/>
    <w:bookmarkEnd w:id="128"/>
    <w:p>
      <w:pPr>
        <w:ind w:firstLine="1276"/>
        <w:spacing w:after="0" w:line="250"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notice is required to be given by law, the Certificate of Incorporation or these By-laws, a written waiver signed by the person entitled to notice, or a waiver by electronic transmission by the person entitled to notice, whether provided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89" w:lineRule="exact"/>
        <w:rPr>
          <w:sz w:val="20"/>
          <w:szCs w:val="20"/>
          <w:color w:val="auto"/>
        </w:rPr>
      </w:pPr>
    </w:p>
    <w:p>
      <w:pPr>
        <w:ind w:right="340" w:firstLine="1276"/>
        <w:spacing w:after="0" w:line="26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Voting of Securities</w:t>
      </w:r>
      <w:r>
        <w:rPr>
          <w:rFonts w:ascii="Arial" w:cs="Arial" w:eastAsia="Arial" w:hAnsi="Arial"/>
          <w:sz w:val="17"/>
          <w:szCs w:val="17"/>
          <w:color w:val="auto"/>
        </w:rPr>
        <w:t>. Except as the Board of Directors may otherwise designate, the Chief Executive Officer, the President, the Secretary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 or with respect to the execution of any written or electronic consent in the name of the corporation as a holder of such securities.</w:t>
      </w:r>
    </w:p>
    <w:p>
      <w:pPr>
        <w:spacing w:after="0" w:line="75" w:lineRule="exact"/>
        <w:rPr>
          <w:sz w:val="20"/>
          <w:szCs w:val="20"/>
          <w:color w:val="auto"/>
        </w:rPr>
      </w:pPr>
    </w:p>
    <w:p>
      <w:pPr>
        <w:ind w:right="40" w:firstLine="1276"/>
        <w:spacing w:after="0" w:line="25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Evidence of Authority</w:t>
      </w:r>
      <w:r>
        <w:rPr>
          <w:rFonts w:ascii="Arial" w:cs="Arial" w:eastAsia="Arial" w:hAnsi="Arial"/>
          <w:sz w:val="18"/>
          <w:szCs w:val="18"/>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82" w:lineRule="exact"/>
        <w:rPr>
          <w:sz w:val="20"/>
          <w:szCs w:val="20"/>
          <w:color w:val="auto"/>
        </w:rPr>
      </w:pPr>
    </w:p>
    <w:p>
      <w:pPr>
        <w:ind w:right="420" w:firstLine="1276"/>
        <w:spacing w:after="0" w:line="25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All references in these By-laws to the Certificate of Incorporation shall be deemed to refer to the Certificate of Incorporation of the corporation, as amended and/or restated and in effect from time to time, including the terms of any certificate of designations of any series of preferred stock.</w:t>
      </w:r>
    </w:p>
    <w:p>
      <w:pPr>
        <w:spacing w:after="0" w:line="82" w:lineRule="exact"/>
        <w:rPr>
          <w:sz w:val="20"/>
          <w:szCs w:val="20"/>
          <w:color w:val="auto"/>
        </w:rPr>
      </w:pPr>
    </w:p>
    <w:p>
      <w:pPr>
        <w:ind w:right="120" w:firstLine="1276"/>
        <w:spacing w:after="0" w:line="290"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Transactions with Interested Parties</w:t>
      </w:r>
      <w:r>
        <w:rPr>
          <w:rFonts w:ascii="Arial" w:cs="Arial" w:eastAsia="Arial" w:hAnsi="Arial"/>
          <w:sz w:val="16"/>
          <w:szCs w:val="16"/>
          <w:color w:val="auto"/>
        </w:rPr>
        <w:t>. Except as otherwise specified by the Board of Directors, no contract or transaction between the corporation and one or more of the directors or officers, or between the corporation and any other corporation, partnership, association, or other organization in which one or more of the directors or officers are directors or officers, or have a financial interest, shall be void or voidable solely for this reason, or solely because the director or officer is present at or participates in the meeting of the Board of Directors or a committee of the Board of Directors which authorizes the contract or transaction or solely because votes of the director or officer are counted for such purpose, if:</w:t>
      </w:r>
    </w:p>
    <w:p>
      <w:pPr>
        <w:spacing w:after="0" w:line="58" w:lineRule="exact"/>
        <w:rPr>
          <w:sz w:val="20"/>
          <w:szCs w:val="20"/>
          <w:color w:val="auto"/>
        </w:rPr>
      </w:pPr>
    </w:p>
    <w:p>
      <w:pPr>
        <w:ind w:right="100" w:firstLine="2719"/>
        <w:spacing w:after="0" w:line="278" w:lineRule="auto"/>
        <w:tabs>
          <w:tab w:leader="none" w:pos="318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material facts as to the director’s or officer’s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w:t>
      </w:r>
    </w:p>
    <w:p>
      <w:pPr>
        <w:spacing w:after="0" w:line="65" w:lineRule="exact"/>
        <w:rPr>
          <w:rFonts w:ascii="Arial" w:cs="Arial" w:eastAsia="Arial" w:hAnsi="Arial"/>
          <w:sz w:val="17"/>
          <w:szCs w:val="17"/>
          <w:color w:val="auto"/>
        </w:rPr>
      </w:pPr>
    </w:p>
    <w:p>
      <w:pPr>
        <w:ind w:right="100" w:firstLine="2719"/>
        <w:spacing w:after="0" w:line="256" w:lineRule="auto"/>
        <w:tabs>
          <w:tab w:leader="none" w:pos="31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w:t>
      </w:r>
    </w:p>
    <w:p>
      <w:pPr>
        <w:spacing w:after="0" w:line="82" w:lineRule="exact"/>
        <w:rPr>
          <w:rFonts w:ascii="Arial" w:cs="Arial" w:eastAsia="Arial" w:hAnsi="Arial"/>
          <w:sz w:val="18"/>
          <w:szCs w:val="18"/>
          <w:color w:val="auto"/>
        </w:rPr>
      </w:pPr>
    </w:p>
    <w:p>
      <w:pPr>
        <w:ind w:right="100" w:firstLine="2719"/>
        <w:spacing w:after="0" w:line="266" w:lineRule="auto"/>
        <w:tabs>
          <w:tab w:leader="none" w:pos="31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contract or transaction is fair as to the corporation as of the time it is authorized, approved or ratified/by the Board of Directors, a committee of the Board of Directors, or the stockholders.</w:t>
      </w:r>
    </w:p>
    <w:p>
      <w:pPr>
        <w:spacing w:after="0" w:line="73" w:lineRule="exact"/>
        <w:rPr>
          <w:sz w:val="20"/>
          <w:szCs w:val="20"/>
          <w:color w:val="auto"/>
        </w:rPr>
      </w:pPr>
    </w:p>
    <w:p>
      <w:pPr>
        <w:ind w:right="360" w:firstLine="1276"/>
        <w:spacing w:after="0" w:line="266" w:lineRule="auto"/>
        <w:rPr>
          <w:sz w:val="20"/>
          <w:szCs w:val="20"/>
          <w:color w:val="auto"/>
        </w:rPr>
      </w:pPr>
      <w:r>
        <w:rPr>
          <w:rFonts w:ascii="Arial" w:cs="Arial" w:eastAsia="Arial" w:hAnsi="Arial"/>
          <w:sz w:val="18"/>
          <w:szCs w:val="18"/>
          <w:color w:val="auto"/>
        </w:rPr>
        <w:t>Common or interested directors may be counted in determining the presence of a quorum at a meeting of the Board of Directors or of a committee which authorizes the contract or transaction.</w:t>
      </w:r>
    </w:p>
    <w:p>
      <w:pPr>
        <w:spacing w:after="0" w:line="73" w:lineRule="exact"/>
        <w:rPr>
          <w:sz w:val="20"/>
          <w:szCs w:val="20"/>
          <w:color w:val="auto"/>
        </w:rPr>
      </w:pPr>
    </w:p>
    <w:p>
      <w:pPr>
        <w:ind w:right="160" w:firstLine="1276"/>
        <w:spacing w:after="0" w:line="26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Severability</w:t>
      </w:r>
      <w:r>
        <w:rPr>
          <w:rFonts w:ascii="Arial" w:cs="Arial" w:eastAsia="Arial" w:hAnsi="Arial"/>
          <w:sz w:val="18"/>
          <w:szCs w:val="18"/>
          <w:color w:val="auto"/>
        </w:rPr>
        <w:t>. Any determination that any provision of these By-laws is for any reason inapplicable, illegal or ineffective shall not affect or invalidate any other provision of these By-laws.</w:t>
      </w:r>
    </w:p>
    <w:p>
      <w:pPr>
        <w:spacing w:after="0" w:line="73" w:lineRule="exact"/>
        <w:rPr>
          <w:sz w:val="20"/>
          <w:szCs w:val="20"/>
          <w:color w:val="auto"/>
        </w:rPr>
      </w:pPr>
    </w:p>
    <w:p>
      <w:pPr>
        <w:ind w:right="140" w:firstLine="1276"/>
        <w:spacing w:after="0" w:line="266"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Pronouns</w:t>
      </w:r>
      <w:r>
        <w:rPr>
          <w:rFonts w:ascii="Arial" w:cs="Arial" w:eastAsia="Arial" w:hAnsi="Arial"/>
          <w:sz w:val="18"/>
          <w:szCs w:val="18"/>
          <w:color w:val="auto"/>
        </w:rPr>
        <w:t>. All pronouns used in these By-laws shall be deemed to refer to the masculine, feminine or neuter, singular or plural, as the identity of the person or persons may require.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991" w:right="359" w:bottom="1440" w:gutter="0" w:footer="0" w:header="0"/>
        </w:sectPr>
      </w:pPr>
    </w:p>
    <w:bookmarkStart w:id="129" w:name="page130"/>
    <w:bookmarkEnd w:id="129"/>
    <w:p>
      <w:pPr>
        <w:ind w:left="1280"/>
        <w:spacing w:after="0"/>
        <w:tabs>
          <w:tab w:leader="none" w:pos="190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Exclusive Forum</w:t>
      </w:r>
      <w:r>
        <w:rPr>
          <w:rFonts w:ascii="Arial" w:cs="Arial" w:eastAsia="Arial" w:hAnsi="Arial"/>
          <w:sz w:val="16"/>
          <w:szCs w:val="16"/>
          <w:color w:val="auto"/>
        </w:rPr>
        <w:t>.</w:t>
      </w:r>
    </w:p>
    <w:p>
      <w:pPr>
        <w:spacing w:after="0" w:line="112" w:lineRule="exact"/>
        <w:rPr>
          <w:sz w:val="20"/>
          <w:szCs w:val="20"/>
          <w:color w:val="auto"/>
        </w:rPr>
      </w:pPr>
    </w:p>
    <w:p>
      <w:pPr>
        <w:ind w:right="140" w:firstLine="1921"/>
        <w:spacing w:after="0" w:line="279" w:lineRule="auto"/>
        <w:tabs>
          <w:tab w:leader="none" w:pos="2550" w:val="left"/>
        </w:tabs>
        <w:numPr>
          <w:ilvl w:val="1"/>
          <w:numId w:val="75"/>
        </w:numPr>
        <w:rPr>
          <w:rFonts w:ascii="Arial" w:cs="Arial" w:eastAsia="Arial" w:hAnsi="Arial"/>
          <w:sz w:val="16"/>
          <w:szCs w:val="16"/>
          <w:color w:val="auto"/>
        </w:rPr>
      </w:pPr>
      <w:r>
        <w:rPr>
          <w:rFonts w:ascii="Arial" w:cs="Arial" w:eastAsia="Arial" w:hAnsi="Arial"/>
          <w:sz w:val="16"/>
          <w:szCs w:val="16"/>
          <w:color w:val="auto"/>
        </w:rPr>
        <w:t>Unless the corporation consents in writing to the selection of an alternative forum, the Court of Chancery of the State of Delaware (or, if the Court of Chancery of the State of Delaware does not have jurisdiction, the federal district court for the District of Delaware) shall, to the fullest extent permitted by law, be the sole and exclusive forum for: (i) any derivative action or proceeding brought on behalf of the corporation, (ii) any action asserting a claim of breach of a fiduciary duty owed by any current or former director, officer, other employee or stockholder of the corporation to the corporation or the corporation’s stockholders, (iii) any action asserting a claim arising pursuant to any provision of the General Corporation Law of the State of Delaware or as to which the General Corporation Law of the State of Delaware confers jurisdiction on the Court of Chancery of the State of Delaware, or</w:t>
      </w:r>
    </w:p>
    <w:p>
      <w:pPr>
        <w:spacing w:after="0" w:line="4" w:lineRule="exact"/>
        <w:rPr>
          <w:rFonts w:ascii="Arial" w:cs="Arial" w:eastAsia="Arial" w:hAnsi="Arial"/>
          <w:sz w:val="16"/>
          <w:szCs w:val="16"/>
          <w:color w:val="auto"/>
        </w:rPr>
      </w:pPr>
    </w:p>
    <w:p>
      <w:pPr>
        <w:ind w:right="120" w:firstLine="6"/>
        <w:spacing w:after="0" w:line="250" w:lineRule="auto"/>
        <w:tabs>
          <w:tab w:leader="none" w:pos="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Certificate of Incorporation or these By-laws (in each case, as they may be amended from time to time) or governed by the internal affairs doctrine. This Section 5.10(a) does not apply to claims arising under the Securities Act of 1933 or the Securities Exchange Act of 1934 or any other claim for which the federal courts have exclusive jurisdiction.</w:t>
      </w:r>
    </w:p>
    <w:p>
      <w:pPr>
        <w:spacing w:after="0" w:line="86" w:lineRule="exact"/>
        <w:rPr>
          <w:rFonts w:ascii="Arial" w:cs="Arial" w:eastAsia="Arial" w:hAnsi="Arial"/>
          <w:sz w:val="18"/>
          <w:szCs w:val="18"/>
          <w:color w:val="auto"/>
        </w:rPr>
      </w:pPr>
    </w:p>
    <w:p>
      <w:pPr>
        <w:jc w:val="both"/>
        <w:ind w:right="20" w:firstLine="1921"/>
        <w:spacing w:after="0" w:line="256" w:lineRule="auto"/>
        <w:tabs>
          <w:tab w:leader="none" w:pos="2547" w:val="left"/>
        </w:tabs>
        <w:numPr>
          <w:ilvl w:val="1"/>
          <w:numId w:val="76"/>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federal district courts of the United States of America shall, to the fullest extent permitted by law, be the sole and exclusive forum for the resolution of any claims arising under the Securities Act of 1933.</w:t>
      </w:r>
    </w:p>
    <w:p>
      <w:pPr>
        <w:spacing w:after="0" w:line="82" w:lineRule="exact"/>
        <w:rPr>
          <w:rFonts w:ascii="Arial" w:cs="Arial" w:eastAsia="Arial" w:hAnsi="Arial"/>
          <w:sz w:val="18"/>
          <w:szCs w:val="18"/>
          <w:color w:val="auto"/>
        </w:rPr>
      </w:pPr>
    </w:p>
    <w:p>
      <w:pPr>
        <w:ind w:firstLine="1921"/>
        <w:spacing w:after="0" w:line="266" w:lineRule="auto"/>
        <w:tabs>
          <w:tab w:leader="none" w:pos="255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person or entity purchasing or otherwise acquiring or holding any interest in shares of capital stock of the corporation shall be deemed to have notice of and consented to the provisions of this Section 5.10.</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6 - Amendments</w:t>
      </w:r>
    </w:p>
    <w:p>
      <w:pPr>
        <w:spacing w:after="0" w:line="112" w:lineRule="exact"/>
        <w:rPr>
          <w:sz w:val="20"/>
          <w:szCs w:val="20"/>
          <w:color w:val="auto"/>
        </w:rPr>
      </w:pPr>
    </w:p>
    <w:p>
      <w:pPr>
        <w:ind w:right="80" w:firstLine="1276"/>
        <w:spacing w:after="0" w:line="29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By the Board of Directors</w:t>
      </w:r>
      <w:r>
        <w:rPr>
          <w:rFonts w:ascii="Arial" w:cs="Arial" w:eastAsia="Arial" w:hAnsi="Arial"/>
          <w:sz w:val="17"/>
          <w:szCs w:val="17"/>
          <w:color w:val="auto"/>
        </w:rPr>
        <w:t>. These By-laws may be altered, amended or repealed or new by-laws may be adopted by the affirmative vote of a majority of the directors present at any regular or special meeting of the Board of Directors at which a quorum is present.</w:t>
      </w:r>
    </w:p>
    <w:p>
      <w:pPr>
        <w:spacing w:after="0" w:line="50" w:lineRule="exact"/>
        <w:rPr>
          <w:sz w:val="20"/>
          <w:szCs w:val="20"/>
          <w:color w:val="auto"/>
        </w:rPr>
      </w:pPr>
    </w:p>
    <w:p>
      <w:pPr>
        <w:ind w:right="120" w:firstLine="1276"/>
        <w:spacing w:after="0" w:line="29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By the Stockholders</w:t>
      </w:r>
      <w:r>
        <w:rPr>
          <w:rFonts w:ascii="Arial" w:cs="Arial" w:eastAsia="Arial" w:hAnsi="Arial"/>
          <w:sz w:val="16"/>
          <w:szCs w:val="16"/>
          <w:color w:val="auto"/>
        </w:rPr>
        <w:t>. Subject to the following paragraph, these By-laws may be altered, amended or repealed or new by-laws may be adopted by the affirmative vote of the holders of shares representing a majority of the votes which all of the stockholders would be entitled to cast at any election of directors or class of directors (other than an election of the Class A Director) at any regular meeting of stockholders, or at any special meeting of stockholders, provided notice of such alteration, amendment, repeal or adoption of new by-laws shall have been stated in the notice of such special meeting.</w:t>
      </w:r>
    </w:p>
    <w:p>
      <w:pPr>
        <w:spacing w:after="0" w:line="56" w:lineRule="exact"/>
        <w:rPr>
          <w:sz w:val="20"/>
          <w:szCs w:val="20"/>
          <w:color w:val="auto"/>
        </w:rPr>
      </w:pPr>
    </w:p>
    <w:p>
      <w:pPr>
        <w:ind w:right="80" w:firstLine="1276"/>
        <w:spacing w:after="0" w:line="251" w:lineRule="auto"/>
        <w:rPr>
          <w:sz w:val="20"/>
          <w:szCs w:val="20"/>
          <w:color w:val="auto"/>
        </w:rPr>
      </w:pPr>
      <w:r>
        <w:rPr>
          <w:rFonts w:ascii="Arial" w:cs="Arial" w:eastAsia="Arial" w:hAnsi="Arial"/>
          <w:sz w:val="18"/>
          <w:szCs w:val="18"/>
          <w:color w:val="auto"/>
        </w:rPr>
        <w:t>Notwithstanding any other provision of law, the Certificate of Incorporation or these By-laws (including the preceding paragraph), and notwithstanding the fact that a lesser percentage may be specified by law, the affirmative vote of the holders of shares representing at least 75% of the votes which all the stockholders would be entitled to cast at any election of directors or class of directors (other than an election of the Class A Director) shall be required to amend or repeal, or to adopt any provision inconsistent with, the provisions of Sections 1.11 or 1.12, the provisions of Article II, or the provisions of this Section 6.2.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9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21.1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Registrant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Name</w:t>
            </w:r>
          </w:p>
        </w:tc>
        <w:tc>
          <w:tcPr>
            <w:tcW w:w="554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 Incorporation</w:t>
            </w:r>
          </w:p>
        </w:tc>
      </w:tr>
      <w:tr>
        <w:trPr>
          <w:trHeight w:val="24"/>
        </w:trPr>
        <w:tc>
          <w:tcPr>
            <w:tcW w:w="5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19"/>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171 Church Street,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AGreen Energy, LLC</w:t>
            </w:r>
          </w:p>
        </w:tc>
        <w:tc>
          <w:tcPr>
            <w:tcW w:w="5540" w:type="dxa"/>
            <w:vAlign w:val="bottom"/>
          </w:tcPr>
          <w:p>
            <w:pPr>
              <w:jc w:val="center"/>
              <w:spacing w:after="0"/>
              <w:rPr>
                <w:sz w:val="20"/>
                <w:szCs w:val="20"/>
                <w:color w:val="auto"/>
              </w:rPr>
            </w:pPr>
            <w:r>
              <w:rPr>
                <w:rFonts w:ascii="Arial" w:cs="Arial" w:eastAsia="Arial" w:hAnsi="Arial"/>
                <w:sz w:val="18"/>
                <w:szCs w:val="18"/>
                <w:color w:val="auto"/>
                <w:w w:val="84"/>
              </w:rPr>
              <w:t>Massachusetts</w:t>
            </w:r>
          </w:p>
        </w:tc>
      </w:tr>
      <w:tr>
        <w:trPr>
          <w:trHeight w:val="227"/>
        </w:trPr>
        <w:tc>
          <w:tcPr>
            <w:tcW w:w="5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All Cycle Waste,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BGreen Energy, LLC</w:t>
            </w:r>
          </w:p>
        </w:tc>
        <w:tc>
          <w:tcPr>
            <w:tcW w:w="5540" w:type="dxa"/>
            <w:vAlign w:val="bottom"/>
          </w:tcPr>
          <w:p>
            <w:pPr>
              <w:jc w:val="center"/>
              <w:spacing w:after="0"/>
              <w:rPr>
                <w:sz w:val="20"/>
                <w:szCs w:val="20"/>
                <w:color w:val="auto"/>
              </w:rPr>
            </w:pPr>
            <w:r>
              <w:rPr>
                <w:rFonts w:ascii="Arial" w:cs="Arial" w:eastAsia="Arial" w:hAnsi="Arial"/>
                <w:sz w:val="18"/>
                <w:szCs w:val="18"/>
                <w:color w:val="auto"/>
                <w:w w:val="84"/>
              </w:rPr>
              <w:t>Massachusetts</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Blow Bros.</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25"/>
        </w:trPr>
        <w:tc>
          <w:tcPr>
            <w:tcW w:w="56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Bristol Waste Management,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C.V. Landfill,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Casella Major Account Services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Casella of Holyoke,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Massachusetts</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Casella Recycling,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Maine</w:t>
            </w:r>
          </w:p>
        </w:tc>
      </w:tr>
      <w:tr>
        <w:trPr>
          <w:trHeight w:val="227"/>
        </w:trPr>
        <w:tc>
          <w:tcPr>
            <w:tcW w:w="5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Casella Transportation,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Casella Waste Management of Massachusetts, Inc.</w:t>
            </w:r>
          </w:p>
        </w:tc>
        <w:tc>
          <w:tcPr>
            <w:tcW w:w="5540" w:type="dxa"/>
            <w:vAlign w:val="bottom"/>
          </w:tcPr>
          <w:p>
            <w:pPr>
              <w:jc w:val="center"/>
              <w:spacing w:after="0"/>
              <w:rPr>
                <w:sz w:val="20"/>
                <w:szCs w:val="20"/>
                <w:color w:val="auto"/>
              </w:rPr>
            </w:pPr>
            <w:r>
              <w:rPr>
                <w:rFonts w:ascii="Arial" w:cs="Arial" w:eastAsia="Arial" w:hAnsi="Arial"/>
                <w:sz w:val="18"/>
                <w:szCs w:val="18"/>
                <w:color w:val="auto"/>
                <w:w w:val="84"/>
              </w:rPr>
              <w:t>Massachusetts</w:t>
            </w:r>
          </w:p>
        </w:tc>
      </w:tr>
      <w:tr>
        <w:trPr>
          <w:trHeight w:val="227"/>
        </w:trPr>
        <w:tc>
          <w:tcPr>
            <w:tcW w:w="5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Casella Waste Management of N.Y.,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Casella Waste Management of Pennsylvania, Inc.</w:t>
            </w:r>
          </w:p>
        </w:tc>
        <w:tc>
          <w:tcPr>
            <w:tcW w:w="5540" w:type="dxa"/>
            <w:vAlign w:val="bottom"/>
          </w:tcPr>
          <w:p>
            <w:pPr>
              <w:jc w:val="center"/>
              <w:spacing w:after="0"/>
              <w:rPr>
                <w:sz w:val="20"/>
                <w:szCs w:val="20"/>
                <w:color w:val="auto"/>
              </w:rPr>
            </w:pPr>
            <w:r>
              <w:rPr>
                <w:rFonts w:ascii="Arial" w:cs="Arial" w:eastAsia="Arial" w:hAnsi="Arial"/>
                <w:sz w:val="18"/>
                <w:szCs w:val="18"/>
                <w:color w:val="auto"/>
                <w:w w:val="87"/>
              </w:rPr>
              <w:t>Pennsylvania</w:t>
            </w:r>
          </w:p>
        </w:tc>
      </w:tr>
      <w:tr>
        <w:trPr>
          <w:trHeight w:val="227"/>
        </w:trPr>
        <w:tc>
          <w:tcPr>
            <w:tcW w:w="5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Casella Waste Management,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Casella Waste Services of Ontario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27"/>
        </w:trPr>
        <w:tc>
          <w:tcPr>
            <w:tcW w:w="5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Chemung Landfill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Evergreen National Indemnity Company</w:t>
            </w:r>
          </w:p>
        </w:tc>
        <w:tc>
          <w:tcPr>
            <w:tcW w:w="5540" w:type="dxa"/>
            <w:vAlign w:val="bottom"/>
          </w:tcPr>
          <w:p>
            <w:pPr>
              <w:jc w:val="center"/>
              <w:spacing w:after="0"/>
              <w:rPr>
                <w:sz w:val="20"/>
                <w:szCs w:val="20"/>
                <w:color w:val="auto"/>
              </w:rPr>
            </w:pPr>
            <w:r>
              <w:rPr>
                <w:rFonts w:ascii="Arial" w:cs="Arial" w:eastAsia="Arial" w:hAnsi="Arial"/>
                <w:sz w:val="18"/>
                <w:szCs w:val="18"/>
                <w:color w:val="auto"/>
                <w:w w:val="89"/>
              </w:rPr>
              <w:t>Ohio</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Forest Acquisitions,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New Hampshire</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Granite State Landfill, LLC</w:t>
            </w:r>
          </w:p>
        </w:tc>
        <w:tc>
          <w:tcPr>
            <w:tcW w:w="5540" w:type="dxa"/>
            <w:vAlign w:val="bottom"/>
          </w:tcPr>
          <w:p>
            <w:pPr>
              <w:jc w:val="center"/>
              <w:spacing w:after="0"/>
              <w:rPr>
                <w:sz w:val="20"/>
                <w:szCs w:val="20"/>
                <w:color w:val="auto"/>
              </w:rPr>
            </w:pPr>
            <w:r>
              <w:rPr>
                <w:rFonts w:ascii="Arial" w:cs="Arial" w:eastAsia="Arial" w:hAnsi="Arial"/>
                <w:sz w:val="18"/>
                <w:szCs w:val="18"/>
                <w:color w:val="auto"/>
                <w:w w:val="89"/>
              </w:rPr>
              <w:t>New Hampshire</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GreenerU,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GroundCo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Hakes C &amp; D Disposal,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Hardwick Landfill, Inc.</w:t>
            </w:r>
          </w:p>
        </w:tc>
        <w:tc>
          <w:tcPr>
            <w:tcW w:w="5540" w:type="dxa"/>
            <w:vAlign w:val="bottom"/>
          </w:tcPr>
          <w:p>
            <w:pPr>
              <w:jc w:val="center"/>
              <w:spacing w:after="0"/>
              <w:rPr>
                <w:sz w:val="20"/>
                <w:szCs w:val="20"/>
                <w:color w:val="auto"/>
              </w:rPr>
            </w:pPr>
            <w:r>
              <w:rPr>
                <w:rFonts w:ascii="Arial" w:cs="Arial" w:eastAsia="Arial" w:hAnsi="Arial"/>
                <w:sz w:val="18"/>
                <w:szCs w:val="18"/>
                <w:color w:val="auto"/>
                <w:w w:val="84"/>
              </w:rPr>
              <w:t>Massachusetts</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Hiram Hollow Regeneration Corp.</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KTI Environmental Group, Inc.</w:t>
            </w:r>
          </w:p>
        </w:tc>
        <w:tc>
          <w:tcPr>
            <w:tcW w:w="5540" w:type="dxa"/>
            <w:vAlign w:val="bottom"/>
          </w:tcPr>
          <w:p>
            <w:pPr>
              <w:jc w:val="center"/>
              <w:spacing w:after="0"/>
              <w:rPr>
                <w:sz w:val="20"/>
                <w:szCs w:val="20"/>
                <w:color w:val="auto"/>
              </w:rPr>
            </w:pPr>
            <w:r>
              <w:rPr>
                <w:rFonts w:ascii="Arial" w:cs="Arial" w:eastAsia="Arial" w:hAnsi="Arial"/>
                <w:sz w:val="18"/>
                <w:szCs w:val="18"/>
                <w:color w:val="auto"/>
                <w:w w:val="87"/>
              </w:rPr>
              <w:t>New Jersey</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KTI Specialty Waste Services,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KTI, Inc.</w:t>
            </w:r>
          </w:p>
        </w:tc>
        <w:tc>
          <w:tcPr>
            <w:tcW w:w="5540" w:type="dxa"/>
            <w:vAlign w:val="bottom"/>
          </w:tcPr>
          <w:p>
            <w:pPr>
              <w:jc w:val="center"/>
              <w:spacing w:after="0"/>
              <w:rPr>
                <w:sz w:val="20"/>
                <w:szCs w:val="20"/>
                <w:color w:val="auto"/>
              </w:rPr>
            </w:pPr>
            <w:r>
              <w:rPr>
                <w:rFonts w:ascii="Arial" w:cs="Arial" w:eastAsia="Arial" w:hAnsi="Arial"/>
                <w:sz w:val="18"/>
                <w:szCs w:val="18"/>
                <w:color w:val="auto"/>
                <w:w w:val="87"/>
              </w:rPr>
              <w:t>New Jersey</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New England Waste Services of ME,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25"/>
        </w:trPr>
        <w:tc>
          <w:tcPr>
            <w:tcW w:w="56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New England Waste Services of N.Y.,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New England Waste Services of Vermont,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New England Waste Services,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Newbury Waste Management,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NEWS of Worcester LLC</w:t>
            </w:r>
          </w:p>
        </w:tc>
        <w:tc>
          <w:tcPr>
            <w:tcW w:w="5540" w:type="dxa"/>
            <w:vAlign w:val="bottom"/>
          </w:tcPr>
          <w:p>
            <w:pPr>
              <w:jc w:val="center"/>
              <w:spacing w:after="0"/>
              <w:rPr>
                <w:sz w:val="20"/>
                <w:szCs w:val="20"/>
                <w:color w:val="auto"/>
              </w:rPr>
            </w:pPr>
            <w:r>
              <w:rPr>
                <w:rFonts w:ascii="Arial" w:cs="Arial" w:eastAsia="Arial" w:hAnsi="Arial"/>
                <w:sz w:val="18"/>
                <w:szCs w:val="18"/>
                <w:color w:val="auto"/>
                <w:w w:val="84"/>
              </w:rPr>
              <w:t>Massachusetts</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NEWSME Landfill Operations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North Country Environmental Services,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6"/>
              </w:rPr>
              <w:t>Virginia</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Northern Properties Corporation of Plattsburgh</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North Rd,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27"/>
        </w:trPr>
        <w:tc>
          <w:tcPr>
            <w:tcW w:w="5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Oxford Transfer Station,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Pine Tree Waste,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Maine</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Portland C&amp;D Site,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Schultz Landfill,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27"/>
        </w:trPr>
        <w:tc>
          <w:tcPr>
            <w:tcW w:w="5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Southbridge Recycling &amp; Disposal Park,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Massachusetts</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Sunderland Waste Management,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TAM,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TAM Organics,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TAM Recycling,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The Hyland Facility Associates</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Tompkins County Recycling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Waste-Stream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Willimantic Waste Paper Co.,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Connecticut</w:t>
            </w:r>
          </w:p>
        </w:tc>
      </w:tr>
    </w:tbl>
    <w:p>
      <w:pPr>
        <w:sectPr>
          <w:pgSz w:w="11900" w:h="16838" w:orient="portrait"/>
          <w:cols w:equalWidth="0" w:num="1">
            <w:col w:w="11240"/>
          </w:cols>
          <w:pgMar w:left="320" w:top="879"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consent to the incorporation by reference in the Registration Statements on Form S-8 (Nos. 333-40267, 333-43537, 333-43539, 333-43541, 333-43543, 333-43635, 333-67487, 333-92735, 333-31022, 333-100553, 333-141038, 333-163645, 333-175010, 333-199685 and 333-214683) and on Form S-3 (Nos. 333-85279, 333-88097, 333-95841, 333-31268, and 333-260602) of Casella Waste Systems, Inc. of our report dated February 17, 2023, relating to the consolidated financial statements, and the effectiveness of internal control over financial reporting of Casella Waste Systems, Inc. and subsidiaries, appearing in this Annual Report on Form 10-K of Casella Waste Systems, Inc. for the year ended December 31,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ectPr>
          <w:pgSz w:w="11900" w:h="16838" w:orient="portrait"/>
          <w:cols w:equalWidth="0" w:num="1">
            <w:col w:w="11240"/>
          </w:cols>
          <w:pgMar w:left="320" w:top="879"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12" w:lineRule="exact"/>
        <w:rPr>
          <w:sz w:val="20"/>
          <w:szCs w:val="20"/>
          <w:color w:val="auto"/>
        </w:rPr>
      </w:pPr>
    </w:p>
    <w:p>
      <w:pPr>
        <w:ind w:left="640" w:hanging="235"/>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Casella Waste Systems, Inc.;</w:t>
      </w:r>
    </w:p>
    <w:p>
      <w:pPr>
        <w:spacing w:after="0" w:line="112" w:lineRule="exact"/>
        <w:rPr>
          <w:rFonts w:ascii="Arial" w:cs="Arial" w:eastAsia="Arial" w:hAnsi="Arial"/>
          <w:sz w:val="18"/>
          <w:szCs w:val="18"/>
          <w:color w:val="auto"/>
        </w:rPr>
      </w:pPr>
    </w:p>
    <w:p>
      <w:pPr>
        <w:jc w:val="center"/>
        <w:ind w:left="400" w:right="40" w:firstLine="5"/>
        <w:spacing w:after="0" w:line="396" w:lineRule="auto"/>
        <w:tabs>
          <w:tab w:leader="none" w:pos="639"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00" w:right="260" w:firstLine="5"/>
        <w:spacing w:after="0" w:line="296" w:lineRule="auto"/>
        <w:tabs>
          <w:tab w:leader="none" w:pos="639"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7"/>
          <w:szCs w:val="17"/>
          <w:color w:val="auto"/>
        </w:rPr>
      </w:pPr>
    </w:p>
    <w:p>
      <w:pPr>
        <w:ind w:left="400" w:right="100" w:firstLine="5"/>
        <w:spacing w:after="0" w:line="256" w:lineRule="auto"/>
        <w:tabs>
          <w:tab w:leader="none" w:pos="639"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jc w:val="both"/>
        <w:ind w:left="400" w:right="80" w:firstLine="484"/>
        <w:spacing w:after="0" w:line="256" w:lineRule="auto"/>
        <w:tabs>
          <w:tab w:leader="none" w:pos="1269"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400" w:right="300" w:firstLine="484"/>
        <w:spacing w:after="0" w:line="256" w:lineRule="auto"/>
        <w:tabs>
          <w:tab w:leader="none" w:pos="1266"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400" w:right="420" w:firstLine="484"/>
        <w:spacing w:after="0" w:line="329" w:lineRule="auto"/>
        <w:tabs>
          <w:tab w:leader="none" w:pos="1269"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6"/>
          <w:szCs w:val="16"/>
          <w:color w:val="auto"/>
        </w:rPr>
      </w:pPr>
    </w:p>
    <w:p>
      <w:pPr>
        <w:ind w:left="400" w:right="20" w:firstLine="484"/>
        <w:spacing w:after="0" w:line="256" w:lineRule="auto"/>
        <w:tabs>
          <w:tab w:leader="none" w:pos="1266"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400" w:right="180" w:firstLine="5"/>
        <w:spacing w:after="0" w:line="329" w:lineRule="auto"/>
        <w:tabs>
          <w:tab w:leader="none" w:pos="639"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6"/>
          <w:szCs w:val="16"/>
          <w:color w:val="auto"/>
        </w:rPr>
      </w:pPr>
    </w:p>
    <w:p>
      <w:pPr>
        <w:ind w:left="400" w:right="620" w:firstLine="484"/>
        <w:spacing w:after="0" w:line="296" w:lineRule="auto"/>
        <w:tabs>
          <w:tab w:leader="none" w:pos="1269" w:val="left"/>
        </w:tabs>
        <w:numPr>
          <w:ilvl w:val="1"/>
          <w:numId w:val="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7"/>
          <w:szCs w:val="17"/>
          <w:color w:val="auto"/>
        </w:rPr>
      </w:pPr>
    </w:p>
    <w:p>
      <w:pPr>
        <w:ind w:left="400" w:right="320" w:firstLine="484"/>
        <w:spacing w:after="0" w:line="266" w:lineRule="auto"/>
        <w:tabs>
          <w:tab w:leader="none" w:pos="1266"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580" w:type="dxa"/>
            <w:vAlign w:val="bottom"/>
          </w:tcPr>
          <w:p>
            <w:pPr>
              <w:spacing w:after="0"/>
              <w:rPr>
                <w:sz w:val="20"/>
                <w:szCs w:val="20"/>
                <w:color w:val="auto"/>
              </w:rPr>
            </w:pPr>
            <w:r>
              <w:rPr>
                <w:rFonts w:ascii="Arial" w:cs="Arial" w:eastAsia="Arial" w:hAnsi="Arial"/>
                <w:sz w:val="18"/>
                <w:szCs w:val="18"/>
                <w:color w:val="auto"/>
              </w:rPr>
              <w:t>Date: February 17, 2023</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19"/>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W. Casella</w:t>
            </w:r>
          </w:p>
        </w:tc>
      </w:tr>
      <w:tr>
        <w:trPr>
          <w:trHeight w:val="226"/>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226"/>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79"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12" w:lineRule="exact"/>
        <w:rPr>
          <w:sz w:val="20"/>
          <w:szCs w:val="20"/>
          <w:color w:val="auto"/>
        </w:rPr>
      </w:pPr>
    </w:p>
    <w:p>
      <w:pPr>
        <w:ind w:left="640" w:hanging="235"/>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Casella Waste Systems, Inc.;</w:t>
      </w:r>
    </w:p>
    <w:p>
      <w:pPr>
        <w:spacing w:after="0" w:line="112" w:lineRule="exact"/>
        <w:rPr>
          <w:rFonts w:ascii="Arial" w:cs="Arial" w:eastAsia="Arial" w:hAnsi="Arial"/>
          <w:sz w:val="18"/>
          <w:szCs w:val="18"/>
          <w:color w:val="auto"/>
        </w:rPr>
      </w:pPr>
    </w:p>
    <w:p>
      <w:pPr>
        <w:jc w:val="center"/>
        <w:ind w:left="400" w:right="40" w:firstLine="5"/>
        <w:spacing w:after="0" w:line="396" w:lineRule="auto"/>
        <w:tabs>
          <w:tab w:leader="none" w:pos="639" w:val="left"/>
        </w:tabs>
        <w:numPr>
          <w:ilvl w:val="0"/>
          <w:numId w:val="7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00" w:right="260" w:firstLine="5"/>
        <w:spacing w:after="0" w:line="296" w:lineRule="auto"/>
        <w:tabs>
          <w:tab w:leader="none" w:pos="639"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7"/>
          <w:szCs w:val="17"/>
          <w:color w:val="auto"/>
        </w:rPr>
      </w:pPr>
    </w:p>
    <w:p>
      <w:pPr>
        <w:ind w:left="400" w:right="100" w:firstLine="5"/>
        <w:spacing w:after="0" w:line="256" w:lineRule="auto"/>
        <w:tabs>
          <w:tab w:leader="none" w:pos="63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jc w:val="both"/>
        <w:ind w:left="400" w:right="80" w:firstLine="484"/>
        <w:spacing w:after="0" w:line="256" w:lineRule="auto"/>
        <w:tabs>
          <w:tab w:leader="none" w:pos="1269"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400" w:right="300" w:firstLine="484"/>
        <w:spacing w:after="0" w:line="256" w:lineRule="auto"/>
        <w:tabs>
          <w:tab w:leader="none" w:pos="12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400" w:right="420" w:firstLine="484"/>
        <w:spacing w:after="0" w:line="329" w:lineRule="auto"/>
        <w:tabs>
          <w:tab w:leader="none" w:pos="1269"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6"/>
          <w:szCs w:val="16"/>
          <w:color w:val="auto"/>
        </w:rPr>
      </w:pPr>
    </w:p>
    <w:p>
      <w:pPr>
        <w:ind w:left="400" w:right="20" w:firstLine="484"/>
        <w:spacing w:after="0" w:line="256" w:lineRule="auto"/>
        <w:tabs>
          <w:tab w:leader="none" w:pos="12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400" w:right="180" w:firstLine="5"/>
        <w:spacing w:after="0" w:line="329" w:lineRule="auto"/>
        <w:tabs>
          <w:tab w:leader="none" w:pos="639"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6"/>
          <w:szCs w:val="16"/>
          <w:color w:val="auto"/>
        </w:rPr>
      </w:pPr>
    </w:p>
    <w:p>
      <w:pPr>
        <w:ind w:left="400" w:right="620" w:firstLine="484"/>
        <w:spacing w:after="0" w:line="296" w:lineRule="auto"/>
        <w:tabs>
          <w:tab w:leader="none" w:pos="1269" w:val="left"/>
        </w:tabs>
        <w:numPr>
          <w:ilvl w:val="1"/>
          <w:numId w:val="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7"/>
          <w:szCs w:val="17"/>
          <w:color w:val="auto"/>
        </w:rPr>
      </w:pPr>
    </w:p>
    <w:p>
      <w:pPr>
        <w:ind w:left="400" w:right="320" w:firstLine="484"/>
        <w:spacing w:after="0" w:line="266" w:lineRule="auto"/>
        <w:tabs>
          <w:tab w:leader="none" w:pos="12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tbl>
      <w:tblPr>
        <w:tblLayout w:type="fixed"/>
        <w:tblInd w:w="420" w:type="dxa"/>
        <w:tblCellMar>
          <w:top w:w="0" w:type="dxa"/>
          <w:left w:w="0" w:type="dxa"/>
          <w:bottom w:w="0" w:type="dxa"/>
          <w:right w:w="0" w:type="dxa"/>
        </w:tblCellMar>
      </w:tblPr>
      <w:tr>
        <w:trPr>
          <w:trHeight w:val="225"/>
        </w:trPr>
        <w:tc>
          <w:tcPr>
            <w:tcW w:w="4380" w:type="dxa"/>
            <w:vAlign w:val="bottom"/>
          </w:tcPr>
          <w:p>
            <w:pPr>
              <w:spacing w:after="0"/>
              <w:rPr>
                <w:sz w:val="20"/>
                <w:szCs w:val="20"/>
                <w:color w:val="auto"/>
              </w:rPr>
            </w:pPr>
            <w:r>
              <w:rPr>
                <w:rFonts w:ascii="Arial" w:cs="Arial" w:eastAsia="Arial" w:hAnsi="Arial"/>
                <w:sz w:val="18"/>
                <w:szCs w:val="18"/>
                <w:color w:val="auto"/>
              </w:rPr>
              <w:t>Date: February 17, 2023</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19"/>
        </w:trPr>
        <w:tc>
          <w:tcPr>
            <w:tcW w:w="438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26"/>
        </w:trPr>
        <w:tc>
          <w:tcPr>
            <w:tcW w:w="438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Financial Officer</w:t>
            </w:r>
          </w:p>
        </w:tc>
      </w:tr>
      <w:tr>
        <w:trPr>
          <w:trHeight w:val="226"/>
        </w:trPr>
        <w:tc>
          <w:tcPr>
            <w:tcW w:w="438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879"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§1350</w:t>
      </w:r>
    </w:p>
    <w:p>
      <w:pPr>
        <w:spacing w:after="0" w:line="200" w:lineRule="exact"/>
        <w:rPr>
          <w:sz w:val="20"/>
          <w:szCs w:val="20"/>
          <w:color w:val="auto"/>
        </w:rPr>
      </w:pPr>
    </w:p>
    <w:p>
      <w:pPr>
        <w:spacing w:after="0" w:line="290" w:lineRule="exact"/>
        <w:rPr>
          <w:sz w:val="20"/>
          <w:szCs w:val="20"/>
          <w:color w:val="auto"/>
        </w:rPr>
      </w:pPr>
    </w:p>
    <w:p>
      <w:pPr>
        <w:ind w:right="60" w:firstLine="319"/>
        <w:spacing w:after="0" w:line="278" w:lineRule="auto"/>
        <w:rPr>
          <w:sz w:val="20"/>
          <w:szCs w:val="20"/>
          <w:color w:val="auto"/>
        </w:rPr>
      </w:pPr>
      <w:r>
        <w:rPr>
          <w:rFonts w:ascii="Arial" w:cs="Arial" w:eastAsia="Arial" w:hAnsi="Arial"/>
          <w:sz w:val="17"/>
          <w:szCs w:val="17"/>
          <w:color w:val="auto"/>
        </w:rPr>
        <w:t>Pursuant to 18 U.S.C. §1350, each of the undersigned certifies that, to his knowledge, this Annual Report on Form 10-K for the fiscal year ended December 31, 2022 fully complies with the requirements of Section 13(a) or 15(d) of the Securities Exchange Act of 1934 and that the information contained in this report fairly presents, in all material respects, the financial condition and results of operations of Casella Waste Systems, Inc.</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5680" w:type="dxa"/>
            <w:vAlign w:val="bottom"/>
          </w:tcPr>
          <w:p>
            <w:pPr>
              <w:spacing w:after="0"/>
              <w:rPr>
                <w:sz w:val="20"/>
                <w:szCs w:val="20"/>
                <w:color w:val="auto"/>
              </w:rPr>
            </w:pPr>
            <w:r>
              <w:rPr>
                <w:rFonts w:ascii="Arial" w:cs="Arial" w:eastAsia="Arial" w:hAnsi="Arial"/>
                <w:sz w:val="18"/>
                <w:szCs w:val="18"/>
                <w:color w:val="auto"/>
              </w:rPr>
              <w:t>Date: February 17, 2023</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19"/>
        </w:trPr>
        <w:tc>
          <w:tcPr>
            <w:tcW w:w="568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86"/>
              </w:rPr>
              <w:t>John W. Casella</w:t>
            </w:r>
          </w:p>
        </w:tc>
      </w:tr>
      <w:tr>
        <w:trPr>
          <w:trHeight w:val="226"/>
        </w:trPr>
        <w:tc>
          <w:tcPr>
            <w:tcW w:w="568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i w:val="1"/>
                <w:iCs w:val="1"/>
                <w:color w:val="auto"/>
                <w:w w:val="90"/>
              </w:rPr>
              <w:t>Chairman and Chief Executive Officer</w:t>
            </w:r>
          </w:p>
        </w:tc>
      </w:tr>
      <w:tr>
        <w:trPr>
          <w:trHeight w:val="226"/>
        </w:trPr>
        <w:tc>
          <w:tcPr>
            <w:tcW w:w="568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i w:val="1"/>
                <w:iCs w:val="1"/>
                <w:color w:val="auto"/>
                <w:w w:val="92"/>
              </w:rPr>
              <w:t>(Principal Executive Officer)</w:t>
            </w:r>
          </w:p>
        </w:tc>
      </w:tr>
      <w:tr>
        <w:trPr>
          <w:trHeight w:val="493"/>
        </w:trPr>
        <w:tc>
          <w:tcPr>
            <w:tcW w:w="5680" w:type="dxa"/>
            <w:vAlign w:val="bottom"/>
          </w:tcPr>
          <w:p>
            <w:pPr>
              <w:spacing w:after="0"/>
              <w:rPr>
                <w:sz w:val="20"/>
                <w:szCs w:val="20"/>
                <w:color w:val="auto"/>
              </w:rPr>
            </w:pPr>
            <w:r>
              <w:rPr>
                <w:rFonts w:ascii="Arial" w:cs="Arial" w:eastAsia="Arial" w:hAnsi="Arial"/>
                <w:sz w:val="18"/>
                <w:szCs w:val="18"/>
                <w:color w:val="auto"/>
              </w:rPr>
              <w:t>Date: February 17, 2023</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19"/>
        </w:trPr>
        <w:tc>
          <w:tcPr>
            <w:tcW w:w="568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0"/>
              </w:rPr>
              <w:t>Edmond R. Coletta</w:t>
            </w:r>
          </w:p>
        </w:tc>
      </w:tr>
      <w:tr>
        <w:trPr>
          <w:trHeight w:val="226"/>
        </w:trPr>
        <w:tc>
          <w:tcPr>
            <w:tcW w:w="568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i w:val="1"/>
                <w:iCs w:val="1"/>
                <w:color w:val="auto"/>
                <w:w w:val="92"/>
              </w:rPr>
              <w:t>President and Chief Financial Officer</w:t>
            </w:r>
          </w:p>
        </w:tc>
      </w:tr>
      <w:tr>
        <w:trPr>
          <w:trHeight w:val="226"/>
        </w:trPr>
        <w:tc>
          <w:tcPr>
            <w:tcW w:w="568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Officer)</w:t>
            </w:r>
          </w:p>
        </w:tc>
      </w:tr>
      <w:tr>
        <w:trPr>
          <w:trHeight w:val="493"/>
        </w:trPr>
        <w:tc>
          <w:tcPr>
            <w:tcW w:w="5680" w:type="dxa"/>
            <w:vAlign w:val="bottom"/>
          </w:tcPr>
          <w:p>
            <w:pPr>
              <w:spacing w:after="0"/>
              <w:rPr>
                <w:sz w:val="20"/>
                <w:szCs w:val="20"/>
                <w:color w:val="auto"/>
              </w:rPr>
            </w:pPr>
            <w:r>
              <w:rPr>
                <w:rFonts w:ascii="Arial" w:cs="Arial" w:eastAsia="Arial" w:hAnsi="Arial"/>
                <w:sz w:val="18"/>
                <w:szCs w:val="18"/>
                <w:color w:val="auto"/>
              </w:rPr>
              <w:t>Date: February 17, 2023</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Kevin J. Drohan</w:t>
            </w:r>
          </w:p>
        </w:tc>
      </w:tr>
      <w:tr>
        <w:trPr>
          <w:trHeight w:val="219"/>
        </w:trPr>
        <w:tc>
          <w:tcPr>
            <w:tcW w:w="568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2"/>
              </w:rPr>
              <w:t>Kevin J. Drohan</w:t>
            </w:r>
          </w:p>
        </w:tc>
      </w:tr>
      <w:tr>
        <w:trPr>
          <w:trHeight w:val="226"/>
        </w:trPr>
        <w:tc>
          <w:tcPr>
            <w:tcW w:w="568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i w:val="1"/>
                <w:iCs w:val="1"/>
                <w:color w:val="auto"/>
                <w:w w:val="89"/>
              </w:rPr>
              <w:t>Vice President and Chief Accounting Officer</w:t>
            </w:r>
          </w:p>
        </w:tc>
      </w:tr>
      <w:tr>
        <w:trPr>
          <w:trHeight w:val="226"/>
        </w:trPr>
        <w:tc>
          <w:tcPr>
            <w:tcW w:w="568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Accounting Officer)</w:t>
            </w:r>
          </w:p>
        </w:tc>
      </w:tr>
    </w:tbl>
    <w:p>
      <w:pPr>
        <w:spacing w:after="0" w:line="1" w:lineRule="exact"/>
        <w:rPr>
          <w:sz w:val="20"/>
          <w:szCs w:val="20"/>
          <w:color w:val="auto"/>
        </w:rPr>
      </w:pP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1"/>
    </w:lvl>
    <w:lvl w:ilvl="1">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1)"/>
      <w:numFmt w:val="decimal"/>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1)"/>
      <w:numFmt w:val="decimal"/>
      <w:start w:val="1"/>
    </w:lvl>
  </w:abstractNum>
  <w:abstractNum w:abstractNumId="14">
    <w:nsid w:val="542289EC"/>
    <w:multiLevelType w:val="hybridMultilevel"/>
    <w:lvl w:ilvl="0">
      <w:lvlJc w:val="left"/>
      <w:lvlText w:val="(%1)"/>
      <w:numFmt w:val="decimal"/>
      <w:start w:val="2"/>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1."/>
      <w:numFmt w:val="decimal"/>
      <w:start w:val="1"/>
    </w:lvl>
  </w:abstractNum>
  <w:abstractNum w:abstractNumId="34">
    <w:nsid w:val="39386575"/>
    <w:multiLevelType w:val="hybridMultilevel"/>
    <w:lvl w:ilvl="0">
      <w:lvlJc w:val="left"/>
      <w:lvlText w:val="%1."/>
      <w:numFmt w:val="decimal"/>
      <w:start w:val="3"/>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1."/>
      <w:numFmt w:val="decimal"/>
      <w:start w:val="5"/>
    </w:lvl>
  </w:abstractNum>
  <w:abstractNum w:abstractNumId="39">
    <w:nsid w:val="354FE9F9"/>
    <w:multiLevelType w:val="hybridMultilevel"/>
    <w:lvl w:ilvl="0">
      <w:lvlJc w:val="left"/>
      <w:lvlText w:val="%1."/>
      <w:numFmt w:val="decimal"/>
      <w:start w:val="9"/>
    </w:lvl>
  </w:abstractNum>
  <w:abstractNum w:abstractNumId="40">
    <w:nsid w:val="15B5AF5C"/>
    <w:multiLevelType w:val="hybridMultilevel"/>
    <w:lvl w:ilvl="0">
      <w:lvlJc w:val="left"/>
      <w:lvlText w:val="%1."/>
      <w:numFmt w:val="decimal"/>
      <w:start w:val="10"/>
    </w:lvl>
  </w:abstractNum>
  <w:abstractNum w:abstractNumId="41">
    <w:nsid w:val="741226BB"/>
    <w:multiLevelType w:val="hybridMultilevel"/>
    <w:lvl w:ilvl="0">
      <w:lvlJc w:val="left"/>
      <w:lvlText w:val="%1"/>
      <w:numFmt w:val="decimal"/>
      <w:start w:val="1"/>
    </w:lvl>
    <w:lvl w:ilvl="1">
      <w:lvlJc w:val="left"/>
      <w:lvlText w:val="(%2)"/>
      <w:numFmt w:val="decimal"/>
      <w:start w:val="1"/>
    </w:lvl>
  </w:abstractNum>
  <w:abstractNum w:abstractNumId="42">
    <w:nsid w:val="D34B6A8"/>
    <w:multiLevelType w:val="hybridMultilevel"/>
    <w:lvl w:ilvl="0">
      <w:lvlJc w:val="left"/>
      <w:lvlText w:val="%1."/>
      <w:numFmt w:val="decimal"/>
      <w:start w:val="11"/>
    </w:lvl>
    <w:lvl w:ilvl="1">
      <w:lvlJc w:val="left"/>
      <w:lvlText w:val="%2"/>
      <w:numFmt w:val="decimal"/>
      <w:start w:val="1"/>
    </w:lvl>
  </w:abstractNum>
  <w:abstractNum w:abstractNumId="43">
    <w:nsid w:val="10233C99"/>
    <w:multiLevelType w:val="hybridMultilevel"/>
    <w:lvl w:ilvl="0">
      <w:lvlJc w:val="left"/>
      <w:lvlText w:val="%1."/>
      <w:numFmt w:val="decimal"/>
      <w:start w:val="13"/>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1."/>
      <w:numFmt w:val="decimal"/>
      <w:start w:val="14"/>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1."/>
      <w:numFmt w:val="decimal"/>
      <w:start w:val="15"/>
    </w:lvl>
  </w:abstractNum>
  <w:abstractNum w:abstractNumId="50">
    <w:nsid w:val="5FF87E05"/>
    <w:multiLevelType w:val="hybridMultilevel"/>
    <w:lvl w:ilvl="0">
      <w:lvlJc w:val="left"/>
      <w:lvlText w:val="%1."/>
      <w:numFmt w:val="decimal"/>
      <w:start w:val="16"/>
    </w:lvl>
  </w:abstractNum>
  <w:abstractNum w:abstractNumId="51">
    <w:nsid w:val="2F305DEF"/>
    <w:multiLevelType w:val="hybridMultilevel"/>
    <w:lvl w:ilvl="0">
      <w:lvlJc w:val="left"/>
      <w:lvlText w:val="%1."/>
      <w:numFmt w:val="decimal"/>
      <w:start w:val="17"/>
    </w:lvl>
  </w:abstractNum>
  <w:abstractNum w:abstractNumId="52">
    <w:nsid w:val="25A70BF7"/>
    <w:multiLevelType w:val="hybridMultilevel"/>
    <w:lvl w:ilvl="0">
      <w:lvlJc w:val="left"/>
      <w:lvlText w:val="%1."/>
      <w:numFmt w:val="decimal"/>
      <w:start w:val="18"/>
    </w:lvl>
  </w:abstractNum>
  <w:abstractNum w:abstractNumId="53">
    <w:nsid w:val="1DBABF00"/>
    <w:multiLevelType w:val="hybridMultilevel"/>
    <w:lvl w:ilvl="0">
      <w:lvlJc w:val="left"/>
      <w:lvlText w:val="(%1)"/>
      <w:numFmt w:val="decimal"/>
      <w:start w:val="1"/>
    </w:lvl>
  </w:abstractNum>
  <w:abstractNum w:abstractNumId="54">
    <w:nsid w:val="4AD084E9"/>
    <w:multiLevelType w:val="hybridMultilevel"/>
    <w:lvl w:ilvl="0">
      <w:lvlJc w:val="left"/>
      <w:lvlText w:val="%1."/>
      <w:numFmt w:val="decimal"/>
      <w:start w:val="19"/>
    </w:lvl>
  </w:abstractNum>
  <w:abstractNum w:abstractNumId="55">
    <w:nsid w:val="1F48EAA1"/>
    <w:multiLevelType w:val="hybridMultilevel"/>
    <w:lvl w:ilvl="0">
      <w:lvlJc w:val="left"/>
      <w:lvlText w:val="%1."/>
      <w:numFmt w:val="decimal"/>
      <w:start w:val="21"/>
    </w:lvl>
  </w:abstractNum>
  <w:abstractNum w:abstractNumId="56">
    <w:nsid w:val="1381823A"/>
    <w:multiLevelType w:val="hybridMultilevel"/>
    <w:lvl w:ilvl="0">
      <w:lvlJc w:val="left"/>
      <w:lvlText w:val="(%1)"/>
      <w:numFmt w:val="decimal"/>
      <w:start w:val="1"/>
    </w:lvl>
  </w:abstractNum>
  <w:abstractNum w:abstractNumId="57">
    <w:nsid w:val="5DB70AE5"/>
    <w:multiLevelType w:val="hybridMultilevel"/>
    <w:lvl w:ilvl="0">
      <w:lvlJc w:val="left"/>
      <w:lvlText w:val="(%1)"/>
      <w:numFmt w:val="decimal"/>
      <w:start w:val="1"/>
    </w:lvl>
  </w:abstractNum>
  <w:abstractNum w:abstractNumId="58">
    <w:nsid w:val="100F8FCA"/>
    <w:multiLevelType w:val="hybridMultilevel"/>
    <w:lvl w:ilvl="0">
      <w:lvlJc w:val="left"/>
      <w:lvlText w:val="(%1)"/>
      <w:numFmt w:val="decimal"/>
      <w:start w:val="1"/>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1)"/>
      <w:numFmt w:val="lowerRoman"/>
      <w:start w:val="5"/>
    </w:lvl>
  </w:abstractNum>
  <w:abstractNum w:abstractNumId="64">
    <w:nsid w:val="6B94764"/>
    <w:multiLevelType w:val="hybridMultilevel"/>
    <w:lvl w:ilvl="0">
      <w:lvlJc w:val="left"/>
      <w:lvlText w:val="(%1)"/>
      <w:numFmt w:val="lowerLetter"/>
      <w:start w:val="1"/>
    </w:lvl>
  </w:abstractNum>
  <w:abstractNum w:abstractNumId="65">
    <w:nsid w:val="42C296BD"/>
    <w:multiLevelType w:val="hybridMultilevel"/>
    <w:lvl w:ilvl="0">
      <w:lvlJc w:val="left"/>
      <w:lvlText w:val="(%1)"/>
      <w:numFmt w:val="decimal"/>
      <w:start w:val="1"/>
    </w:lvl>
  </w:abstractNum>
  <w:abstractNum w:abstractNumId="66">
    <w:nsid w:val="168E121F"/>
    <w:multiLevelType w:val="hybridMultilevel"/>
    <w:lvl w:ilvl="0">
      <w:lvlJc w:val="left"/>
      <w:lvlText w:val="(%1)"/>
      <w:numFmt w:val="lowerLetter"/>
      <w:start w:val="3"/>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lowerLetter"/>
      <w:start w:val="2"/>
    </w:lvl>
  </w:abstractNum>
  <w:abstractNum w:abstractNumId="69">
    <w:nsid w:val="5DC79EA8"/>
    <w:multiLevelType w:val="hybridMultilevel"/>
    <w:lvl w:ilvl="0">
      <w:lvlJc w:val="left"/>
      <w:lvlText w:val="(%1)"/>
      <w:numFmt w:val="lowerLetter"/>
      <w:start w:val="3"/>
    </w:lvl>
  </w:abstractNum>
  <w:abstractNum w:abstractNumId="70">
    <w:nsid w:val="540A471C"/>
    <w:multiLevelType w:val="hybridMultilevel"/>
    <w:lvl w:ilvl="0">
      <w:lvlJc w:val="left"/>
      <w:lvlText w:val="(%1)"/>
      <w:numFmt w:val="lowerLetter"/>
      <w:start w:val="5"/>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lowerLetter"/>
      <w:start w:val="1"/>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1"/>
      <w:numFmt w:val="lowerRoman"/>
      <w:start w:val="1"/>
    </w:lvl>
    <w:lvl w:ilvl="1">
      <w:lvlJc w:val="left"/>
      <w:lvlText w:val="(%2)"/>
      <w:numFmt w:val="lowerLetter"/>
      <w:start w:val="1"/>
    </w:lvl>
  </w:abstractNum>
  <w:abstractNum w:abstractNumId="75">
    <w:nsid w:val="11447B73"/>
    <w:multiLevelType w:val="hybridMultilevel"/>
    <w:lvl w:ilvl="0">
      <w:lvlJc w:val="left"/>
      <w:lvlText w:val="(%1)"/>
      <w:numFmt w:val="lowerRoman"/>
      <w:start w:val="4"/>
    </w:lvl>
    <w:lvl w:ilvl="1">
      <w:lvlJc w:val="left"/>
      <w:lvlText w:val="(%2)"/>
      <w:numFmt w:val="lowerLetter"/>
      <w:start w:val="2"/>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68"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204" Type="http://schemas.openxmlformats.org/officeDocument/2006/relationships/image" Target="media/image140.png"/><Relationship Id="rId212" Type="http://schemas.openxmlformats.org/officeDocument/2006/relationships/image" Target="media/image141.png"/><Relationship Id="rId213" Type="http://schemas.openxmlformats.org/officeDocument/2006/relationships/image" Target="media/image142.png"/><Relationship Id="rId214" Type="http://schemas.openxmlformats.org/officeDocument/2006/relationships/image" Target="media/image143.png"/><Relationship Id="rId215" Type="http://schemas.openxmlformats.org/officeDocument/2006/relationships/image" Target="media/image144.png"/><Relationship Id="rId142" Type="http://schemas.openxmlformats.org/officeDocument/2006/relationships/hyperlink" Target="http://www.sec.gov/Archives/edgar/data/911177/000104746907009844/a2181401zex-3_1.htm" TargetMode="External"/><Relationship Id="rId143" Type="http://schemas.openxmlformats.org/officeDocument/2006/relationships/hyperlink" Target="http://www.sec.gov/Archives/edgar/data/911177/0001029869-97-001166.txt" TargetMode="External"/><Relationship Id="rId144" Type="http://schemas.openxmlformats.org/officeDocument/2006/relationships/hyperlink" Target="http://www.sec.gov/Archives/edgar/data/911177/000091205700038357/ex-4_1.txt" TargetMode="External"/><Relationship Id="rId145" Type="http://schemas.openxmlformats.org/officeDocument/2006/relationships/hyperlink" Target="https://www.sec.gov/Archives/edgar/data/911177/000091117721000009/cwst-ex043123120final.htm" TargetMode="External"/><Relationship Id="rId146" Type="http://schemas.openxmlformats.org/officeDocument/2006/relationships/hyperlink" Target="http://www.sec.gov/Archives/edgar/data/911177/000119312515305083/d68513dex41.htm" TargetMode="External"/><Relationship Id="rId147" Type="http://schemas.openxmlformats.org/officeDocument/2006/relationships/hyperlink" Target="http://www.sec.gov/Archives/edgar/data/911177/000119312515305083/d68513dex42.htm" TargetMode="External"/><Relationship Id="rId148" Type="http://schemas.openxmlformats.org/officeDocument/2006/relationships/hyperlink" Target="http://www.sec.gov/Archives/edgar/data/911177/000119312514446866/d839310dex41.htm" TargetMode="External"/><Relationship Id="rId149" Type="http://schemas.openxmlformats.org/officeDocument/2006/relationships/hyperlink" Target="http://www.sec.gov/Archives/edgar/data/911177/000119312516611235/d202767dex41.htm" TargetMode="External"/><Relationship Id="rId150" Type="http://schemas.openxmlformats.org/officeDocument/2006/relationships/hyperlink" Target="http://www.sec.gov/Archives/edgar/data/911177/000119312514373867/d805861dex101.htm" TargetMode="External"/><Relationship Id="rId151" Type="http://schemas.openxmlformats.org/officeDocument/2006/relationships/hyperlink" Target="http://www.sec.gov/Archives/edgar/data/911177/000119312513144248/d516725dex101.htm" TargetMode="External"/><Relationship Id="rId154" Type="http://schemas.openxmlformats.org/officeDocument/2006/relationships/hyperlink" Target="http://www.sec.gov/Archives/edgar/data/911177/000119312514251471/d708462dex48.htm" TargetMode="External"/><Relationship Id="rId155" Type="http://schemas.openxmlformats.org/officeDocument/2006/relationships/hyperlink" Target="http://www.sec.gov/Archives/edgar/data/911177/000119312513144248/d516725dex102.htm" TargetMode="External"/><Relationship Id="rId156" Type="http://schemas.openxmlformats.org/officeDocument/2006/relationships/hyperlink" Target="http://www.sec.gov/Archives/edgar/data/911177/000110465906000398/a05-22599_1ex10d1.htm" TargetMode="External"/><Relationship Id="rId157" Type="http://schemas.openxmlformats.org/officeDocument/2006/relationships/hyperlink" Target="http://www.sec.gov/Archives/edgar/data/911177/000141057812000058/a12-2158_1ex10d1.htm" TargetMode="External"/><Relationship Id="rId158" Type="http://schemas.openxmlformats.org/officeDocument/2006/relationships/hyperlink" Target="http://www.sec.gov/Archives/edgar/data/911177/000091117717000010/cwst17-0207_x8kex4d2.htm" TargetMode="External"/><Relationship Id="rId159" Type="http://schemas.openxmlformats.org/officeDocument/2006/relationships/hyperlink" Target="http://www.sec.gov/Archives/edgar/data/911177/000091117717000010/cwst17-0207_x8kex4d1.htm" TargetMode="External"/><Relationship Id="rId160" Type="http://schemas.openxmlformats.org/officeDocument/2006/relationships/hyperlink" Target="https://www.sec.gov/Archives/edgar/data/911177/000091117720000074/exhibit41loanagreement.htm" TargetMode="External"/><Relationship Id="rId161" Type="http://schemas.openxmlformats.org/officeDocument/2006/relationships/hyperlink" Target="https://www.sec.gov/Archives/edgar/data/911177/000091117720000074/exhibit42guarantyagree.htm" TargetMode="External"/><Relationship Id="rId162" Type="http://schemas.openxmlformats.org/officeDocument/2006/relationships/hyperlink" Target="https://www.sec.gov/Archives/edgar/data/911177/000091117722000031/cwst-ex41loanagreement.htm" TargetMode="External"/><Relationship Id="rId163" Type="http://schemas.openxmlformats.org/officeDocument/2006/relationships/hyperlink" Target="https://www.sec.gov/Archives/edgar/data/911177/000091117722000031/cwst-ex42guarantyagreement.htm" TargetMode="External"/><Relationship Id="rId164" Type="http://schemas.openxmlformats.org/officeDocument/2006/relationships/hyperlink" Target="http://www.sec.gov/Archives/edgar/data/911177/0001029869-97-000958.txt" TargetMode="External"/><Relationship Id="rId165" Type="http://schemas.openxmlformats.org/officeDocument/2006/relationships/hyperlink" Target="http://www.sec.gov/Archives/edgar/data/911177/0001029869-98-000841.txt" TargetMode="External"/><Relationship Id="rId166" Type="http://schemas.openxmlformats.org/officeDocument/2006/relationships/hyperlink" Target="http://www.sec.gov/Archives/edgar/data/911177/000119312514251471/d708462dex107.htm" TargetMode="External"/><Relationship Id="rId167" Type="http://schemas.openxmlformats.org/officeDocument/2006/relationships/hyperlink" Target="http://www.sec.gov/Archives/edgar/data/911177/000119312514251471/d708462dex109.htm" TargetMode="External"/><Relationship Id="rId169" Type="http://schemas.openxmlformats.org/officeDocument/2006/relationships/hyperlink" Target="http://www.sec.gov/Archives/edgar/data/911177/000107261300000765/0001072613-00-000765-0002.txt" TargetMode="External"/><Relationship Id="rId170" Type="http://schemas.openxmlformats.org/officeDocument/2006/relationships/hyperlink" Target="http://www.sec.gov/Archives/edgar/data/911177/000110465909015154/a09-6583_1ex10d3.htm" TargetMode="External"/><Relationship Id="rId171" Type="http://schemas.openxmlformats.org/officeDocument/2006/relationships/hyperlink" Target="http://www.sec.gov/Archives/edgar/data/911177/000119312516490223/d27133dex1013.htm" TargetMode="External"/><Relationship Id="rId172" Type="http://schemas.openxmlformats.org/officeDocument/2006/relationships/hyperlink" Target="http://www.sec.gov/Archives/edgar/data/911177/000119312514251471/d708462dex1014.htm" TargetMode="External"/><Relationship Id="rId173" Type="http://schemas.openxmlformats.org/officeDocument/2006/relationships/hyperlink" Target="http://www.sec.gov/Archives/edgar/data/911177/000119312514251471/d708462dex1015.htm" TargetMode="External"/><Relationship Id="rId174" Type="http://schemas.openxmlformats.org/officeDocument/2006/relationships/hyperlink" Target="http://www.sec.gov/Archives/edgar/data/911177/000119312514251471/d708462dex1016.htm" TargetMode="External"/><Relationship Id="rId175" Type="http://schemas.openxmlformats.org/officeDocument/2006/relationships/hyperlink" Target="http://www.sec.gov/Archives/edgar/data/911177/000119312514251471/d708462dex1017.htm" TargetMode="External"/><Relationship Id="rId176" Type="http://schemas.openxmlformats.org/officeDocument/2006/relationships/hyperlink" Target="http://www.sec.gov/Archives/edgar/data/911177/000119312514251471/d708462dex1018.htm" TargetMode="External"/><Relationship Id="rId177" Type="http://schemas.openxmlformats.org/officeDocument/2006/relationships/hyperlink" Target="http://www.sec.gov/Archives/edgar/data/911177/000119312514251471/d708462dex1019.htm" TargetMode="External"/><Relationship Id="rId178" Type="http://schemas.openxmlformats.org/officeDocument/2006/relationships/hyperlink" Target="http://www.sec.gov/Archives/edgar/data/911177/000110465908057068/a08-22715_1ex10d2.htm" TargetMode="External"/><Relationship Id="rId179" Type="http://schemas.openxmlformats.org/officeDocument/2006/relationships/hyperlink" Target="http://www.sec.gov/Archives/edgar/data/911177/000119312516495282/d137543dex102.htm" TargetMode="External"/><Relationship Id="rId180" Type="http://schemas.openxmlformats.org/officeDocument/2006/relationships/hyperlink" Target="http://www.sec.gov/Archives/edgar/data/911177/000119312516495282/d137543dex103.htm" TargetMode="External"/><Relationship Id="rId181" Type="http://schemas.openxmlformats.org/officeDocument/2006/relationships/hyperlink" Target="https://www.sec.gov/Archives/edgar/data/911177/000091117722000037/cwst-ex101062022.htm" TargetMode="External"/><Relationship Id="rId182" Type="http://schemas.openxmlformats.org/officeDocument/2006/relationships/hyperlink" Target="https://www.sec.gov/Archives/edgar/data/911177/000091117722000053/cwst-ex105063022.htm" TargetMode="External"/><Relationship Id="rId183" Type="http://schemas.openxmlformats.org/officeDocument/2006/relationships/hyperlink" Target="https://www.sec.gov/Archives/edgar/data/911177/000091117722000039/cwst-ex101041822.htm" TargetMode="External"/><Relationship Id="rId184" Type="http://schemas.openxmlformats.org/officeDocument/2006/relationships/hyperlink" Target="https://www.sec.gov/Archives/edgar/data/911177/000091117721000009/cwst-ex1025123120.htm" TargetMode="External"/><Relationship Id="rId187" Type="http://schemas.openxmlformats.org/officeDocument/2006/relationships/hyperlink" Target="https://www.sec.gov/Archives/edgar/data/911177/000091117721000048/cwst-ex101093021.htm" TargetMode="External"/><Relationship Id="rId188" Type="http://schemas.openxmlformats.org/officeDocument/2006/relationships/hyperlink" Target="https://www.sec.gov/Archives/edgar/data/911177/000091117722000013/cwst-ex101033122.htm" TargetMode="External"/><Relationship Id="rId189" Type="http://schemas.openxmlformats.org/officeDocument/2006/relationships/hyperlink" Target="https://www.sec.gov/Archives/edgar/data/911177/000091117722000039/cwst-ex102041822.htm" TargetMode="External"/><Relationship Id="rId190" Type="http://schemas.openxmlformats.org/officeDocument/2006/relationships/hyperlink" Target="http://www.sec.gov/Archives/edgar/data/911177/000119312514251471/d708462dex1029.htm" TargetMode="External"/><Relationship Id="rId191" Type="http://schemas.openxmlformats.org/officeDocument/2006/relationships/hyperlink" Target="http://www.sec.gov/Archives/edgar/data/911177/000119312516495282/d137543dex101.htm" TargetMode="External"/><Relationship Id="rId192" Type="http://schemas.openxmlformats.org/officeDocument/2006/relationships/hyperlink" Target="http://www.sec.gov/Archives/edgar/data/911177/000091117716000011/cwst16-1117_1s8xex99d1.htm" TargetMode="External"/><Relationship Id="rId193" Type="http://schemas.openxmlformats.org/officeDocument/2006/relationships/hyperlink" Target="http://www.sec.gov/Archives/edgar/data/911177/000091117716000015/cwst16-1122_8kxex10d1.htm" TargetMode="External"/><Relationship Id="rId194" Type="http://schemas.openxmlformats.org/officeDocument/2006/relationships/hyperlink" Target="http://www.sec.gov/Archives/edgar/data/911177/000091117716000015/cwst16-1122_8kxex10d2.htm" TargetMode="External"/><Relationship Id="rId195" Type="http://schemas.openxmlformats.org/officeDocument/2006/relationships/hyperlink" Target="http://www.sec.gov/Archives/edgar/data/911177/000091117716000015/cwst16-1122_8kxex10d3.htm" TargetMode="External"/><Relationship Id="rId196" Type="http://schemas.openxmlformats.org/officeDocument/2006/relationships/hyperlink" Target="http://www.sec.gov/Archives/edgar/data/911177/000091117716000015/cwst16-1122_8kxex10d4.htm" TargetMode="External"/><Relationship Id="rId197" Type="http://schemas.openxmlformats.org/officeDocument/2006/relationships/hyperlink" Target="http://www.sec.gov/Archives/edgar/data/911177/000091117716000015/cwst16-1122_8kxex10d5.htm" TargetMode="External"/><Relationship Id="rId198" Type="http://schemas.openxmlformats.org/officeDocument/2006/relationships/hyperlink" Target="http://www.sec.gov/Archives/edgar/data/911177/000091117716000015/cwst16-1122_8kxex10d6.htm" TargetMode="External"/><Relationship Id="rId199" Type="http://schemas.openxmlformats.org/officeDocument/2006/relationships/hyperlink" Target="http://www.sec.gov/Archives/edgar/data/911177/000091117716000015/cwst16-1122_8kxex10d7.htm" TargetMode="External"/><Relationship Id="rId200" Type="http://schemas.openxmlformats.org/officeDocument/2006/relationships/hyperlink" Target="http://www.sec.gov/Archives/edgar/data/911177/000091117716000015/cwst16-1122_8kxex10d8.htm" TargetMode="External"/><Relationship Id="rId201" Type="http://schemas.openxmlformats.org/officeDocument/2006/relationships/hyperlink" Target="http://www.sec.gov/Archives/edgar/data/911177/000091117716000015/cwst16-1122_8kxex10d9.htm" TargetMode="External"/><Relationship Id="rId202" Type="http://schemas.openxmlformats.org/officeDocument/2006/relationships/hyperlink" Target="http://www.sec.gov/Archives/edgar/data/911177/000091117716000015/cwst16-1122_8kxex10d10.htm" TargetMode="External"/><Relationship Id="rId203" Type="http://schemas.openxmlformats.org/officeDocument/2006/relationships/hyperlink" Target="http://www.sec.gov/Archives/edgar/data/911177/000091117716000015/cwst16-1122_8kxex10d11.htm" TargetMode="External"/><Relationship Id="rId205" Type="http://schemas.openxmlformats.org/officeDocument/2006/relationships/hyperlink" Target="http://www.sec.gov/Archives/edgar/data/911177/000091117717000053/cwst-093017xex101.htm" TargetMode="External"/><Relationship Id="rId206" Type="http://schemas.openxmlformats.org/officeDocument/2006/relationships/hyperlink" Target="https://www.sec.gov/Archives/edgar/data/911177/000119312521368012/d230783dex101.htm" TargetMode="External"/><Relationship Id="rId207" Type="http://schemas.openxmlformats.org/officeDocument/2006/relationships/hyperlink" Target="https://www.sec.gov/Archives/edgar/data/911177/000119312523032510/d455425dex101.htm" TargetMode="External"/><Relationship Id="rId208" Type="http://schemas.openxmlformats.org/officeDocument/2006/relationships/hyperlink" Target="https://www.sec.gov/Archives/edgar/data/911177/000119312523032510/d455425dex102.htm" TargetMode="External"/><Relationship Id="rId209" Type="http://schemas.openxmlformats.org/officeDocument/2006/relationships/hyperlink" Target="https://www.sec.gov/Archives/edgar/data/911177/000091117720000048/masterleaseagreement.htm" TargetMode="External"/><Relationship Id="rId210" Type="http://schemas.openxmlformats.org/officeDocument/2006/relationships/hyperlink" Target="https://www.sec.gov/Archives/edgar/data/911177/000091117720000048/masterleaseaddendum.htm" TargetMode="External"/><Relationship Id="rId211" Type="http://schemas.openxmlformats.org/officeDocument/2006/relationships/hyperlink" Target="https://www.sec.gov/Archives/edgar/data/911177/000110465911012173/a11-5937_1ex2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2023-02-17T16:42:34Z</dcterms:created>
  <dcterms:modified xsi:type="dcterms:W3CDTF">2023-02-17T16:42:34Z</dcterms:modified>
</cp:coreProperties>
</file>