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6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000-23211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CASELLA WASTE SYSTEMS,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03-0338873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(802) 775-0325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4314"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tbl>
      <w:tblPr>
        <w:tblW w:w="30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outstanding of each of the registrant’s classes of common stock, as of April 15, 2025:</w:t>
      </w:r>
    </w:p>
    <w:tbl>
      <w:tblPr>
        <w:tblW w:w="5131" w:type="dxa"/>
        <w:jc w:val="left"/>
        <w:tblInd w:w="0" w:type="dxa"/>
        <w:tblLayout w:type="fixed"/>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62,475,240 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2"/>
        <w:gridCol w:w="2295"/>
        <w:gridCol w:w="2303"/>
        <w:gridCol w:w="211"/>
        <w:gridCol w:w="976"/>
        <w:gridCol w:w="109"/>
        <w:gridCol w:w="109"/>
        <w:gridCol w:w="109"/>
        <w:gridCol w:w="109"/>
        <w:gridCol w:w="211"/>
        <w:gridCol w:w="976"/>
        <w:gridCol w:w="155"/>
      </w:tblGrid>
      <w:tr>
        <w:trPr/>
        <w:tc>
          <w:tcPr>
            <w:tcW w:w="264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$8,152 and $8,515,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and amortization of $1,348,937 and $1,302,324,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accrued final capping, closure and post-closure costs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final capping, closure and post-closure costs,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per share; 100,000,000 shares authorized; 62,475,000 and 62,370,000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per share; 1,000,000 shares authorized; 988,000 shares issued and outstanding, respectively; 10 votes per share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1,684,788 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 net of tax</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3,205,870 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3,230,068 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bl>
      <w:tblPr>
        <w:tblW w:w="8859" w:type="dxa"/>
        <w:jc w:val="center"/>
        <w:tblInd w:w="0" w:type="dxa"/>
        <w:tblLayout w:type="fixed"/>
        <w:tblCellMar>
          <w:top w:w="28" w:type="dxa"/>
          <w:left w:w="28" w:type="dxa"/>
          <w:bottom w:w="28" w:type="dxa"/>
          <w:right w:w="28" w:type="dxa"/>
        </w:tblCellMar>
      </w:tblPr>
      <w:tblGrid>
        <w:gridCol w:w="2088"/>
        <w:gridCol w:w="1825"/>
        <w:gridCol w:w="1846"/>
        <w:gridCol w:w="211"/>
        <w:gridCol w:w="826"/>
        <w:gridCol w:w="109"/>
        <w:gridCol w:w="109"/>
        <w:gridCol w:w="109"/>
        <w:gridCol w:w="109"/>
        <w:gridCol w:w="211"/>
        <w:gridCol w:w="826"/>
        <w:gridCol w:w="109"/>
        <w:gridCol w:w="109"/>
        <w:gridCol w:w="109"/>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COMPREHENSIVE (LOSS)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20" w:type="dxa"/>
        <w:jc w:val="center"/>
        <w:tblInd w:w="0" w:type="dxa"/>
        <w:tblLayout w:type="fixed"/>
        <w:tblCellMar>
          <w:top w:w="28" w:type="dxa"/>
          <w:left w:w="28" w:type="dxa"/>
          <w:bottom w:w="28" w:type="dxa"/>
          <w:right w:w="28" w:type="dxa"/>
        </w:tblCellMar>
      </w:tblPr>
      <w:tblGrid>
        <w:gridCol w:w="2530"/>
        <w:gridCol w:w="2209"/>
        <w:gridCol w:w="2251"/>
        <w:gridCol w:w="211"/>
        <w:gridCol w:w="691"/>
        <w:gridCol w:w="109"/>
        <w:gridCol w:w="109"/>
        <w:gridCol w:w="109"/>
        <w:gridCol w:w="109"/>
        <w:gridCol w:w="211"/>
        <w:gridCol w:w="691"/>
        <w:gridCol w:w="109"/>
        <w:gridCol w:w="109"/>
        <w:gridCol w:w="109"/>
        <w:gridCol w:w="109"/>
        <w:gridCol w:w="154"/>
      </w:tblGrid>
      <w:tr>
        <w:trPr/>
        <w:tc>
          <w:tcPr>
            <w:tcW w:w="253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activity: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settlements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amounts reclassified into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resulting from changes in fair value of derivative instruments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provision related to items of other comprehensive (loss)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9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32"/>
        <w:gridCol w:w="659"/>
        <w:gridCol w:w="130"/>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204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57,120 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875" w:type="dxa"/>
        <w:jc w:val="center"/>
        <w:tblInd w:w="0" w:type="dxa"/>
        <w:tblLayout w:type="fixed"/>
        <w:tblCellMar>
          <w:top w:w="28" w:type="dxa"/>
          <w:left w:w="28" w:type="dxa"/>
          <w:bottom w:w="28" w:type="dxa"/>
          <w:right w:w="28" w:type="dxa"/>
        </w:tblCellMar>
      </w:tblPr>
      <w:tblGrid>
        <w:gridCol w:w="2170"/>
        <w:gridCol w:w="1904"/>
        <w:gridCol w:w="1911"/>
        <w:gridCol w:w="196"/>
        <w:gridCol w:w="736"/>
        <w:gridCol w:w="109"/>
        <w:gridCol w:w="109"/>
        <w:gridCol w:w="109"/>
        <w:gridCol w:w="109"/>
        <w:gridCol w:w="196"/>
        <w:gridCol w:w="736"/>
        <w:gridCol w:w="109"/>
        <w:gridCol w:w="109"/>
        <w:gridCol w:w="109"/>
        <w:gridCol w:w="109"/>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accretion on landfill and environmental remediation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Disposition of assets, other items and charges,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of acquisitions and divestitures: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inventories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contract liabilities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restricted cash and non-current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non-current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interest 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income tax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finance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283"/>
        <w:jc w:val="left"/>
        <w:rPr/>
      </w:pPr>
      <w:r>
        <w:rPr>
          <w:rFonts w:ascii="Times New Roman;sans-serif" w:hAnsi="Times New Roman;sans-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our Annual Report on Form 10-K for the fiscal year ended December 31, 2024 (“fiscal year 2024”), which was filed with the SEC on February 18, 2025 (“2024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months ended March 31, 2025 may not be indicative of the results for any other interim period or the entire fiscal year. The consolidated financial statements presented herein should be read in conjunction with our audited consolidated financial statements included in our 2024 Form 10-K.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or transactions that have occurred after the consolidated balance sheet date of March 31, 2025 through the date of filing of the consolidated financial statements with the SEC on this Quarterly Report on Form 10-Q. Except as disclosed, no material subsequent events have occurred since March 31, 2025 through the date of this filing that would require recognition or adjustments to our disclosures in our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ACCOUNTING CHANGES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brief description of Accounting Standards Updates (“ASU”) to the Accounting Standards Codification (“ASC”) issued by the Financial Accounting Standards Board (“FASB”) and deemed to have a possible material impact on our consolidated financial statements based on current account balances and activity:</w:t>
      </w:r>
    </w:p>
    <w:tbl>
      <w:tblPr>
        <w:tblW w:w="10205" w:type="dxa"/>
        <w:jc w:val="left"/>
        <w:tblInd w:w="0" w:type="dxa"/>
        <w:tblLayout w:type="fixed"/>
        <w:tblCellMar>
          <w:top w:w="28" w:type="dxa"/>
          <w:left w:w="28" w:type="dxa"/>
          <w:bottom w:w="28" w:type="dxa"/>
          <w:right w:w="28" w:type="dxa"/>
        </w:tblCellMar>
      </w:tblPr>
      <w:tblGrid>
        <w:gridCol w:w="967"/>
        <w:gridCol w:w="602"/>
        <w:gridCol w:w="607"/>
        <w:gridCol w:w="109"/>
        <w:gridCol w:w="109"/>
        <w:gridCol w:w="109"/>
        <w:gridCol w:w="970"/>
        <w:gridCol w:w="970"/>
        <w:gridCol w:w="979"/>
        <w:gridCol w:w="109"/>
        <w:gridCol w:w="109"/>
        <w:gridCol w:w="109"/>
        <w:gridCol w:w="1560"/>
        <w:gridCol w:w="1197"/>
        <w:gridCol w:w="1699"/>
      </w:tblGrid>
      <w:tr>
        <w:trPr/>
        <w:tc>
          <w:tcPr>
            <w:tcW w:w="96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or Other</w:t>
              <w:br/>
              <w:t>Significant Matters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Accounting standards issued pending adoption as of March 31, 2025</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2023-09: Improvements to Income Tax Disclosures (Topic 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Requires entities to provide additional disclosure related to the transparency and decision usefulness of income tax disclosures, including additional disclosure around the rate reconciliation and 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the adoption of this guidance to have a material impact on our consolidated financial statements, however, the adoption of this guidance will have an impact on income tax disclosures within the accompanying notes to our consolidated financial statements. This guidance is effective for fiscal years beginning after December 15, 2024, with early adoption permitted.</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2024-03: Improvements to Income Statement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Requires entities to provide additional disclosure related to more detailed information about specific types of expenses contained in commonly presented expense captions on the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assessing the provisions of this guidance and expect that its adoption will have an impact on certain expense category disclosures within our consolidated financial statements and accompanying notes. This guidance is effective for fiscal years beginning after December 15, 2026, and interim periods within fiscal years beginning after December 15, 2027.</w:t>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our National Accounts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disaggregated by service line and timing of revenue recognition by operating segment for each of the three months ended March 31, 2025 and 2024:</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bl>
      <w:tblPr>
        <w:tblW w:w="9860"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ans-serif" w:hAnsi="Times New Roman;sans-serif"/>
          <w:b/>
          <w:color w:val="000000"/>
          <w:sz w:val="20"/>
        </w:rPr>
        <w:t>Three Months Ended March 31, 2024</w:t>
      </w:r>
      <w:r>
        <w:rPr>
          <w:rFonts w:ascii="Times New Roman;sans-serif" w:hAnsi="Times New Roman;sans-serif"/>
          <w:b/>
          <w:color w:val="000000"/>
          <w:sz w:val="14"/>
        </w:rPr>
        <w:t>(1)</w:t>
      </w:r>
    </w:p>
    <w:tbl>
      <w:tblPr>
        <w:tblW w:w="9860"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ans-serif" w:hAnsi="Times New Roman;sans-serif"/>
          <w:b w:val="false"/>
          <w:color w:val="000000"/>
          <w:sz w:val="20"/>
        </w:rPr>
        <w:t>(1)Certain prior period amounts have been reclassified between regional operating segments to conform to the current period presentation. See Note 13,</w:t>
      </w:r>
      <w:r>
        <w:rPr>
          <w:color w:val="000000"/>
        </w:rPr>
        <w:t xml:space="preserv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for further disclosure.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$8,940 in the three months ended March 31, 2025 and $7,115 in the three months ended March 31, 2024. Rebates are generally recorded as a reduction of revenues upon the sale of such materials, or upon receipt of the recycled materials at our facilities. We did not record revenues in the three months ended March 31, 2025 or March 31, 2024 from performance obligations satisfied in previous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$170,907 and $162,916 as of March 31, 2025 and December 31, 2024,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$49,724 and $50,690 as of March 31, 2025 and December 31, 2024, respectively. Due to the short term nature of advanced billings, substantially all of the deferred revenue recognized as a contract liability as of December 31, 2024 and December 31, 2023 was recognized as revenue during the three months ended March 31, 2025 and March 31, 2024, respectively, when the services were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we acquired three businesses: two tuck-in collection operations in our Mid-Atlantic region, and a tuck-in collection operation and recycling business whose assets and liabilities are allocated between our Eastern region and Resource Solutions operating segments. We did not acquire any businesses in the three months ended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businesses acquired prior to March 31, 2025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is primarily associated with the value of acquired businesses, based on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associated with acquisitions completed in the three months ended March 31, 2025 are expected to be deductible for tax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purchase price and the purchase price allocation for acquisitions follows:</w:t>
      </w:r>
    </w:p>
    <w:tbl>
      <w:tblPr>
        <w:tblW w:w="8469" w:type="dxa"/>
        <w:jc w:val="left"/>
        <w:tblInd w:w="0" w:type="dxa"/>
        <w:tblLayout w:type="fixed"/>
        <w:tblCellMar>
          <w:top w:w="28" w:type="dxa"/>
          <w:left w:w="28" w:type="dxa"/>
          <w:bottom w:w="28" w:type="dxa"/>
          <w:right w:w="28" w:type="dxa"/>
        </w:tblCellMar>
      </w:tblPr>
      <w:tblGrid>
        <w:gridCol w:w="2248"/>
        <w:gridCol w:w="1982"/>
        <w:gridCol w:w="1995"/>
        <w:gridCol w:w="211"/>
        <w:gridCol w:w="826"/>
        <w:gridCol w:w="109"/>
        <w:gridCol w:w="109"/>
        <w:gridCol w:w="109"/>
        <w:gridCol w:w="109"/>
        <w:gridCol w:w="211"/>
        <w:gridCol w:w="406"/>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acquisitions, net of cash acquired of $— and $—,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as follows: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Covenants not-to-compete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and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purchase price allocated to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contract receivables as of the date of the acquisitions of $5,270. Substantially all of the contractual amounts are expected to be collected.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allocations are preliminary and subject to revision upon finalization of third-party valuations over each respective one-year measurement period. Accordingly, the purchase price allocations for acquisitions made over the prior twelve-month period ended March 31, 2025 are subject to change.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pro forma combined information that shows our operational results prepared as though each acquisition completed since the beginning of the prior fiscal year had occurred as of January 1, 2024 is as follows:</w:t>
      </w:r>
    </w:p>
    <w:tbl>
      <w:tblPr>
        <w:tblW w:w="8859" w:type="dxa"/>
        <w:jc w:val="left"/>
        <w:tblInd w:w="0" w:type="dxa"/>
        <w:tblLayout w:type="fixed"/>
        <w:tblCellMar>
          <w:top w:w="28" w:type="dxa"/>
          <w:left w:w="28" w:type="dxa"/>
          <w:bottom w:w="28" w:type="dxa"/>
          <w:right w:w="28" w:type="dxa"/>
        </w:tblCellMar>
      </w:tblPr>
      <w:tblGrid>
        <w:gridCol w:w="2084"/>
        <w:gridCol w:w="1825"/>
        <w:gridCol w:w="1850"/>
        <w:gridCol w:w="211"/>
        <w:gridCol w:w="826"/>
        <w:gridCol w:w="109"/>
        <w:gridCol w:w="109"/>
        <w:gridCol w:w="109"/>
        <w:gridCol w:w="109"/>
        <w:gridCol w:w="211"/>
        <w:gridCol w:w="826"/>
        <w:gridCol w:w="109"/>
        <w:gridCol w:w="109"/>
        <w:gridCol w:w="109"/>
        <w:gridCol w:w="109"/>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results set forth in the table above have been prepared for comparative purposes only and are not necessarily indicative of the actual results of operations had the acquisitions occurred as of January 1, 2024 or of the results of our future operations. Furthermore, the unaudited pro forma results do not give effect to all cost savings or incremental costs that may occur as the result of the integration and consolidation of the completed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and balances related to goodwill by operating segment is as follows:</w:t>
      </w:r>
    </w:p>
    <w:tbl>
      <w:tblPr>
        <w:tblW w:w="8732" w:type="dxa"/>
        <w:jc w:val="left"/>
        <w:tblInd w:w="0" w:type="dxa"/>
        <w:tblLayout w:type="fixed"/>
        <w:tblCellMar>
          <w:top w:w="28" w:type="dxa"/>
          <w:left w:w="28" w:type="dxa"/>
          <w:bottom w:w="28" w:type="dxa"/>
          <w:right w:w="28" w:type="dxa"/>
        </w:tblCellMar>
      </w:tblPr>
      <w:tblGrid>
        <w:gridCol w:w="628"/>
        <w:gridCol w:w="551"/>
        <w:gridCol w:w="560"/>
        <w:gridCol w:w="211"/>
        <w:gridCol w:w="976"/>
        <w:gridCol w:w="109"/>
        <w:gridCol w:w="109"/>
        <w:gridCol w:w="109"/>
        <w:gridCol w:w="109"/>
        <w:gridCol w:w="211"/>
        <w:gridCol w:w="721"/>
        <w:gridCol w:w="109"/>
        <w:gridCol w:w="109"/>
        <w:gridCol w:w="109"/>
        <w:gridCol w:w="109"/>
        <w:gridCol w:w="451"/>
        <w:gridCol w:w="996"/>
        <w:gridCol w:w="233"/>
        <w:gridCol w:w="109"/>
        <w:gridCol w:w="109"/>
        <w:gridCol w:w="109"/>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 Combination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Resource Solutions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ans-serif" w:hAnsi="Times New Roman;sans-serif"/>
          <w:b w:val="false"/>
          <w:color w:val="000000"/>
          <w:sz w:val="20"/>
        </w:rPr>
        <w:t>(1)The December 31, 2024 amounts in the table above, including allocated goodwill between operating segments using a relative fair value approach, have been updated to conform with the movement of certain operations that took place in the three months ended March 31, 2025. See Note 13,</w:t>
      </w:r>
      <w:r>
        <w:rPr>
          <w:color w:val="000000"/>
        </w:rPr>
        <w:t xml:space="preserv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for further disclosure.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Summaries of intangible assets by type follow:</w:t>
      </w:r>
    </w:p>
    <w:tbl>
      <w:tblPr>
        <w:tblW w:w="8982" w:type="dxa"/>
        <w:jc w:val="left"/>
        <w:tblInd w:w="0" w:type="dxa"/>
        <w:tblLayout w:type="fixed"/>
        <w:tblCellMar>
          <w:top w:w="28" w:type="dxa"/>
          <w:left w:w="28" w:type="dxa"/>
          <w:bottom w:w="28" w:type="dxa"/>
          <w:right w:w="28" w:type="dxa"/>
        </w:tblCellMar>
      </w:tblPr>
      <w:tblGrid>
        <w:gridCol w:w="956"/>
        <w:gridCol w:w="841"/>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270,333 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8981" w:type="dxa"/>
        <w:jc w:val="center"/>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 was $19,466 during the three months ended March 31, 2025 and $12,564 during the three months ended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amortization expense estimated for each of the next five fiscal years following fiscal year 2024 and thereafter is estimated as follows:</w:t>
      </w:r>
    </w:p>
    <w:tbl>
      <w:tblPr>
        <w:tblW w:w="6246" w:type="dxa"/>
        <w:jc w:val="left"/>
        <w:tblInd w:w="0" w:type="dxa"/>
        <w:tblLayout w:type="fixed"/>
        <w:tblCellMar>
          <w:top w:w="28" w:type="dxa"/>
          <w:left w:w="28" w:type="dxa"/>
          <w:bottom w:w="28" w:type="dxa"/>
          <w:right w:w="28" w:type="dxa"/>
        </w:tblCellMar>
      </w:tblPr>
      <w:tblGrid>
        <w:gridCol w:w="1869"/>
        <w:gridCol w:w="1643"/>
        <w:gridCol w:w="1648"/>
        <w:gridCol w:w="211"/>
        <w:gridCol w:w="72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Estimated Future Amortization Expense as of March 31, 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the fiscal year ending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ACCRUED FINAL CAPPING, CLOSURE AND POST-CLOSURE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accrued final capping, closure and post-closure liabilities follows:</w:t>
      </w:r>
    </w:p>
    <w:tbl>
      <w:tblPr>
        <w:tblW w:w="4598" w:type="dxa"/>
        <w:jc w:val="left"/>
        <w:tblInd w:w="0" w:type="dxa"/>
        <w:tblLayout w:type="fixed"/>
        <w:tblCellMar>
          <w:top w:w="28" w:type="dxa"/>
          <w:left w:w="28" w:type="dxa"/>
          <w:bottom w:w="28" w:type="dxa"/>
          <w:right w:w="28" w:type="dxa"/>
        </w:tblCellMar>
      </w:tblPr>
      <w:tblGrid>
        <w:gridCol w:w="701"/>
        <w:gridCol w:w="615"/>
        <w:gridCol w:w="618"/>
        <w:gridCol w:w="211"/>
        <w:gridCol w:w="826"/>
        <w:gridCol w:w="109"/>
        <w:gridCol w:w="109"/>
        <w:gridCol w:w="109"/>
        <w:gridCol w:w="109"/>
        <w:gridCol w:w="211"/>
        <w:gridCol w:w="8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Accretion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Obligations settled</w:t>
            </w:r>
            <w:r>
              <w:rPr>
                <w:color w:val="000000"/>
              </w:rPr>
              <w:t xml:space="preserve">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(1)May include amounts that are being processed through accounts payable as a part of our disbursements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852"/>
        <w:gridCol w:w="2185"/>
        <w:gridCol w:w="2202"/>
        <w:gridCol w:w="211"/>
        <w:gridCol w:w="976"/>
        <w:gridCol w:w="109"/>
        <w:gridCol w:w="109"/>
        <w:gridCol w:w="109"/>
        <w:gridCol w:w="109"/>
        <w:gridCol w:w="211"/>
        <w:gridCol w:w="976"/>
        <w:gridCol w:w="156"/>
      </w:tblGrid>
      <w:tr>
        <w:trPr/>
        <w:tc>
          <w:tcPr>
            <w:tcW w:w="285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(“Term Loan Facility”) payable quarterly beginning in the fiscal year ended December 31, 2027 with balance due September 2029; bearing interest at 5.835% as of 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(“Revolving Credit Facility”) due September 2029; bearing interest at term secured overnight financing rate (“Term SOFR”) plus 1.510%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Tax-Exempt Bonds: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 (“New York Bonds 2014R-1”) due December 2044 - fixed rate interest period bearing interest at 2.875% through December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2014R-2 (“New York Bonds 2014R-2”) due December 2044 - fixed rate interest period bearing interest at 3.125% through May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 (“New York Bonds 2020”) due September 2050 - fixed rate interest period bearing interest at 2.750% through September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2020R-2 (“New York Bonds 2020R-2”) due September 2050 - fixed rate interest period bearing interest at 5.125% through September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2005R-3 (“FAME Bonds 2005R-3”) due January 2025 - fixed rate interest period bearing interest at 5.25% through January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2015R-1 (“FAME Bonds 2015R-1”) due August 2035 - fixed rate interest period bearing interest at 5.125% through July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2015R-2 (“FAME Bonds 2015R-2”) due August 2035 - fixed rate interest period bearing interest at 4.375% through July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2024 (“FAME Bonds 2024”) due December 2047 - fixed rate interest period bearing interest at 4.625% through May 2035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2013 (“Vermont Bonds 2013”) due April 2036 - fixed rate interest period bearing interest at 4.625% through April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2022A-1 (“Vermont Bonds 2022A-1”) due June 2052 - fixed rate interest period bearing interest at 5.00% through May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Revenue Bonds Series 2022A-2 (“Vermont Bonds 2022A-2”) due June 2052 - fixed rate interest period bearing interest at 4.375% through May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Finance Authority of the State of New Hampshire Solid Waste Disposal Revenue Bonds Series 2013 (“New Hampshire Bonds”) due April 2029 - fixed rate interest period bearing interest at 2.95% through April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maturing through December 2107; bearing interest at a weighted average of 4.7%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with no stated interest rate maturing through September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amount of debt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Less—unamortized debt issuance costs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unamortized debt issuance costs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maturities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and restated credit agreement (“Credit Agreement”) provides for a $800,000 aggregate principal amount Term Loan Facility and a $700,000 Revolving Credit Facility, with a $155,000 sublimit for letters of credit (collectively, the "Credit Facility").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0.300% to 1.175%</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March 31, 2025, further advances were available under the Revolving Credit Facility in the amount of $675,403. The available amount is net of outstanding irrevocable letters of credit totaling $24,597, and as of March 31, 2025 no amount had been drawn.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March 31, 2025,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Tax-Exempt Financings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2025, we completed the drawdown of $25,000 aggregate principal amount of Vermont Bonds 2022A-2. In fiscal year 2024, we completed the issuance of $45,000 aggregate principal amount of FAME Bonds 2024, and $25,000 of the proceeds of such issuance was used for the repayment in full of FAME Bonds 2005R-3, which matured and were repaid in January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restricted cash is included with cash and cash equivalents when reconciling the beginning-of-period and end-of-period total amounts shown on the consolidated statements of cash flows. Beginning-of-period and end-of-period cash, cash equivalents and restricted cash presented in the consolidated statements of cash flows is reconciled as follows:</w:t>
      </w:r>
    </w:p>
    <w:tbl>
      <w:tblPr>
        <w:tblW w:w="9171" w:type="dxa"/>
        <w:jc w:val="left"/>
        <w:tblInd w:w="0" w:type="dxa"/>
        <w:tblLayout w:type="fixed"/>
        <w:tblCellMar>
          <w:top w:w="28" w:type="dxa"/>
          <w:left w:w="28" w:type="dxa"/>
          <w:bottom w:w="28" w:type="dxa"/>
          <w:right w:w="28" w:type="dxa"/>
        </w:tblCellMar>
      </w:tblPr>
      <w:tblGrid>
        <w:gridCol w:w="2080"/>
        <w:gridCol w:w="1826"/>
        <w:gridCol w:w="1838"/>
        <w:gridCol w:w="109"/>
        <w:gridCol w:w="109"/>
        <w:gridCol w:w="109"/>
        <w:gridCol w:w="211"/>
        <w:gridCol w:w="826"/>
        <w:gridCol w:w="109"/>
        <w:gridCol w:w="109"/>
        <w:gridCol w:w="109"/>
        <w:gridCol w:w="109"/>
        <w:gridCol w:w="211"/>
        <w:gridCol w:w="826"/>
        <w:gridCol w:w="109"/>
        <w:gridCol w:w="109"/>
        <w:gridCol w:w="109"/>
        <w:gridCol w:w="109"/>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non-current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restricted cash - non-current included on the consolidated balance sheets as restricted cash and assets as of March 31,2025 consisted of cash proceeds from the drawdown of the Vermont Bonds 2022A-2 and is restricted to finance or reimburse certain noncurrent asset costs associated with capital projects in the state of Vermont. Our restricted cash - current at December 31, 2024 consisted of cash proceeds from the issuance of the FAME Bonds 2024 restricted to be used for the repayment in full of FAME Bonds 2005R-3 on its stated maturity in January 2025.</w:t>
      </w:r>
    </w:p>
    <w:p>
      <w:pPr>
        <w:pStyle w:val="TextBody"/>
        <w:bidi w:val="0"/>
        <w:spacing w:lineRule="auto" w:line="288" w:before="120" w:after="120"/>
        <w:jc w:val="left"/>
        <w:rPr/>
      </w:pPr>
      <w:r>
        <w:rPr>
          <w:rFonts w:ascii="Times New Roman;sans-serif" w:hAnsi="Times New Roman;sans-serif"/>
          <w:b/>
          <w:color w:val="000000"/>
          <w:sz w:val="20"/>
        </w:rPr>
        <w:t>Cash Flow Hedges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both March 31, 2025 and December 31, 2024,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3.6%.</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effect of cash flow hedges related to derivative instruments on the consolidated balance sheets follows:</w:t>
      </w:r>
    </w:p>
    <w:tbl>
      <w:tblPr>
        <w:tblW w:w="10123" w:type="dxa"/>
        <w:jc w:val="left"/>
        <w:tblInd w:w="0" w:type="dxa"/>
        <w:tblLayout w:type="fixed"/>
        <w:tblCellMar>
          <w:top w:w="28" w:type="dxa"/>
          <w:left w:w="28" w:type="dxa"/>
          <w:bottom w:w="28" w:type="dxa"/>
          <w:right w:w="28" w:type="dxa"/>
        </w:tblCellMar>
      </w:tblPr>
      <w:tblGrid>
        <w:gridCol w:w="901"/>
        <w:gridCol w:w="791"/>
        <w:gridCol w:w="797"/>
        <w:gridCol w:w="1633"/>
        <w:gridCol w:w="1633"/>
        <w:gridCol w:w="1638"/>
        <w:gridCol w:w="109"/>
        <w:gridCol w:w="109"/>
        <w:gridCol w:w="109"/>
        <w:gridCol w:w="211"/>
        <w:gridCol w:w="616"/>
        <w:gridCol w:w="109"/>
        <w:gridCol w:w="109"/>
        <w:gridCol w:w="109"/>
        <w:gridCol w:w="109"/>
        <w:gridCol w:w="245"/>
        <w:gridCol w:w="716"/>
        <w:gridCol w:w="179"/>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tax effect</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Legal Proceedings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FASB ASC 450 - Contingencies, we accrue for legal proceedings, inclusive of legal costs, when losses become probable and reasonably estimable. We have recorded an aggregate accrual of $1,250 relating to our outstanding legal proceedings as of March 31, 2025. It is reasonably possible that the estimated loss will change, which could have a material adverse effect on our consolidated financial position, results of operations and cash flows.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North Country Environmental Services Letter of Deficiency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NCES has entered into preliminary discussions with the New Hampshire Department of Justice concerning an administrative order and associated penalties relative to the deficiencies. We believe that a liability related to this matter is probable and, accordingly, have recorded an accrual in excess of $1,000 of potential monetary penalties as of March 31, 2025.</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Granite State Landfill Solid Waste Permit Denial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2025, NHDES denied the October 31, 2023 application of our subsidiary, Granite State Landfill, LLC (“GSL”) for the development of new landfill capacity in New Hampshire. On April 8, 2025, GSL petitioned the Merrimack Superior Court for a declaratory judgment that NHDES’s denial of GSL’s application was unlawful. As of March 31, 2025, we had $12,699 of capitalized project development costs related to the GSL landfill project included in other non-current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inflate the estimated costs in current dollars to the expected time of payment and discount the total cost to present value using a risk-free interest rate. The risk-free interest rates associated with our environmental remediation liabilities as of March 31, 2025 range between 1.5% and 7.1%. A summary of the changes to the aggregate environmental remediation liabilities for the three months ended March 31, 2025 and 2024 follows:</w:t>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Obligations settled </w:t>
            </w:r>
            <w:r>
              <w:rPr>
                <w:rFonts w:ascii="Times New Roman;sans-serif" w:hAnsi="Times New Roman;sans-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(1)May include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STOCKHOLDERS'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our stockholders approved the amendment and restatement of our 2016 Incentive Plan (the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2025, there were 2,028 Class A common stock equivalents available for future grant under the Amended 2016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averaged historical life of vested stock options, giving consideration to vesting schedules and historical exercise patterns; and the expected volatility, calculated using the weekly historical volatility of our Class A common stock over the expected life of the stock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follows:</w:t>
      </w:r>
    </w:p>
    <w:tbl>
      <w:tblPr>
        <w:tblW w:w="10205" w:type="dxa"/>
        <w:jc w:val="left"/>
        <w:tblInd w:w="0" w:type="dxa"/>
        <w:tblLayout w:type="fixed"/>
        <w:tblCellMar>
          <w:top w:w="28" w:type="dxa"/>
          <w:left w:w="28" w:type="dxa"/>
          <w:bottom w:w="28" w:type="dxa"/>
          <w:right w:w="28" w:type="dxa"/>
        </w:tblCellMar>
      </w:tblPr>
      <w:tblGrid>
        <w:gridCol w:w="723"/>
        <w:gridCol w:w="636"/>
        <w:gridCol w:w="638"/>
        <w:gridCol w:w="375"/>
        <w:gridCol w:w="375"/>
        <w:gridCol w:w="376"/>
        <w:gridCol w:w="109"/>
        <w:gridCol w:w="109"/>
        <w:gridCol w:w="109"/>
        <w:gridCol w:w="413"/>
        <w:gridCol w:w="1210"/>
        <w:gridCol w:w="215"/>
        <w:gridCol w:w="109"/>
        <w:gridCol w:w="109"/>
        <w:gridCol w:w="109"/>
        <w:gridCol w:w="876"/>
        <w:gridCol w:w="876"/>
        <w:gridCol w:w="879"/>
        <w:gridCol w:w="109"/>
        <w:gridCol w:w="109"/>
        <w:gridCol w:w="109"/>
        <w:gridCol w:w="349"/>
        <w:gridCol w:w="1022"/>
        <w:gridCol w:w="261"/>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March 31, 2025</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was $133 during the three months ended March 31, 2025, as compared to $151 during the three months ended March 31, 2024. As of March 31, 2025, we had $1,395 of unrecognized stock-based compensation expense related to outstanding stock options to be recognized over a weighted average period of 2.7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aggregate intrinsic value of stock options exercised was zero dollars.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award, restricted stock unit and performance stock unit activity follows:</w:t>
      </w:r>
    </w:p>
    <w:tbl>
      <w:tblPr>
        <w:tblW w:w="10205" w:type="dxa"/>
        <w:jc w:val="left"/>
        <w:tblInd w:w="0" w:type="dxa"/>
        <w:tblLayout w:type="fixed"/>
        <w:tblCellMar>
          <w:top w:w="28" w:type="dxa"/>
          <w:left w:w="28" w:type="dxa"/>
          <w:bottom w:w="28" w:type="dxa"/>
          <w:right w:w="28" w:type="dxa"/>
        </w:tblCellMar>
      </w:tblPr>
      <w:tblGrid>
        <w:gridCol w:w="605"/>
        <w:gridCol w:w="532"/>
        <w:gridCol w:w="533"/>
        <w:gridCol w:w="920"/>
        <w:gridCol w:w="920"/>
        <w:gridCol w:w="922"/>
        <w:gridCol w:w="109"/>
        <w:gridCol w:w="109"/>
        <w:gridCol w:w="109"/>
        <w:gridCol w:w="271"/>
        <w:gridCol w:w="928"/>
        <w:gridCol w:w="140"/>
        <w:gridCol w:w="109"/>
        <w:gridCol w:w="109"/>
        <w:gridCol w:w="109"/>
        <w:gridCol w:w="660"/>
        <w:gridCol w:w="660"/>
        <w:gridCol w:w="662"/>
        <w:gridCol w:w="109"/>
        <w:gridCol w:w="109"/>
        <w:gridCol w:w="109"/>
        <w:gridCol w:w="284"/>
        <w:gridCol w:w="972"/>
        <w:gridCol w:w="215"/>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 Restricted Stock Units, and Performance Stock 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Grant Date 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1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Vested</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2025</w:t>
            </w:r>
          </w:p>
        </w:tc>
        <w:tc>
          <w:tcPr>
            <w:tcW w:w="1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March 31, 2025</w:t>
            </w:r>
          </w:p>
        </w:tc>
        <w:tc>
          <w:tcPr>
            <w:tcW w:w="184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9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101.67 </w:t>
            </w:r>
          </w:p>
        </w:tc>
        <w:tc>
          <w:tcPr>
            <w:tcW w:w="14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52,342 </w:t>
            </w:r>
          </w:p>
        </w:tc>
        <w:tc>
          <w:tcPr>
            <w:tcW w:w="2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(1)Performance stock unit grants, including market-based performance stock units, are included at the 100% attainment level. Attainment of the maximum performance targets and market achievements would result in the issuance of an additional 207 shares of Class A common stock currently included in unvested.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restricted stock awards, restricted stock units and performance stock units was $4,609 during the three months ended March 31, 2025, as compared to $1,875 during the three months ended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total fair value of other stock awards vested was $3,809.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expense related to outstanding restricted stock units was $9,489, which will be recognized over a weighted average period of 2.4 years. As of March 31, 2025, total expected unrecognized stock-based compensation expense related to outstanding performance stock units was $14,118, which will be recognized over a weighted average period of 2.1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market-based performance stock units granted during the three months ended March 31, 2025 was $118.64 per award, which was calculated using a Monte Carlo pricing model assuming a risk-free interest rate of 3.95% and an expected volatility of 25.1%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recorded $169 of stock-based compensation expense related to the Second Amended and Restated 1997 Employee Stock Purchase Plan during the three months ended March 31, 2025, as compared to $109 during the three months ended March 31,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(Loss) Income, Net of Tax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the balances of each component of accumulated other comprehensive (loss) income, net of tax follows:</w:t>
      </w:r>
    </w:p>
    <w:tbl>
      <w:tblPr>
        <w:tblW w:w="9668" w:type="dxa"/>
        <w:jc w:val="left"/>
        <w:tblInd w:w="0" w:type="dxa"/>
        <w:tblLayout w:type="fixed"/>
        <w:tblCellMar>
          <w:top w:w="28" w:type="dxa"/>
          <w:left w:w="28" w:type="dxa"/>
          <w:bottom w:w="28" w:type="dxa"/>
          <w:right w:w="28" w:type="dxa"/>
        </w:tblCellMar>
      </w:tblPr>
      <w:tblGrid>
        <w:gridCol w:w="2846"/>
        <w:gridCol w:w="2501"/>
        <w:gridCol w:w="2513"/>
        <w:gridCol w:w="109"/>
        <w:gridCol w:w="109"/>
        <w:gridCol w:w="342"/>
        <w:gridCol w:w="999"/>
        <w:gridCol w:w="249"/>
      </w:tblGrid>
      <w:tr>
        <w:trPr/>
        <w:tc>
          <w:tcPr>
            <w:tcW w:w="2846"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 reclassified from accumulated other comprehensive (loss) income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items of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reclassifications out of accumulated other comprehensive (loss) income, net of tax into earnings follows:</w:t>
      </w:r>
    </w:p>
    <w:tbl>
      <w:tblPr>
        <w:tblW w:w="10205" w:type="dxa"/>
        <w:jc w:val="left"/>
        <w:tblInd w:w="0" w:type="dxa"/>
        <w:tblLayout w:type="fixed"/>
        <w:tblCellMar>
          <w:top w:w="28" w:type="dxa"/>
          <w:left w:w="28" w:type="dxa"/>
          <w:bottom w:w="28" w:type="dxa"/>
          <w:right w:w="28" w:type="dxa"/>
        </w:tblCellMar>
      </w:tblPr>
      <w:tblGrid>
        <w:gridCol w:w="878"/>
        <w:gridCol w:w="771"/>
        <w:gridCol w:w="773"/>
        <w:gridCol w:w="109"/>
        <w:gridCol w:w="109"/>
        <w:gridCol w:w="109"/>
        <w:gridCol w:w="348"/>
        <w:gridCol w:w="1102"/>
        <w:gridCol w:w="180"/>
        <w:gridCol w:w="180"/>
        <w:gridCol w:w="180"/>
        <w:gridCol w:w="180"/>
        <w:gridCol w:w="348"/>
        <w:gridCol w:w="1102"/>
        <w:gridCol w:w="180"/>
        <w:gridCol w:w="109"/>
        <w:gridCol w:w="1700"/>
        <w:gridCol w:w="109"/>
        <w:gridCol w:w="109"/>
        <w:gridCol w:w="109"/>
        <w:gridCol w:w="109"/>
        <w:gridCol w:w="109"/>
        <w:gridCol w:w="378"/>
        <w:gridCol w:w="378"/>
        <w:gridCol w:w="546"/>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6"/>
            <w:tcBorders/>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 Reclassified Out of Accumulated Other Comprehensive (Loss) Income, Net of Tax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Consolidated</w:t>
              <w:br/>
              <w:t>Statements of Operations</w:t>
            </w:r>
          </w:p>
        </w:tc>
        <w:tc>
          <w:tcPr>
            <w:tcW w:w="1847" w:type="dxa"/>
            <w:gridSpan w:val="8"/>
            <w:tcBorders/>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attributable to common stockholders is computed by dividing net loss by the weighted average number of common shares outstanding during the period. Diluted loss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numerator and denominators used in the computation of loss per share attributable to common stockholders follows:</w:t>
      </w:r>
    </w:p>
    <w:tbl>
      <w:tblPr>
        <w:tblW w:w="7359" w:type="dxa"/>
        <w:jc w:val="left"/>
        <w:tblInd w:w="0" w:type="dxa"/>
        <w:tblLayout w:type="fixed"/>
        <w:tblCellMar>
          <w:top w:w="28" w:type="dxa"/>
          <w:left w:w="28" w:type="dxa"/>
          <w:bottom w:w="28" w:type="dxa"/>
          <w:right w:w="28" w:type="dxa"/>
        </w:tblCellMar>
      </w:tblPr>
      <w:tblGrid>
        <w:gridCol w:w="1636"/>
        <w:gridCol w:w="1441"/>
        <w:gridCol w:w="1452"/>
        <w:gridCol w:w="211"/>
        <w:gridCol w:w="691"/>
        <w:gridCol w:w="109"/>
        <w:gridCol w:w="109"/>
        <w:gridCol w:w="109"/>
        <w:gridCol w:w="109"/>
        <w:gridCol w:w="211"/>
        <w:gridCol w:w="691"/>
        <w:gridCol w:w="109"/>
        <w:gridCol w:w="109"/>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outstanding, end of period: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weighted average shares outstanding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potentially dilutive securities: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and other stock awards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potentially issuable shares</w:t>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OTHER ITEMS AND CHARGES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Expense from Acquisition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and March 31, 2024, we recorded charges of $5,529 and $5,010, respectively, comprised primarily of legal, consulting, rebranding and other costs associated with the due diligence, acquisition and integration of acquired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 and Liabilities Accounted for at Fair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consolidated balance sheets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Summaries of our financial assets and liabilities that are measured at fair value on a recurring basis follow:</w:t>
      </w:r>
    </w:p>
    <w:tbl>
      <w:tblPr>
        <w:tblW w:w="8895" w:type="dxa"/>
        <w:jc w:val="left"/>
        <w:tblInd w:w="0" w:type="dxa"/>
        <w:tblLayout w:type="fixed"/>
        <w:tblCellMar>
          <w:top w:w="28" w:type="dxa"/>
          <w:left w:w="28" w:type="dxa"/>
          <w:bottom w:w="28" w:type="dxa"/>
          <w:right w:w="28" w:type="dxa"/>
        </w:tblCellMar>
      </w:tblPr>
      <w:tblGrid>
        <w:gridCol w:w="1470"/>
        <w:gridCol w:w="1299"/>
        <w:gridCol w:w="1311"/>
        <w:gridCol w:w="334"/>
        <w:gridCol w:w="977"/>
        <w:gridCol w:w="175"/>
        <w:gridCol w:w="127"/>
        <w:gridCol w:w="127"/>
        <w:gridCol w:w="127"/>
        <w:gridCol w:w="321"/>
        <w:gridCol w:w="938"/>
        <w:gridCol w:w="167"/>
        <w:gridCol w:w="127"/>
        <w:gridCol w:w="127"/>
        <w:gridCol w:w="127"/>
        <w:gridCol w:w="312"/>
        <w:gridCol w:w="600"/>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March 31, 2025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6,527 </w:t>
            </w:r>
          </w:p>
        </w:tc>
        <w:tc>
          <w:tcPr>
            <w:tcW w:w="1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434" w:type="dxa"/>
        <w:jc w:val="center"/>
        <w:tblInd w:w="0" w:type="dxa"/>
        <w:tblLayout w:type="fixed"/>
        <w:tblCellMar>
          <w:top w:w="28" w:type="dxa"/>
          <w:left w:w="28" w:type="dxa"/>
          <w:bottom w:w="28" w:type="dxa"/>
          <w:right w:w="28" w:type="dxa"/>
        </w:tblCellMar>
      </w:tblPr>
      <w:tblGrid>
        <w:gridCol w:w="1470"/>
        <w:gridCol w:w="1299"/>
        <w:gridCol w:w="1311"/>
        <w:gridCol w:w="335"/>
        <w:gridCol w:w="978"/>
        <w:gridCol w:w="172"/>
        <w:gridCol w:w="135"/>
        <w:gridCol w:w="135"/>
        <w:gridCol w:w="135"/>
        <w:gridCol w:w="321"/>
        <w:gridCol w:w="938"/>
        <w:gridCol w:w="165"/>
        <w:gridCol w:w="135"/>
        <w:gridCol w:w="135"/>
        <w:gridCol w:w="135"/>
        <w:gridCol w:w="447"/>
        <w:gridCol w:w="860"/>
        <w:gridCol w:w="328"/>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December 31, 2024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fair value of our fixed rate debt, including our FAME Bonds 2015R-1, FAME Bonds 2015R-2, FAME Bonds 2024, Vermont Bonds 2013, Vermont Bonds 2022A-1, Vermont Bonds 2022A-2, New York Bonds 2014R-1, New York Bonds 2014R-2, New York Bonds 2020, New York Bonds 2020R-2 and New Hampshire Bonds (collectively, the “Industrial Revenue Bonds”) was approximately $277,316 and the carrying value was $277,000.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SEGMENT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In the three months ended March 31, 2025, we moved certain operations between our regional operating segments to align geographically, including a landfill that we own from the Western region to the Mid-Atlantic region and a collection and transfer station operation from our Western region to our Eastern region. Certain prior period amounts have been reclassified between regional operating segments to conform to the current period presentation.</w:t>
      </w:r>
    </w:p>
    <w:p>
      <w:pPr>
        <w:pStyle w:val="TextBody"/>
        <w:bidi w:val="0"/>
        <w:spacing w:lineRule="auto" w:line="288" w:before="120" w:after="283"/>
        <w:jc w:val="left"/>
        <w:rPr/>
      </w:pPr>
      <w:r>
        <w:rPr>
          <w:rFonts w:ascii="Times New Roman;sans-serif" w:hAnsi="Times New Roman;sans-serif"/>
          <w:b w:val="false"/>
          <w:color w:val="000000"/>
          <w:sz w:val="20"/>
        </w:rPr>
        <w:t xml:space="preserve">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Operating income by segment reported in the three months ended March 31, 2024 has been updated to conform with the presentation for the three months ended March 31, 2025, which includes the movement of certain operations described above and does not have Corporate Entities costs allocated to our reportable operating segments. See Note 5,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for the breakout of goodwill by reportable operating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our reportable operating segments are the same as those described in Item 8. “Financial Statements and Supplementary Data” of our 2024 Form 10-K. Our President is our chief operating decision maker (“CODM”). Our CODM uses operating income in evaluating reportable operating segment performance in order to properly allocate resources and make key operating decisions. Intercompany revenues and expenses are eliminated in the computation of consolidated gross revenues and operating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concerning our reportable segments for the three months ended March 31, 2024 and 2025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2025 </w:t>
      </w:r>
    </w:p>
    <w:tbl>
      <w:tblPr>
        <w:tblW w:w="13227"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w:t>
      </w:r>
    </w:p>
    <w:tbl>
      <w:tblPr>
        <w:tblW w:w="1296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revenues attributable to services provided follows:</w:t>
      </w:r>
    </w:p>
    <w:tbl>
      <w:tblPr>
        <w:tblW w:w="5034" w:type="dxa"/>
        <w:jc w:val="left"/>
        <w:tblInd w:w="0" w:type="dxa"/>
        <w:tblLayout w:type="fixed"/>
        <w:tblCellMar>
          <w:top w:w="28" w:type="dxa"/>
          <w:left w:w="28" w:type="dxa"/>
          <w:bottom w:w="28" w:type="dxa"/>
          <w:right w:w="28" w:type="dxa"/>
        </w:tblCellMar>
      </w:tblPr>
      <w:tblGrid>
        <w:gridCol w:w="699"/>
        <w:gridCol w:w="614"/>
        <w:gridCol w:w="621"/>
        <w:gridCol w:w="211"/>
        <w:gridCol w:w="826"/>
        <w:gridCol w:w="109"/>
        <w:gridCol w:w="109"/>
        <w:gridCol w:w="109"/>
        <w:gridCol w:w="109"/>
        <w:gridCol w:w="211"/>
        <w:gridCol w:w="826"/>
        <w:gridCol w:w="109"/>
        <w:gridCol w:w="109"/>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waste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The following discussion should be read in conjunction with our unaudited consolidated financial statements and notes thereto included under Item 1. “</w:t>
      </w:r>
      <w:r>
        <w:rPr>
          <w:rFonts w:ascii="Times New Roman;sans-serif" w:hAnsi="Times New Roman;sans-serif"/>
          <w:b w:val="false"/>
          <w:i/>
          <w:color w:val="000000"/>
          <w:sz w:val="20"/>
        </w:rPr>
        <w:t>Financial Statements</w:t>
      </w:r>
      <w:r>
        <w:rPr>
          <w:color w:val="000000"/>
        </w:rPr>
        <w:t>”</w:t>
      </w:r>
      <w:r>
        <w:rPr>
          <w:rFonts w:ascii="Times New Roman;sans-serif" w:hAnsi="Times New Roman;sans-serif"/>
          <w:b w:val="false"/>
          <w:color w:val="000000"/>
          <w:sz w:val="20"/>
        </w:rPr>
        <w:t>. In addition, reference should be made to our audited consolidated financial statements and notes thereto and related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appearing in our Annual Report on Form 10-K for the fiscal year ended December 31, 2024 (“fiscal year 2024”) filed with the Securities and Exchange Commission on February 18, 2025 (“2024 Form 10-K”).</w:t>
      </w:r>
    </w:p>
    <w:p>
      <w:pPr>
        <w:pStyle w:val="TextBody"/>
        <w:bidi w:val="0"/>
        <w:spacing w:lineRule="auto" w:line="288" w:before="120" w:after="283"/>
        <w:jc w:val="left"/>
        <w:rPr/>
      </w:pPr>
      <w:r>
        <w:rPr>
          <w:rFonts w:ascii="Times New Roman;sans-serif" w:hAnsi="Times New Roman;sans-serif"/>
          <w:b w:val="false"/>
          <w:color w:val="000000"/>
          <w:sz w:val="20"/>
        </w:rPr>
        <w:t>This Quarterly Report on Form 10-Q and, in particular, this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may contain or incorporate a number of forward-looking statements within the meaning of Section 27A of the Securities Act of 1933, as amended, and Section 21E of the Exchange Act of 1934, as amended, including statements regarding:</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consummate business acquisitions or divestitures, integrate acquired businesses and operations and achieve the expected benefits, including the expected annualized revenues from such acquired businesses and operations;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achieve the key strategies of our long-term strategic plan;</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projected development of additional disposal capacity or expectations regarding permits for existing capacity;</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outcome of any legal or regulatory matter;</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expected liquidity and financing plans;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expected future revenues, operations, expenditures and cash needs;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severe weather conditions, which could impair our financial results by causing increased costs, loss of revenue, reduced operational efficiency or disruptions to our operations;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use our net operating losses and tax positions;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our ability to service our debt obligations;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the recoverability or impairment of any of our assets or goodwill;</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estimates of the potential markets for our products and services, including the anticipated drivers for future growth;</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sales and marketing plans or price and volume assumptions;</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projected improvements to our infrastructure and the impact of such improvements on our business and operations; and</w:t>
      </w:r>
    </w:p>
    <w:p>
      <w:pPr>
        <w:pStyle w:val="TextBody"/>
        <w:bidi w:val="0"/>
        <w:spacing w:lineRule="auto" w:line="288" w:before="120" w:after="60"/>
        <w:ind w:left="0" w:right="0" w:hanging="720"/>
        <w:jc w:val="left"/>
        <w:rPr/>
      </w:pPr>
      <w:r>
        <w:rPr>
          <w:color w:val="000000"/>
        </w:rPr>
        <w:t>•</w:t>
      </w:r>
      <w:r>
        <w:rPr>
          <w:rFonts w:ascii="Times New Roman;sans-serif" w:hAnsi="Times New Roman;sans-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bidi w:val="0"/>
        <w:spacing w:lineRule="auto" w:line="288" w:before="120" w:after="283"/>
        <w:jc w:val="left"/>
        <w:rPr/>
      </w:pPr>
      <w:r>
        <w:rPr>
          <w:rFonts w:ascii="Times New Roman;sans-serif" w:hAnsi="Times New Roman;sans-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15, 2025, we owned and/or operated 76 solid waste collection operations, 70 transfer stations, 31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left"/>
        <w:rPr/>
      </w:pPr>
      <w:r>
        <w:rPr>
          <w:rFonts w:ascii="Times New Roman;sans-serif" w:hAnsi="Times New Roman;sans-serif"/>
          <w:b w:val="false"/>
          <w:color w:val="000000"/>
          <w:sz w:val="20"/>
        </w:rPr>
        <w:t>We manage our solid waste operations, which include a full range of solid waste services, on a geographic basis through three regional operating segments, which we designate as the Eastern, Western and Mid-Atlantic regions. In the three months ended March 31, 2025, we moved certain operations between our regional operating segments, including a landfill that we own from the Western region to the Mid-Atlantic region and a collection and transfer station operation from our Western region to our Eastern region. Throughout this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certain prior period amounts have been reclassified between regional operating segments to conform to the current period presentation. For additional information, see Note 13,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to our consolidated financial statements included under Part I. Item 1. “</w:t>
      </w:r>
      <w:r>
        <w:rPr>
          <w:rFonts w:ascii="Times New Roman;sans-serif" w:hAnsi="Times New Roman;sans-serif"/>
          <w:b w:val="false"/>
          <w:i/>
          <w:color w:val="000000"/>
          <w:sz w:val="20"/>
        </w:rPr>
        <w:t>Financial</w:t>
      </w:r>
      <w:r>
        <w:rPr>
          <w:color w:val="000000"/>
        </w:rPr>
        <w:t xml:space="preserve"> </w:t>
      </w:r>
      <w:r>
        <w:rPr>
          <w:rFonts w:ascii="Times New Roman;sans-serif" w:hAnsi="Times New Roman;sans-serif"/>
          <w:b w:val="false"/>
          <w:i/>
          <w:color w:val="000000"/>
          <w:sz w:val="20"/>
        </w:rPr>
        <w:t>Statements</w:t>
      </w:r>
      <w:r>
        <w:rPr>
          <w:color w:val="000000"/>
        </w:rPr>
        <w:t xml:space="preserve">” </w:t>
      </w:r>
      <w:r>
        <w:rPr>
          <w:rFonts w:ascii="Times New Roman;sans-serif" w:hAnsi="Times New Roman;sans-serif"/>
          <w:b w:val="false"/>
          <w:color w:val="000000"/>
          <w:sz w:val="20"/>
        </w:rPr>
        <w:t>of this Quarterly Report on Form 10-Q.</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services provided by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revenues attributable to services provided (dollars in millions and as a percentage of total revenues) for the following periods:</w:t>
      </w:r>
    </w:p>
    <w:tbl>
      <w:tblPr>
        <w:tblW w:w="8854" w:type="dxa"/>
        <w:jc w:val="left"/>
        <w:tblInd w:w="0" w:type="dxa"/>
        <w:tblLayout w:type="fixed"/>
        <w:tblCellMar>
          <w:top w:w="28" w:type="dxa"/>
          <w:left w:w="28" w:type="dxa"/>
          <w:bottom w:w="28" w:type="dxa"/>
          <w:right w:w="28" w:type="dxa"/>
        </w:tblCellMar>
      </w:tblPr>
      <w:tblGrid>
        <w:gridCol w:w="699"/>
        <w:gridCol w:w="614"/>
        <w:gridCol w:w="621"/>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waste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Solid waste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519" w:type="dxa"/>
        <w:jc w:val="left"/>
        <w:tblInd w:w="0" w:type="dxa"/>
        <w:tblLayout w:type="fixed"/>
        <w:tblCellMar>
          <w:top w:w="28" w:type="dxa"/>
          <w:left w:w="28" w:type="dxa"/>
          <w:bottom w:w="28" w:type="dxa"/>
          <w:right w:w="28" w:type="dxa"/>
        </w:tblCellMar>
      </w:tblPr>
      <w:tblGrid>
        <w:gridCol w:w="783"/>
        <w:gridCol w:w="690"/>
        <w:gridCol w:w="702"/>
        <w:gridCol w:w="751"/>
        <w:gridCol w:w="1819"/>
        <w:gridCol w:w="388"/>
        <w:gridCol w:w="388"/>
        <w:gridCol w:w="388"/>
        <w:gridCol w:w="388"/>
        <w:gridCol w:w="388"/>
        <w:gridCol w:w="388"/>
        <w:gridCol w:w="965"/>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Volume</w:t>
            </w:r>
            <w:r>
              <w:rPr>
                <w:color w:val="000000"/>
              </w:rPr>
              <w:t xml:space="preserv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the change in our solid waste revenues during the three months ended March 31, 2025 as compared to the prior year period are summarized below: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increased solid waste revenues, including $12.2 million, or 5.8% as a percentage of collection revenues, from higher collection pricing and $2.7 million, or 5.5% as a percentage of disposal revenues, from higher disposal pricing associated with our landfills and transfer stations.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Volume decreased solid waste revenues, including $(3.6) million, or (1.7)% as a percentage of collection revenues, from lower collection volumes and $(1.1) million, or (2.2)% as a percentage of disposal revenues, from lower disposal volumes, with lower transfer station volumes partially offset by higher landfill volumes.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Acquisitions increased solid waste revenues due to the partial year impact of our acquisition of three businesses in the three months ended March 31, 2025, as well as the rollover impact of eight acquisitions completed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Resource Solutions revenues</w:t>
      </w:r>
    </w:p>
    <w:p>
      <w:pPr>
        <w:pStyle w:val="TextBody"/>
        <w:bidi w:val="0"/>
        <w:spacing w:lineRule="auto" w:line="288" w:before="120" w:after="283"/>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below for discussion over the period-to-period change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cost of operations, general and administration expense, and depreciation and amortization expense is as follows (dollars in millions and as a percentage of total revenues):</w:t>
      </w:r>
    </w:p>
    <w:tbl>
      <w:tblPr>
        <w:tblW w:w="9305" w:type="dxa"/>
        <w:jc w:val="left"/>
        <w:tblInd w:w="0" w:type="dxa"/>
        <w:tblLayout w:type="fixed"/>
        <w:tblCellMar>
          <w:top w:w="28" w:type="dxa"/>
          <w:left w:w="28" w:type="dxa"/>
          <w:bottom w:w="28" w:type="dxa"/>
          <w:right w:w="28" w:type="dxa"/>
        </w:tblCellMar>
      </w:tblPr>
      <w:tblGrid>
        <w:gridCol w:w="939"/>
        <w:gridCol w:w="827"/>
        <w:gridCol w:w="82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cost of operations is as follows (dollars in millions and as a percentage of total revenues):</w:t>
      </w:r>
    </w:p>
    <w:tbl>
      <w:tblPr>
        <w:tblW w:w="9200" w:type="dxa"/>
        <w:jc w:val="left"/>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labor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operational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pPr>
      <w:r>
        <w:rPr>
          <w:rFonts w:ascii="Times New Roman;sans-serif" w:hAnsi="Times New Roman;sans-serif"/>
          <w:b w:val="false"/>
          <w:color w:val="000000"/>
          <w:sz w:val="20"/>
        </w:rPr>
        <w:t>The most significant items impacting the changes in our cost of operations during the three months ended March 31, 2025 as compared to the prior year period are summ</w:t>
      </w:r>
      <w:r>
        <w:rPr>
          <w:rFonts w:ascii="Times New Roman;sans-serif" w:hAnsi="Times New Roman;sans-serif"/>
          <w:b w:val="false"/>
          <w:color w:val="000000"/>
          <w:sz w:val="20"/>
          <w:shd w:fill="FFFFFF" w:val="clear"/>
        </w:rPr>
        <w:t>arized below:</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costs increased in aggregate dollars primarily due to acquisitions and higher third-party disposal rates.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labor costs increased primarily due to acquisitions and higher wage and benefit rates.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Direct operational costs increased in aggregate dollars primarily due to (i) acquisitions, (ii) higher accruals related to insurance claims and legal penalties associated with leachate management at a landfill we own in our Eastern region, (iii) higher accretion expense associated with changes in the timing and cost estimates of our capping, closure and post-closure obligations, and (iv) general cost inflation; partially offset by lower leachate disposal costs. See Note 8,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 for further disclosure regarding the legal penalties accrual.</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Fuel costs increased in aggregate dollars due to acquisitions, partially offset by lower diesel fuel prices. 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 xml:space="preserve">of this Quarterly Report on Form 10-Q for additional information regarding our fuel costs.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Maintenance and repair costs increased due to acquisitions and higher personnel and parts costs.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operational costs increased in aggregate dollars due to (i) acquisitions, (ii) higher spending associated with supporting acquisition-related growth, and (iii)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general and administration expense is as follows (dollars in millions and as a percentage of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9979" w:type="dxa"/>
        <w:jc w:val="left"/>
        <w:tblInd w:w="0" w:type="dxa"/>
        <w:tblLayout w:type="fixed"/>
        <w:tblCellMar>
          <w:top w:w="28" w:type="dxa"/>
          <w:left w:w="28" w:type="dxa"/>
          <w:bottom w:w="28" w:type="dxa"/>
          <w:right w:w="28" w:type="dxa"/>
        </w:tblCellMar>
      </w:tblPr>
      <w:tblGrid>
        <w:gridCol w:w="1256"/>
        <w:gridCol w:w="1105"/>
        <w:gridCol w:w="1118"/>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presented by other companies.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 expense increased in the three months ended March 31, 2025 as compared to the prior year period, primarily due to (i) acquisition activity, including increased labor costs, professional service fees and other costs to support our growth and acquisition strategy, (ii) escalation of salary, wage, and benefit costs, (iii) higher accruals related to incentive compensation, and (iv) higher costs associated with information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components of depreciation and amortization expense (dollars in millions and as a percentage of total revenues) is as follows:</w:t>
      </w:r>
    </w:p>
    <w:tbl>
      <w:tblPr>
        <w:tblW w:w="9545" w:type="dxa"/>
        <w:jc w:val="left"/>
        <w:tblInd w:w="0" w:type="dxa"/>
        <w:tblLayout w:type="fixed"/>
        <w:tblCellMar>
          <w:top w:w="28" w:type="dxa"/>
          <w:left w:w="28" w:type="dxa"/>
          <w:bottom w:w="28" w:type="dxa"/>
          <w:right w:w="28" w:type="dxa"/>
        </w:tblCellMar>
      </w:tblPr>
      <w:tblGrid>
        <w:gridCol w:w="1103"/>
        <w:gridCol w:w="970"/>
        <w:gridCol w:w="972"/>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in the three months ended March 31, 2025 as compared to the prior year period, primarily due to (i) acquisitions, including the impact of accelerated amortization schedules of certain intangibles, (ii) investment in property and equipment in our existing operations, and (iii) higher landfill amortization expense related to higher landfill volumes in our Western region, and changes in cost and other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 from Acquisition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and March 31, 2024, we recorded charges of $5.5 million and $5.0 million, respectively, comprised primarily of legal, consulting, rebranding and other costs associated with the due diligence, acquisition and integration of acquired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net decreased $(1.5) million in the three months ended March 31, 2025 as compared to the prior year period primarily due to lower average interest rates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benefit for income taxes increased $1.6 million in the three months ended March 31, 2025, from the prior year period. The benefit of $(3.3) million for the three months ended March 31, 2025, included zero dollars of current income taxes and $3.3 million of deferred income tax benefit. For the three months ended March 31, 2024, the benefit of $(1.8) million included $0.6 million of current income taxes and $(2.4) million of deferred income tax benefit. The 40.9% effective rate for the three months ended March 31, 2025, was computed based on the statutory rate of 21% adjusted primarily for state taxes, nondeductible officer compensation, and an increase in the effective state rate due to tax losses in certain states requiring a valuation allowance; partially offset by tax deductible equity compensation in excess of book expense. This effective rate exceeded the 30.0% effective rate for the three months ended March 31, 2024, primarily due to a decrease in the effective state rate for tax losses in certain states requiring valuation losses.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2017, the Tax Cuts and Jobs Act (the “TCJ Act”) was enacted. The TCJ Act significantly changed U.S. corporate income tax laws by, among other things, changing carryforward rules for net operating losses. Depending on bonus depreciation and other elections made on the 2024 tax return when filed, we project to carry no pre-2018 net operating losses into 2025. Federal net operating losses generated after 2017, totaling $83.2 million carried forward to 2025, will be carried forward indefinitely, but generally may only offset up to 80% of taxable income earned in a tax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TCJ Act added limitations on the deductibility of interest expense and potentially could limit the deductibility of some of our interest expense. Any interest expense limited may be carried forward indefinitely and utilized in later years subject to the interest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20" w:after="283"/>
        <w:jc w:val="left"/>
        <w:rPr/>
      </w:pPr>
      <w:r>
        <w:rPr>
          <w:rFonts w:ascii="Times New Roman;sans-serif" w:hAnsi="Times New Roman;sans-serif"/>
          <w:b w:val="false"/>
          <w:color w:val="000000"/>
          <w:sz w:val="20"/>
        </w:rPr>
        <w:t>As noted above, certain prior period amounts have been reclassified between regional operating segments to conform to the current period presentation reflecting the movement of certain operations between our regional operating segments. See Note 13, Segment Reporting to our consolidated financial statements included under Part I. Item 1. “</w:t>
      </w:r>
      <w:r>
        <w:rPr>
          <w:rFonts w:ascii="Times New Roman;sans-serif" w:hAnsi="Times New Roman;sans-serif"/>
          <w:b w:val="false"/>
          <w:i/>
          <w:color w:val="000000"/>
          <w:sz w:val="20"/>
        </w:rPr>
        <w:t>Financial</w:t>
      </w:r>
      <w:r>
        <w:rPr>
          <w:color w:val="000000"/>
        </w:rPr>
        <w:t xml:space="preserve"> </w:t>
      </w:r>
      <w:r>
        <w:rPr>
          <w:rFonts w:ascii="Times New Roman;sans-serif" w:hAnsi="Times New Roman;sans-serif"/>
          <w:b w:val="false"/>
          <w:i/>
          <w:color w:val="000000"/>
          <w:sz w:val="20"/>
        </w:rPr>
        <w:t>Statements</w:t>
      </w:r>
      <w:r>
        <w:rPr>
          <w:color w:val="000000"/>
        </w:rPr>
        <w:t xml:space="preserve">” </w:t>
      </w:r>
      <w:r>
        <w:rPr>
          <w:rFonts w:ascii="Times New Roman;sans-serif" w:hAnsi="Times New Roman;sans-serif"/>
          <w:b w:val="false"/>
          <w:color w:val="000000"/>
          <w:sz w:val="20"/>
        </w:rPr>
        <w:t>of this Quarterly Report on Form 10-Q.</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revenues by reportable operating segment (in millions) follows:</w:t>
      </w:r>
    </w:p>
    <w:tbl>
      <w:tblPr>
        <w:tblW w:w="5751" w:type="dxa"/>
        <w:jc w:val="left"/>
        <w:tblInd w:w="0" w:type="dxa"/>
        <w:tblLayout w:type="fixed"/>
        <w:tblCellMar>
          <w:top w:w="28" w:type="dxa"/>
          <w:left w:w="28" w:type="dxa"/>
          <w:bottom w:w="28" w:type="dxa"/>
          <w:right w:w="28" w:type="dxa"/>
        </w:tblCellMar>
      </w:tblPr>
      <w:tblGrid>
        <w:gridCol w:w="612"/>
        <w:gridCol w:w="537"/>
        <w:gridCol w:w="54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Mid-Atlantic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operating income (loss) by operating segment (in millions) follows: </w:t>
      </w:r>
    </w:p>
    <w:tbl>
      <w:tblPr>
        <w:tblW w:w="5511" w:type="dxa"/>
        <w:jc w:val="left"/>
        <w:tblInd w:w="0" w:type="dxa"/>
        <w:tblLayout w:type="fixed"/>
        <w:tblCellMar>
          <w:top w:w="28" w:type="dxa"/>
          <w:left w:w="28" w:type="dxa"/>
          <w:bottom w:w="28" w:type="dxa"/>
          <w:right w:w="28" w:type="dxa"/>
        </w:tblCellMar>
      </w:tblPr>
      <w:tblGrid>
        <w:gridCol w:w="612"/>
        <w:gridCol w:w="537"/>
        <w:gridCol w:w="546"/>
        <w:gridCol w:w="211"/>
        <w:gridCol w:w="511"/>
        <w:gridCol w:w="109"/>
        <w:gridCol w:w="109"/>
        <w:gridCol w:w="109"/>
        <w:gridCol w:w="109"/>
        <w:gridCol w:w="211"/>
        <w:gridCol w:w="511"/>
        <w:gridCol w:w="109"/>
        <w:gridCol w:w="109"/>
        <w:gridCol w:w="109"/>
        <w:gridCol w:w="109"/>
        <w:gridCol w:w="211"/>
        <w:gridCol w:w="481"/>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Eastern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1" w:type="dxa"/>
        <w:jc w:val="left"/>
        <w:tblInd w:w="0" w:type="dxa"/>
        <w:tblLayout w:type="fixed"/>
        <w:tblCellMar>
          <w:top w:w="28" w:type="dxa"/>
          <w:left w:w="28" w:type="dxa"/>
          <w:bottom w:w="28" w:type="dxa"/>
          <w:right w:w="28" w:type="dxa"/>
        </w:tblCellMar>
      </w:tblPr>
      <w:tblGrid>
        <w:gridCol w:w="918"/>
        <w:gridCol w:w="809"/>
        <w:gridCol w:w="823"/>
        <w:gridCol w:w="802"/>
        <w:gridCol w:w="1544"/>
        <w:gridCol w:w="414"/>
        <w:gridCol w:w="414"/>
        <w:gridCol w:w="414"/>
        <w:gridCol w:w="414"/>
        <w:gridCol w:w="414"/>
        <w:gridCol w:w="414"/>
        <w:gridCol w:w="1030"/>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 increased in the three months ended March 31, 2025 as compared to the prior year period, primarily driven by (i) the contribution from acquisitions, (ii) higher collection pricing of $4.3 million, or 5.7% as a percentage of collection revenues, and (iii) higher disposal pricing of $0.8 million, or 3.6% as a percentage of disposal revenues; partially offset by (a) lower disposal volume of $(2.4) million, or (10.2)% as a percentage of disposal revenues, primarily from transfer stations, (b) lower surcharges and other fees primarily due to lower energy and environmental fee (“E&amp;E Fee(s)”) revenues associated with our fuel cost recovery program related to lower diesel fuel prices, as well as (c) lower collection volume of $(0.4) million, or (0.6)% as a percentage of collection revenues.</w:t>
      </w:r>
    </w:p>
    <w:p>
      <w:pPr>
        <w:pStyle w:val="TextBody"/>
        <w:bidi w:val="0"/>
        <w:spacing w:lineRule="auto" w:line="288" w:before="180" w:after="120"/>
        <w:jc w:val="left"/>
        <w:rPr/>
      </w:pPr>
      <w:r>
        <w:rPr>
          <w:rFonts w:ascii="Times New Roman;sans-serif" w:hAnsi="Times New Roman;sans-serif"/>
          <w:b w:val="false"/>
          <w:color w:val="000000"/>
          <w:sz w:val="20"/>
        </w:rPr>
        <w:t>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 regarding the energy component of our E&amp;E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in the three months ended March 31, 2025 by $1.6 million, as compared to the prior year period. The period-over-period increase was driven by (i) revenue growth, described above, (ii) higher intercompany related operating income, (iii) lower direct costs associated with lower collection and disposal volumes, and (iv) lower leachate disposal costs; partially offset by (a) higher accretion and landfill amortization expense associated with changes in the timing and cost estimates of our closure, post-closure, and capping obligations, (b) higher accruals related to insurance claims and legal penalties associated with leachate management at a landfill we own, (c) higher expense from acquisition activities, (d) increased depreciation expense due to acquisitions and investment in property and equipment, and (e) general cost inflation, including for disposal, labor, and maintenance costs. </w:t>
      </w:r>
    </w:p>
    <w:p>
      <w:pPr>
        <w:pStyle w:val="TextBody"/>
        <w:bidi w:val="0"/>
        <w:spacing w:lineRule="auto" w:line="288" w:before="120" w:after="283"/>
        <w:jc w:val="left"/>
        <w:rPr/>
      </w:pPr>
      <w:r>
        <w:rPr>
          <w:rFonts w:ascii="Times New Roman;sans-serif" w:hAnsi="Times New Roman;sans-serif"/>
          <w:b w:val="false"/>
          <w:color w:val="000000"/>
          <w:sz w:val="20"/>
        </w:rPr>
        <w:t xml:space="preserve">See Note 8,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 for further disclosure regarding the legal penalties accrual. See further discussion about the expense from acquisition activities above in “</w:t>
      </w:r>
      <w:r>
        <w:rPr>
          <w:rFonts w:ascii="Times New Roman;sans-serif" w:hAnsi="Times New Roman;sans-serif"/>
          <w:b w:val="false"/>
          <w:i/>
          <w:color w:val="000000"/>
          <w:sz w:val="20"/>
        </w:rPr>
        <w:t>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Layout w:type="fixed"/>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Solid waste revenues increased in the three months ended March 31, 2025 as compared to the prior year period, primarily driven by (i) the contribution from acquisitions, (ii) higher collection pricing of $6.1 million, or 6.4% as a percentage of collection revenues, (iii) higher disposal pricing of $1.8 million, or 7.3% as a percentage of disposal revenues, and (iv) higher disposal volume of $1.1 million, or 4.4% as a percentage of disposal revenues, from landfills and transfer stations;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by lower collection volume of $(0.6) million, or (0.7)% as a percentage of collection revenues, and lower surcharges and other fees due to lower E&amp;E Fee revenues associated with our fuel cost recovery program related to lower diesel fuel prices.</w:t>
      </w:r>
    </w:p>
    <w:p>
      <w:pPr>
        <w:pStyle w:val="TextBody"/>
        <w:bidi w:val="0"/>
        <w:spacing w:lineRule="auto" w:line="288" w:before="120" w:after="120"/>
        <w:jc w:val="left"/>
        <w:rPr/>
      </w:pPr>
      <w:r>
        <w:rPr>
          <w:rFonts w:ascii="Times New Roman;sans-serif" w:hAnsi="Times New Roman;sans-serif"/>
          <w:b w:val="false"/>
          <w:color w:val="000000"/>
          <w:sz w:val="20"/>
        </w:rPr>
        <w:t>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 regarding the energy component of our E&amp;E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in the three months ended March 31, 2025 by $4.8 million as compared to the prior year period. The period-over-period increase was due to (i) revenue growth, described above, (ii) higher intercompany related operating income, and (iii) lower leachate disposal costs; partially offset by (a) higher directs costs associated with increased disposal volumes, (b) higher costs associated with operating and supporting acquired businesses, including the impact of accelerated amortization schedules of certain intangibles (c) higher accretion and landfill amortization expense associated with changes in the timing and cost estimates of our closure, post-closure, and capping obligations, and higher landfill volumes, (d) higher accruals related to insurance claims, (e) higher expense from acquisition activities, (f) increased depreciation expense due to acquisitions and investment in property and equipment, and (g) general cost inflation, including for disposal, labor, and maintenance costs. </w:t>
      </w:r>
    </w:p>
    <w:p>
      <w:pPr>
        <w:pStyle w:val="TextBody"/>
        <w:bidi w:val="0"/>
        <w:spacing w:lineRule="auto" w:line="288" w:before="120" w:after="120"/>
        <w:jc w:val="left"/>
        <w:rPr/>
      </w:pPr>
      <w:r>
        <w:rPr>
          <w:rFonts w:ascii="Times New Roman;sans-serif" w:hAnsi="Times New Roman;sans-serif"/>
          <w:b w:val="false"/>
          <w:color w:val="000000"/>
          <w:sz w:val="20"/>
        </w:rPr>
        <w:t>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Mid-Atlantic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628" w:type="dxa"/>
        <w:jc w:val="left"/>
        <w:tblInd w:w="0" w:type="dxa"/>
        <w:tblLayout w:type="fixed"/>
        <w:tblCellMar>
          <w:top w:w="28" w:type="dxa"/>
          <w:left w:w="28" w:type="dxa"/>
          <w:bottom w:w="28" w:type="dxa"/>
          <w:right w:w="28" w:type="dxa"/>
        </w:tblCellMar>
      </w:tblPr>
      <w:tblGrid>
        <w:gridCol w:w="783"/>
        <w:gridCol w:w="690"/>
        <w:gridCol w:w="702"/>
        <w:gridCol w:w="751"/>
        <w:gridCol w:w="1819"/>
        <w:gridCol w:w="388"/>
        <w:gridCol w:w="388"/>
        <w:gridCol w:w="388"/>
        <w:gridCol w:w="388"/>
        <w:gridCol w:w="388"/>
        <w:gridCol w:w="388"/>
        <w:gridCol w:w="965"/>
        <w:gridCol w:w="109"/>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Solid waste revenues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 increased in the three months ended March 31, 2025 as compared to the prior year period, primarily driven by (i) the contribution from acquisitions, (ii) higher collection pricing of $1.8 million, or 4.4% as a percentage of collection revenues, (ii) higher disposal volume of $0.1 million, or 18.0% as a percentage of disposal revenues, related to landfill operations, and (iii) higher surcharges and other fees due to higher revenues associated with legacy fuel cost recovery programs from acquired businesses; partially offset by lower collection volume of $(2.5) million, or (6.1)%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increased in the three months ended March 31, 2025 by $(0.5) million as compared to the prior year period. The period-over-period increase was due to (i) higher costs associated with operating and supporting acquired businesses, including the impact of accelerated amortization schedules of certain intangibles, (ii) increased depreciation expense due to acquisitions and investment in property and equipment, (iii) higher accruals related to insurance claims, and (iv) general cost inflation, including for disposal, labor, and maintenance costs; partially offset by (a) revenue growth, described above, (b) higher intercompany related operating income, and (c) lower expense from acquisition activities. </w:t>
      </w:r>
    </w:p>
    <w:p>
      <w:pPr>
        <w:pStyle w:val="TextBody"/>
        <w:bidi w:val="0"/>
        <w:spacing w:lineRule="auto" w:line="288" w:before="120" w:after="120"/>
        <w:jc w:val="left"/>
        <w:rPr/>
      </w:pPr>
      <w:r>
        <w:rPr>
          <w:rFonts w:ascii="Times New Roman;sans-serif" w:hAnsi="Times New Roman;sans-serif"/>
          <w:b w:val="false"/>
          <w:color w:val="000000"/>
          <w:sz w:val="20"/>
        </w:rPr>
        <w:t>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Resource Solutions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Resource Solutions revenues (dollars in millions and as percentage growth of Resource Solutions revenues)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8800" w:type="dxa"/>
        <w:jc w:val="left"/>
        <w:tblInd w:w="0" w:type="dxa"/>
        <w:tblLayout w:type="fixed"/>
        <w:tblCellMar>
          <w:top w:w="28" w:type="dxa"/>
          <w:left w:w="28" w:type="dxa"/>
          <w:bottom w:w="28" w:type="dxa"/>
          <w:right w:w="28" w:type="dxa"/>
        </w:tblCellMar>
      </w:tblPr>
      <w:tblGrid>
        <w:gridCol w:w="885"/>
        <w:gridCol w:w="780"/>
        <w:gridCol w:w="794"/>
        <w:gridCol w:w="802"/>
        <w:gridCol w:w="1544"/>
        <w:gridCol w:w="414"/>
        <w:gridCol w:w="414"/>
        <w:gridCol w:w="414"/>
        <w:gridCol w:w="414"/>
        <w:gridCol w:w="414"/>
        <w:gridCol w:w="414"/>
        <w:gridCol w:w="1030"/>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revenues</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revenues increased in the three months ended March 31, 2025 as compared to the prior year period, primarily driven by (i) higher National Accounts business volumes related to new business growth of $3.4 million, or 7.4% as a percentage of National Accounts revenues, (ii) National Accounts business pricing growth of $1.9 million, or 4.1% as a percentage of National Accounts revenues, (iii) higher tipping fees primarily related to contract structures that help to offset recycled commodity price movements of $0.9 million, or 3.8% as a percentage of related revenues, (iv) the contribution from acquisitions, (v) higher recycling volumes of $0.4 million, or 1.6% as a percentage of related revenues, (vi) higher other processing volumes of $0.4 million, or 7.8% as a percentage of related revenues, and (vii) higher other processing price of $0.2 million, or 3.9% as a percentage of related revenues; partially offset by lower surcharges and other fees revenues in our National Accounts business due to lower E&amp;E Fee revenues associated with our fuel cost recovery program related to lower diesel fuel prices and lower recycled commodity price of $(0.2) million, or (1.0)% as a percentage of related revenues.</w:t>
      </w:r>
    </w:p>
    <w:p>
      <w:pPr>
        <w:pStyle w:val="TextBody"/>
        <w:bidi w:val="0"/>
        <w:spacing w:lineRule="auto" w:line="288" w:before="60" w:after="120"/>
        <w:jc w:val="left"/>
        <w:rPr/>
      </w:pPr>
      <w:r>
        <w:rPr>
          <w:rFonts w:ascii="Times New Roman;sans-serif" w:hAnsi="Times New Roman;sans-serif"/>
          <w:b w:val="false"/>
          <w:color w:val="000000"/>
          <w:sz w:val="20"/>
        </w:rPr>
        <w:t>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 regarding the energy component of our E&amp;E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in the three months ended March 31, 2025 by $0.6 million as compared to the prior year period. The period-over-period increase was due to revenue growth, described above; partially offset by (i) higher costs associated with operating and supporting acquired businesses, including the impact of accelerated amortization schedules of certain intangibles, (ii) higher expense from acquisition activities, (iii) increased depreciation expense due to acquisitions and investment in property and equipment, (iv) general cost inflation, including for disposal, labor, and maintenance costs, and (v) lower intercompany related operating income.</w:t>
      </w:r>
    </w:p>
    <w:p>
      <w:pPr>
        <w:pStyle w:val="TextBody"/>
        <w:bidi w:val="0"/>
        <w:spacing w:lineRule="auto" w:line="288" w:before="120" w:after="120"/>
        <w:jc w:val="left"/>
        <w:rPr/>
      </w:pPr>
      <w:r>
        <w:rPr>
          <w:rFonts w:ascii="Times New Roman;sans-serif" w:hAnsi="Times New Roman;sans-serif"/>
          <w:b w:val="false"/>
          <w:color w:val="000000"/>
          <w:sz w:val="20"/>
        </w:rPr>
        <w:t>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Corporate Entities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increased $(10.2) million in the three months ended March 31, 2025, as compared to the prior year period. The period-over-period increase was due to (i) higher costs associated with supporting acquired businesses, (ii) general cost inflation for salaries, wages, benefits, professional services and other overhead costs including those associated with information technology, marketing, sales and community relations efforts, (iii) higher accruals related to incentive compensation, and (iv) higher depreciation expense associated with back office financial system infrastructure; partially offset by lower expense from acquisition activities. </w:t>
      </w:r>
    </w:p>
    <w:p>
      <w:pPr>
        <w:pStyle w:val="TextBody"/>
        <w:bidi w:val="0"/>
        <w:spacing w:lineRule="auto" w:line="288" w:before="120" w:after="283"/>
        <w:jc w:val="left"/>
        <w:rPr/>
      </w:pPr>
      <w:r>
        <w:rPr>
          <w:rFonts w:ascii="Times New Roman;sans-serif" w:hAnsi="Times New Roman;sans-serif"/>
          <w:b w:val="false"/>
          <w:color w:val="000000"/>
          <w:sz w:val="20"/>
        </w:rPr>
        <w:t>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monitor our actual and forecasted cash flows, our liquidity, and our capital requirements in order to properly manage our liquidity needs as we move forward based on the capital intensive nature of our business and our growth acquisition strategy. As of March 31, 2025, we had $675.4 million of available and undrawn capacity under our $700.0 million revolving credit facility (“Revolving Credit Facility”) and $267.7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consolidated balance sheets items relevant to our liquidity (in millions) follows:</w:t>
      </w:r>
    </w:p>
    <w:tbl>
      <w:tblPr>
        <w:tblW w:w="10160" w:type="dxa"/>
        <w:jc w:val="left"/>
        <w:tblInd w:w="0" w:type="dxa"/>
        <w:tblLayout w:type="fixed"/>
        <w:tblCellMar>
          <w:top w:w="28" w:type="dxa"/>
          <w:left w:w="28" w:type="dxa"/>
          <w:bottom w:w="28" w:type="dxa"/>
          <w:right w:w="28" w:type="dxa"/>
        </w:tblCellMar>
      </w:tblPr>
      <w:tblGrid>
        <w:gridCol w:w="2270"/>
        <w:gridCol w:w="1993"/>
        <w:gridCol w:w="2006"/>
        <w:gridCol w:w="211"/>
        <w:gridCol w:w="766"/>
        <w:gridCol w:w="109"/>
        <w:gridCol w:w="109"/>
        <w:gridCol w:w="109"/>
        <w:gridCol w:w="109"/>
        <w:gridCol w:w="212"/>
        <w:gridCol w:w="773"/>
        <w:gridCol w:w="110"/>
        <w:gridCol w:w="109"/>
        <w:gridCol w:w="109"/>
        <w:gridCol w:w="109"/>
        <w:gridCol w:w="211"/>
        <w:gridCol w:w="691"/>
        <w:gridCol w:w="154"/>
      </w:tblGrid>
      <w:tr>
        <w:trPr/>
        <w:tc>
          <w:tcPr>
            <w:tcW w:w="227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non-current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restricted cash and non-current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cash equivalents and restricted cash -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 excluding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cash equivalents and restricted cash - current, decreased $(6.0) million and current liabilities, excluding current maturities of debt, decreased $(34.3) in the three months ended March 31, 2025, resulting in a $28.3 million increase in working capital, net (defined as current assets, excluding cash, cash equivalents and restricted cash - current, minus current liabilities, excluding current maturities of debt), from $(34.7) million as of December 31, 2024 to $(6.4) million as of March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Summary of Cash Flow Activity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cash flows (in millions) follows:</w:t>
      </w:r>
    </w:p>
    <w:tbl>
      <w:tblPr>
        <w:tblW w:w="7092" w:type="dxa"/>
        <w:jc w:val="left"/>
        <w:tblInd w:w="0" w:type="dxa"/>
        <w:tblLayout w:type="fixed"/>
        <w:tblCellMar>
          <w:top w:w="28" w:type="dxa"/>
          <w:left w:w="28" w:type="dxa"/>
          <w:bottom w:w="28" w:type="dxa"/>
          <w:right w:w="28" w:type="dxa"/>
        </w:tblCellMar>
      </w:tblPr>
      <w:tblGrid>
        <w:gridCol w:w="1254"/>
        <w:gridCol w:w="1104"/>
        <w:gridCol w:w="1107"/>
        <w:gridCol w:w="211"/>
        <w:gridCol w:w="691"/>
        <w:gridCol w:w="109"/>
        <w:gridCol w:w="109"/>
        <w:gridCol w:w="109"/>
        <w:gridCol w:w="109"/>
        <w:gridCol w:w="211"/>
        <w:gridCol w:w="586"/>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operating cash flows (in millions) follows:</w:t>
      </w:r>
    </w:p>
    <w:tbl>
      <w:tblPr>
        <w:tblW w:w="8439" w:type="dxa"/>
        <w:jc w:val="left"/>
        <w:tblInd w:w="0" w:type="dxa"/>
        <w:tblLayout w:type="fixed"/>
        <w:tblCellMar>
          <w:top w:w="28" w:type="dxa"/>
          <w:left w:w="28" w:type="dxa"/>
          <w:bottom w:w="28" w:type="dxa"/>
          <w:right w:w="28" w:type="dxa"/>
        </w:tblCellMar>
      </w:tblPr>
      <w:tblGrid>
        <w:gridCol w:w="2329"/>
        <w:gridCol w:w="2036"/>
        <w:gridCol w:w="2070"/>
        <w:gridCol w:w="211"/>
        <w:gridCol w:w="511"/>
        <w:gridCol w:w="109"/>
        <w:gridCol w:w="109"/>
        <w:gridCol w:w="109"/>
        <w:gridCol w:w="109"/>
        <w:gridCol w:w="211"/>
        <w:gridCol w:w="481"/>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accretion on landfill and environmental remediation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issuance costs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operating cash flows follows:</w:t>
      </w:r>
    </w:p>
    <w:p>
      <w:pPr>
        <w:pStyle w:val="TextBody"/>
        <w:bidi w:val="0"/>
        <w:spacing w:lineRule="auto" w:line="288" w:before="120" w:after="283"/>
        <w:jc w:val="left"/>
        <w:rPr/>
      </w:pPr>
      <w:r>
        <w:rPr>
          <w:rFonts w:ascii="Times New Roman;sans-serif" w:hAnsi="Times New Roman;sans-serif"/>
          <w:b w:val="false"/>
          <w:color w:val="000000"/>
          <w:sz w:val="20"/>
        </w:rPr>
        <w:t>Net cash provided by operating activities increased $42.4 million in the three months ended March 31, 2025 as compared to the three months ended March 31, 2024. This was the result of business growth, including from acquisition activity, and a decrease in the unfavorable cash flow impact associated with the changes in our assets and liabilities, net of effects of acquisitions and divestitures. For discussion of our operational performance in the three months ended March 31, 2025 as compared to the three months ended March 31, 2024, see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i/>
          <w:color w:val="000000"/>
          <w:sz w:val="20"/>
        </w:rPr>
        <w:t>Cash flows from investing activities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investing cash flows (in millions) follows: </w:t>
      </w:r>
    </w:p>
    <w:tbl>
      <w:tblPr>
        <w:tblW w:w="6113" w:type="dxa"/>
        <w:jc w:val="left"/>
        <w:tblInd w:w="0" w:type="dxa"/>
        <w:tblLayout w:type="fixed"/>
        <w:tblCellMar>
          <w:top w:w="28" w:type="dxa"/>
          <w:left w:w="28" w:type="dxa"/>
          <w:bottom w:w="28" w:type="dxa"/>
          <w:right w:w="28" w:type="dxa"/>
        </w:tblCellMar>
      </w:tblPr>
      <w:tblGrid>
        <w:gridCol w:w="1386"/>
        <w:gridCol w:w="1216"/>
        <w:gridCol w:w="1222"/>
        <w:gridCol w:w="211"/>
        <w:gridCol w:w="691"/>
        <w:gridCol w:w="109"/>
        <w:gridCol w:w="109"/>
        <w:gridCol w:w="109"/>
        <w:gridCol w:w="109"/>
        <w:gridCol w:w="211"/>
        <w:gridCol w:w="58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investing cash flows follows:</w:t>
      </w:r>
    </w:p>
    <w:p>
      <w:pPr>
        <w:pStyle w:val="TextBody"/>
        <w:bidi w:val="0"/>
        <w:spacing w:lineRule="auto" w:line="288" w:before="120" w:after="283"/>
        <w:jc w:val="left"/>
        <w:rPr/>
      </w:pPr>
      <w:r>
        <w:rPr>
          <w:rFonts w:ascii="Times New Roman;sans-serif" w:hAnsi="Times New Roman;sans-serif"/>
          <w:b w:val="false"/>
          <w:i/>
          <w:color w:val="000000"/>
          <w:sz w:val="20"/>
        </w:rPr>
        <w:t xml:space="preserve">Acquisitions, net of cash acquired. </w:t>
      </w:r>
      <w:r>
        <w:rPr>
          <w:rFonts w:ascii="Times New Roman;sans-serif" w:hAnsi="Times New Roman;sans-serif"/>
          <w:b w:val="false"/>
          <w:color w:val="000000"/>
          <w:sz w:val="20"/>
        </w:rPr>
        <w:t>In the three months ended March 31, 2025, we acquired three businesses for total consideration of $(103.5) million, all of which was cash consideration, and made $(0.1) million in payments on businesses previously acquired, as compared to the three months ended March 31, 2024 during which we paid $(0.3) million on businesses previously acquired.</w:t>
      </w:r>
    </w:p>
    <w:p>
      <w:pPr>
        <w:pStyle w:val="TextBody"/>
        <w:bidi w:val="0"/>
        <w:spacing w:lineRule="auto" w:line="288" w:before="120" w:after="283"/>
        <w:jc w:val="left"/>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Capital expenditures were $25.2 million higher in the three months ended March 31, 2025 as compared to the three months ended March 31, 2024, primarily due to acquisition activity and investment in our fleet; partially offset by lower landfill development spend, including the development of rail side infrastructure at our Subtitle D landfill located in Mount Jewitt, Pennsylvania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pPr>
      <w:r>
        <w:rPr>
          <w:rFonts w:ascii="Times New Roman;sans-serif" w:hAnsi="Times New Roman;sans-serif"/>
          <w:b w:val="false"/>
          <w:i/>
          <w:color w:val="000000"/>
          <w:sz w:val="20"/>
        </w:rPr>
        <w:t>Cash flows from financing activities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financing cash flows (in millions) follows:</w:t>
      </w:r>
    </w:p>
    <w:tbl>
      <w:tblPr>
        <w:tblW w:w="5063" w:type="dxa"/>
        <w:jc w:val="left"/>
        <w:tblInd w:w="0" w:type="dxa"/>
        <w:tblLayout w:type="fixed"/>
        <w:tblCellMar>
          <w:top w:w="28" w:type="dxa"/>
          <w:left w:w="28" w:type="dxa"/>
          <w:bottom w:w="28" w:type="dxa"/>
          <w:right w:w="28" w:type="dxa"/>
        </w:tblCellMar>
      </w:tblPr>
      <w:tblGrid>
        <w:gridCol w:w="1107"/>
        <w:gridCol w:w="975"/>
        <w:gridCol w:w="977"/>
        <w:gridCol w:w="211"/>
        <w:gridCol w:w="511"/>
        <w:gridCol w:w="109"/>
        <w:gridCol w:w="109"/>
        <w:gridCol w:w="109"/>
        <w:gridCol w:w="109"/>
        <w:gridCol w:w="211"/>
        <w:gridCol w:w="48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i/>
          <w:color w:val="000000"/>
          <w:sz w:val="20"/>
        </w:rPr>
        <w:t>Debt activity.</w:t>
      </w:r>
      <w:r>
        <w:rPr>
          <w:color w:val="000000"/>
        </w:rPr>
        <w:t xml:space="preserve"> </w:t>
      </w:r>
      <w:r>
        <w:rPr>
          <w:rFonts w:ascii="Times New Roman;sans-serif" w:hAnsi="Times New Roman;sans-serif"/>
          <w:b w:val="false"/>
          <w:color w:val="000000"/>
          <w:sz w:val="20"/>
        </w:rPr>
        <w:t>Net cash associated with debt activity increased $5.1 million in the three months ended March 31, 2025 as compared to the three months ended March 31, 2024 primarily due to the issuance in March 2025 of Vermont Economic Development Authority Solid Waste Disposal Revenue Bonds Series 2022A-2 (“Vermont Bonds 2022A-2”) due June 2052; partially offset by the repayment in full of Finance Authority of Maine Solid Waste Disposal Revenue Bonds Series 2005R-3, which matured and were repaid in January 2025.</w:t>
      </w:r>
    </w:p>
    <w:p>
      <w:pPr>
        <w:pStyle w:val="TextBody"/>
        <w:bidi w:val="0"/>
        <w:spacing w:lineRule="auto" w:line="288" w:before="120" w:after="120"/>
        <w:jc w:val="left"/>
        <w:rPr/>
      </w:pPr>
      <w:r>
        <w:rPr>
          <w:rFonts w:ascii="Times New Roman;sans-serif" w:hAnsi="Times New Roman;sans-serif"/>
          <w:b w:val="false"/>
          <w:i/>
          <w:color w:val="000000"/>
          <w:sz w:val="20"/>
        </w:rPr>
        <w:t xml:space="preserve">Payment of debt issuance costs. </w:t>
      </w:r>
      <w:r>
        <w:rPr>
          <w:rFonts w:ascii="Times New Roman;sans-serif" w:hAnsi="Times New Roman;sans-serif"/>
          <w:b w:val="false"/>
          <w:color w:val="000000"/>
          <w:sz w:val="20"/>
        </w:rPr>
        <w:t>We paid $0.7 million of debt issuance costs in the three months ended March 31, 2025 primarily related to the issuance of Vermont Bonds 2022A-2.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Outstanding Long-Term Debt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are party to the second amended and rested credit agreement (the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0.300% to 1.175%</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March 31, 2025, further advances were available under the Revolving Credit Facility in the amount of $675.4 million. The available amount is net of outstanding irrevocable letters of credit totaling $24.6 million, and as of March 31, 2025 no amount had been drawn.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us to maintain a minimum interest coverage ratio and a maximum consolidated net leverage ratio, to be measured at the end of each fiscal quarter. As of March 31, 2025, we were in compliance with all financial covenants contained in the Credit Agreement as follows (in millions):</w:t>
      </w:r>
    </w:p>
    <w:tbl>
      <w:tblPr>
        <w:tblW w:w="10205" w:type="dxa"/>
        <w:jc w:val="left"/>
        <w:tblInd w:w="0" w:type="dxa"/>
        <w:tblLayout w:type="fixed"/>
        <w:tblCellMar>
          <w:top w:w="28" w:type="dxa"/>
          <w:left w:w="28" w:type="dxa"/>
          <w:bottom w:w="28" w:type="dxa"/>
          <w:right w:w="28" w:type="dxa"/>
        </w:tblCellMar>
      </w:tblPr>
      <w:tblGrid>
        <w:gridCol w:w="1322"/>
        <w:gridCol w:w="1145"/>
        <w:gridCol w:w="1149"/>
        <w:gridCol w:w="109"/>
        <w:gridCol w:w="109"/>
        <w:gridCol w:w="109"/>
        <w:gridCol w:w="925"/>
        <w:gridCol w:w="920"/>
        <w:gridCol w:w="925"/>
        <w:gridCol w:w="109"/>
        <w:gridCol w:w="109"/>
        <w:gridCol w:w="109"/>
        <w:gridCol w:w="925"/>
        <w:gridCol w:w="925"/>
        <w:gridCol w:w="1315"/>
      </w:tblGrid>
      <w:tr>
        <w:trPr/>
        <w:tc>
          <w:tcPr>
            <w:tcW w:w="132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Covenant Requirements at March 31, 2025</w:t>
            </w:r>
          </w:p>
        </w:tc>
      </w:tr>
      <w:tr>
        <w:trPr/>
        <w:tc>
          <w:tcPr>
            <w:tcW w:w="3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Maximum consolidated net leverage ratio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The maximum consolidated net leverage ratio is calculated as consolidated funded debt, net of up to $100.0 million of unencumbered cash and cash equivalents (calculated at $1,051.2 million as of March 31, 2025, or $1,151.2 million of consolidated funded debt less $100.0 million total of unencumbered cash and cash equivalents), divided by consolidated EBITDA. Consolidated EBITDA is based on operating results for the twelve months preceding the measurement date of March 31, 2025.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tbl>
      <w:tblPr>
        <w:tblW w:w="9358" w:type="dxa"/>
        <w:jc w:val="left"/>
        <w:tblInd w:w="0" w:type="dxa"/>
        <w:tblLayout w:type="fixed"/>
        <w:tblCellMar>
          <w:top w:w="28" w:type="dxa"/>
          <w:left w:w="28" w:type="dxa"/>
          <w:bottom w:w="28" w:type="dxa"/>
          <w:right w:w="28" w:type="dxa"/>
        </w:tblCellMar>
      </w:tblPr>
      <w:tblGrid>
        <w:gridCol w:w="2323"/>
        <w:gridCol w:w="2045"/>
        <w:gridCol w:w="2051"/>
        <w:gridCol w:w="632"/>
        <w:gridCol w:w="1846"/>
        <w:gridCol w:w="461"/>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divestitures</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charge - veneer failure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less amortization of debt issuance costs </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net of deferred income taxes</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as allowed by the Credit Agreement </w:t>
            </w:r>
            <w:r>
              <w:rPr>
                <w:rFonts w:ascii="Times New Roman;sans-serif" w:hAnsi="Times New Roman;sans-serif"/>
                <w:b w:val="false"/>
                <w:color w:val="000000"/>
                <w:sz w:val="16"/>
              </w:rPr>
              <w:t>(1)</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Adjustments as allowed by the Credit Agreement includes the estimated annual pro forma impact of acquisitions on consolidated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March 31, 2025, we were in compliance with the covenants contained in the Credit Agreement. We do not believe that these restrictions impact our ability to meet future liquidity needs.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120" w:after="283"/>
        <w:jc w:val="left"/>
        <w:rPr/>
      </w:pPr>
      <w:r>
        <w:rPr>
          <w:rFonts w:ascii="Times New Roman;sans-serif" w:hAnsi="Times New Roman;sans-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Tax-Exempt Financings and Other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outstanding $277.0 million aggregate principal amount of tax exempt bonds; $72.7 million aggregate principal amount of finance leases; and $1.5 million aggregate principal amount of notes payable. </w:t>
      </w:r>
    </w:p>
    <w:p>
      <w:pPr>
        <w:pStyle w:val="TextBody"/>
        <w:bidi w:val="0"/>
        <w:spacing w:lineRule="auto" w:line="288" w:before="120" w:after="283"/>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 for further disclosure regarding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pStyle w:val="TextBody"/>
        <w:bidi w:val="0"/>
        <w:spacing w:lineRule="auto" w:line="288" w:before="120" w:after="283"/>
        <w:jc w:val="left"/>
        <w:rPr/>
      </w:pPr>
      <w:r>
        <w:rPr>
          <w:rFonts w:ascii="Times New Roman;sans-serif" w:hAnsi="Times New Roman;sans-serif"/>
          <w:b w:val="false"/>
          <w:color w:val="000000"/>
          <w:sz w:val="20"/>
        </w:rPr>
        <w:t>See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 xml:space="preserve">included in this Quarterly Report on Form 10-Q for additional information regarding our fuel cost recovery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Regional 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primarily located in the eastern United States. Therefore, our business, financial condition and results of operations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 and Assumptions</w:t>
      </w:r>
    </w:p>
    <w:p>
      <w:pPr>
        <w:pStyle w:val="TextBody"/>
        <w:bidi w:val="0"/>
        <w:spacing w:lineRule="auto" w:line="288" w:before="120" w:after="283"/>
        <w:jc w:val="left"/>
        <w:rPr/>
      </w:pPr>
      <w:r>
        <w:rPr>
          <w:rFonts w:ascii="Times New Roman;sans-serif" w:hAnsi="Times New Roman;sans-serif"/>
          <w:b w:val="false"/>
          <w:color w:val="000000"/>
          <w:sz w:val="20"/>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of our Annual Report on Form 10-K for the fiscal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pPr>
      <w:r>
        <w:rPr>
          <w:rFonts w:ascii="Times New Roman;sans-serif" w:hAnsi="Times New Roman;sans-serif"/>
          <w:b w:val="false"/>
          <w:color w:val="000000"/>
          <w:sz w:val="20"/>
        </w:rPr>
        <w:t xml:space="preserve">For a description of the new accounting standards that may affect us, see Note 2, </w:t>
      </w:r>
      <w:r>
        <w:rPr>
          <w:rFonts w:ascii="Times New Roman;sans-serif" w:hAnsi="Times New Roman;sans-serif"/>
          <w:b w:val="false"/>
          <w:i/>
          <w:color w:val="000000"/>
          <w:sz w:val="20"/>
        </w:rPr>
        <w:t>Accounting Changes</w:t>
      </w:r>
      <w:r>
        <w:rPr>
          <w:color w:val="000000"/>
        </w:rPr>
        <w:t xml:space="preserve"> </w:t>
      </w:r>
      <w:r>
        <w:rPr>
          <w:rFonts w:ascii="Times New Roman;sans-serif" w:hAnsi="Times New Roman;sans-serif"/>
          <w:b w:val="false"/>
          <w:color w:val="000000"/>
          <w:sz w:val="20"/>
        </w:rPr>
        <w:t>to our consolidated financial statements included under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consumption levels in the last twelve months ended March 31, 2025, combined with our expected fuel consumption related to recently closed acquisitions, and after considering physically settled fuel contracts, we believe a $0.40 cent per gallon change in the price of diesel fuel would change our direct fuel costs by approximately $6.1 million per year. Offsetting these changes in direct fuel expense would be changes in the energy component of the E&amp;E Fees charged to our customers. Based on participation rates as of March 31, 2025 and considering recently closed acquisitions, we believe a $0.40 cent per gallon change in the price of diesel fuel would change the energy component of the E&amp;E Fee by approximately $5.5 million per year. In addition to direct fuel costs related to our consumption levels, we are also subject to fuel surcharge expense from third party transportation providers. Other operational costs and capital expenditures may also be impacted by fuel prices.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our fuel costs were $15.8 million, or 3.8% of revenue, as compared to $13.8 million, or 4.0% of revenue, in the three months ended March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March 31, 2025, we were not party to any commodity hedging agreements.</w:t>
      </w:r>
    </w:p>
    <w:p>
      <w:pPr>
        <w:pStyle w:val="TextBody"/>
        <w:bidi w:val="0"/>
        <w:spacing w:lineRule="auto" w:line="288" w:before="120" w:after="120"/>
        <w:jc w:val="left"/>
        <w:rPr/>
      </w:pPr>
      <w:r>
        <w:rPr>
          <w:rFonts w:ascii="Times New Roman;sans-serif" w:hAnsi="Times New Roman;sans-serif"/>
          <w:b w:val="false"/>
          <w:color w:val="000000"/>
          <w:sz w:val="20"/>
        </w:rPr>
        <w:t>The impact of commodity price risk as of March 31, 2025 does not differ materially from that discussed in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our Annual Report on Form 10-K for the fiscal year ended December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pPr>
      <w:r>
        <w:rPr>
          <w:rFonts w:ascii="Times New Roman;sans-serif" w:hAnsi="Times New Roman;sans-serif"/>
          <w:b w:val="false"/>
          <w:color w:val="000000"/>
          <w:sz w:val="20"/>
        </w:rPr>
        <w:t>The impact of interest rate risk as of March 31, 2025 does not differ materially from that discussed in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Our management, with the participation of our chief executive officer and chief financial officer, evaluated the effectiveness of our disclosure controls and procedures as of March 31,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chief executive officer and chief financial officer concluded that, as of such date, our disclosure controls and procedures were effective at the reasonable assurance level.</w:t>
      </w:r>
    </w:p>
    <w:p>
      <w:pPr>
        <w:pStyle w:val="TextBody"/>
        <w:bidi w:val="0"/>
        <w:spacing w:lineRule="auto" w:line="288" w:before="120" w:after="283"/>
        <w:jc w:val="left"/>
        <w:rPr/>
      </w:pP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No change in our internal control over financial reporting (as defined in Rules 13a-15(f) and 15d-15(f) under the Exchange Act) occurred during the three months ended March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pPr>
      <w:r>
        <w:rPr>
          <w:rFonts w:ascii="Times New Roman;sans-serif" w:hAnsi="Times New Roman;sans-serif"/>
          <w:b w:val="false"/>
          <w:color w:val="000000"/>
          <w:sz w:val="20"/>
        </w:rPr>
        <w:t xml:space="preserve">The information required by this Item is provided in Note 8,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Proceedings over Certain Environmental Matters Involving Governmental Authorities with Possible Sanctions of $1,000,000 or More</w:t>
      </w:r>
    </w:p>
    <w:p>
      <w:pPr>
        <w:pStyle w:val="TextBody"/>
        <w:bidi w:val="0"/>
        <w:spacing w:lineRule="auto" w:line="288" w:before="120" w:after="283"/>
        <w:jc w:val="left"/>
        <w:rPr/>
      </w:pPr>
      <w:r>
        <w:rPr>
          <w:rFonts w:ascii="Times New Roman;sans-serif" w:hAnsi="Times New Roman;sans-serif"/>
          <w:b w:val="false"/>
          <w:color w:val="000000"/>
          <w:sz w:val="20"/>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Information relating to environmental proceedings is provided in Note 8,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our consolidated financial statements included in Part I.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Our business is subject to a number of risks, including those identified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Annual Report on Form 10-K for the fiscal year ended December 31, 2024,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March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2967"/>
        <w:gridCol w:w="2947"/>
        <w:gridCol w:w="2977"/>
        <w:gridCol w:w="109"/>
        <w:gridCol w:w="157"/>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80"/>
                  <w:sz w:val="20"/>
                  <w:u w:val="single"/>
                </w:rPr>
                <w:t>G</w:t>
              </w:r>
            </w:hyperlink>
            <w:hyperlink r:id="rId3">
              <w:r>
                <w:rPr>
                  <w:rStyle w:val="InternetLink"/>
                  <w:rFonts w:ascii="Times New Roman;sans-serif" w:hAnsi="Times New Roman;sans-serif"/>
                  <w:b w:val="false"/>
                  <w:color w:val="000080"/>
                  <w:sz w:val="20"/>
                  <w:u w:val="single"/>
                </w:rPr>
                <w:t>uaranty Agreement</w:t>
              </w:r>
            </w:hyperlink>
            <w:hyperlink r:id="rId4">
              <w:r>
                <w:rPr>
                  <w:rStyle w:val="InternetLink"/>
                  <w:rFonts w:ascii="Times New Roman;sans-serif" w:hAnsi="Times New Roman;sans-serif"/>
                  <w:b w:val="false"/>
                  <w:color w:val="000080"/>
                  <w:sz w:val="20"/>
                  <w:u w:val="single"/>
                </w:rPr>
                <w:t>, dated as of March 1, 2025, by the guarantors named therein, in favor of U.S. Bank Trust Company</w:t>
              </w:r>
            </w:hyperlink>
            <w:hyperlink r:id="rId5">
              <w:r>
                <w:rPr>
                  <w:rStyle w:val="InternetLink"/>
                  <w:rFonts w:ascii="Times New Roman;sans-serif" w:hAnsi="Times New Roman;sans-serif"/>
                  <w:b w:val="false"/>
                  <w:color w:val="000080"/>
                  <w:sz w:val="20"/>
                  <w:u w:val="single"/>
                </w:rPr>
                <w:t xml:space="preserve">, National Association, as trustee (incorporated herein by reference to Exhibit 4.2 to the Current Report on Form </w:t>
              </w:r>
            </w:hyperlink>
            <w:hyperlink r:id="rId6">
              <w:r>
                <w:rPr>
                  <w:rStyle w:val="InternetLink"/>
                  <w:rFonts w:ascii="Times New Roman;sans-serif" w:hAnsi="Times New Roman;sans-serif"/>
                  <w:b w:val="false"/>
                  <w:color w:val="000080"/>
                  <w:sz w:val="20"/>
                  <w:u w:val="single"/>
                </w:rPr>
                <w:t>8-K of Casella filed on March 11, 2025 (Fil</w:t>
              </w:r>
            </w:hyperlink>
            <w:hyperlink r:id="rId7">
              <w:r>
                <w:rPr>
                  <w:rStyle w:val="InternetLink"/>
                  <w:rFonts w:ascii="Times New Roman;sans-serif" w:hAnsi="Times New Roman;sans-serif"/>
                  <w:b w:val="false"/>
                  <w:color w:val="000080"/>
                  <w:sz w:val="20"/>
                  <w:u w:val="single"/>
                </w:rPr>
                <w:t>e No. 000-232</w:t>
              </w:r>
            </w:hyperlink>
            <w:hyperlink r:id="rId8">
              <w:r>
                <w:rPr>
                  <w:rStyle w:val="InternetLink"/>
                  <w:rFonts w:ascii="Times New Roman;sans-serif" w:hAnsi="Times New Roman;sans-serif"/>
                  <w:b w:val="false"/>
                  <w:color w:val="000080"/>
                  <w:sz w:val="20"/>
                  <w:u w:val="single"/>
                </w:rPr>
                <w:t>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1033125.htm">
              <w:r>
                <w:rPr>
                  <w:rStyle w:val="InternetLink"/>
                  <w:rFonts w:ascii="Times New Roman;sans-serif" w:hAnsi="Times New Roman;sans-serif"/>
                  <w:b w:val="false"/>
                  <w:color w:val="000080"/>
                  <w:sz w:val="20"/>
                  <w:u w:val="single"/>
                </w:rPr>
                <w:t>P</w:t>
              </w:r>
            </w:hyperlink>
            <w:hyperlink w:anchor="cwst-ex101033125.htm">
              <w:r>
                <w:rPr>
                  <w:rStyle w:val="InternetLink"/>
                  <w:rFonts w:ascii="Times New Roman;sans-serif" w:hAnsi="Times New Roman;sans-serif"/>
                  <w:b w:val="false"/>
                  <w:color w:val="000080"/>
                  <w:sz w:val="20"/>
                  <w:u w:val="single"/>
                </w:rPr>
                <w:t>rogress Payment Agreement, dated February 25, 2025, between Casella Waste Systems, Inc. and Banc of America Leasing &amp; Capital, LLC</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033125.htm">
              <w:r>
                <w:rPr>
                  <w:rStyle w:val="InternetLink"/>
                  <w:rFonts w:ascii="Times New Roman;sans-serif" w:hAnsi="Times New Roman;sans-serif"/>
                  <w:b w:val="false"/>
                  <w:color w:val="0000FF"/>
                  <w:sz w:val="20"/>
                  <w:u w:val="single"/>
                </w:rPr>
                <w:t>Certification of Principal Executive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033125.htm">
              <w:r>
                <w:rPr>
                  <w:rStyle w:val="InternetLink"/>
                  <w:rFonts w:ascii="Times New Roman;sans-serif" w:hAnsi="Times New Roman;sans-serif"/>
                  <w:b w:val="false"/>
                  <w:color w:val="0000FF"/>
                  <w:sz w:val="20"/>
                  <w:u w:val="single"/>
                </w:rPr>
                <w:t>Certification of Principal Financial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033125.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2033125.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Submitted Electronically Herewith. Attached as Exhibit 101 to this report are the following formatted in inline XBRL (Extensible Business Reporting Language): (i) Consolidated Balance Sheets as of March 31, 2025 and December 31, 2024, (ii) Consolidated Statements of Operations for the three months ended March 31, 2025 and 2024, (iii) Consolidated Statements of Comprehensive (Loss) Income for the three months ended March 31, 2025 and 2024, (iv) Consolidated Statements of Stockholders’ Equity for the three months ended March 31, 2025 and 2024, (v) Consolidated Statements of Cash Flows for the three months ended March 31, 2025 and 2024,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401" w:type="dxa"/>
        <w:jc w:val="left"/>
        <w:tblInd w:w="0" w:type="dxa"/>
        <w:tblLayout w:type="fixed"/>
        <w:tblCellMar>
          <w:top w:w="28" w:type="dxa"/>
          <w:left w:w="28" w:type="dxa"/>
          <w:bottom w:w="28" w:type="dxa"/>
          <w:right w:w="28" w:type="dxa"/>
        </w:tblCellMar>
      </w:tblPr>
      <w:tblGrid>
        <w:gridCol w:w="591"/>
        <w:gridCol w:w="520"/>
        <w:gridCol w:w="523"/>
        <w:gridCol w:w="1463"/>
        <w:gridCol w:w="1463"/>
        <w:gridCol w:w="146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drawing>
          <wp:inline distT="0" distB="0" distL="0" distR="0">
            <wp:extent cx="2266950" cy="247650"/>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9"/>
                    <a:stretch>
                      <a:fillRect/>
                    </a:stretch>
                  </pic:blipFill>
                  <pic:spPr bwMode="auto">
                    <a:xfrm>
                      <a:off x="0" y="0"/>
                      <a:ext cx="2266950" cy="247650"/>
                    </a:xfrm>
                    <a:prstGeom prst="rect">
                      <a:avLst/>
                    </a:prstGeom>
                  </pic:spPr>
                </pic:pic>
              </a:graphicData>
            </a:graphic>
          </wp:inline>
        </w:drawing>
      </w:r>
    </w:p>
    <w:tbl>
      <w:tblPr>
        <w:tblW w:w="3657" w:type="dxa"/>
        <w:jc w:val="right"/>
        <w:tblInd w:w="0" w:type="dxa"/>
        <w:tblLayout w:type="fixed"/>
        <w:tblCellMar>
          <w:top w:w="28" w:type="dxa"/>
          <w:left w:w="28" w:type="dxa"/>
          <w:bottom w:w="28" w:type="dxa"/>
          <w:right w:w="28" w:type="dxa"/>
        </w:tblCellMar>
      </w:tblPr>
      <w:tblGrid>
        <w:gridCol w:w="124"/>
        <w:gridCol w:w="109"/>
        <w:gridCol w:w="109"/>
        <w:gridCol w:w="970"/>
        <w:gridCol w:w="970"/>
        <w:gridCol w:w="1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PROGRESS PAYMENT AGREEMENT</w:t>
              <w:br/>
              <w:t>Dated February 25, 2025</w:t>
            </w:r>
          </w:p>
        </w:tc>
      </w:tr>
    </w:tbl>
    <w:p>
      <w:pPr>
        <w:pStyle w:val="TextBody"/>
        <w:bidi w:val="0"/>
        <w:spacing w:before="20" w:after="283"/>
        <w:ind w:left="0" w:right="0" w:firstLine="540"/>
        <w:jc w:val="both"/>
        <w:rPr/>
      </w:pPr>
      <w:r>
        <w:rPr/>
      </w:r>
    </w:p>
    <w:p>
      <w:pPr>
        <w:pStyle w:val="TextBody"/>
        <w:bidi w:val="0"/>
        <w:spacing w:lineRule="auto" w:line="288" w:before="120" w:after="120"/>
        <w:jc w:val="both"/>
        <w:rPr/>
      </w:pPr>
      <w:r>
        <w:rPr>
          <w:rFonts w:ascii="Times New Roman;sans-serif" w:hAnsi="Times New Roman;sans-serif"/>
          <w:b w:val="false"/>
          <w:color w:val="000000"/>
          <w:sz w:val="19"/>
        </w:rPr>
        <w:t xml:space="preserve">Reference is made to Master Lease Agreement Number </w:t>
      </w:r>
      <w:r>
        <w:rPr>
          <w:rFonts w:ascii="Times New Roman;sans-serif" w:hAnsi="Times New Roman;sans-serif"/>
          <w:b w:val="false"/>
          <w:color w:val="000000"/>
          <w:sz w:val="19"/>
          <w:u w:val="single"/>
        </w:rPr>
        <w:t>36629-90000</w:t>
      </w:r>
      <w:r>
        <w:rPr>
          <w:color w:val="000000"/>
        </w:rPr>
        <w:t xml:space="preserve"> </w:t>
      </w:r>
      <w:r>
        <w:rPr>
          <w:rFonts w:ascii="Times New Roman;sans-serif" w:hAnsi="Times New Roman;sans-serif"/>
          <w:b w:val="false"/>
          <w:color w:val="000000"/>
          <w:sz w:val="19"/>
        </w:rPr>
        <w:t xml:space="preserve">dated </w:t>
      </w:r>
      <w:r>
        <w:rPr>
          <w:rFonts w:ascii="Times New Roman;sans-serif" w:hAnsi="Times New Roman;sans-serif"/>
          <w:b w:val="false"/>
          <w:color w:val="000000"/>
          <w:sz w:val="19"/>
          <w:u w:val="single"/>
        </w:rPr>
        <w:t>July 20, 2020</w:t>
      </w:r>
      <w:r>
        <w:rPr>
          <w:color w:val="000000"/>
        </w:rPr>
        <w:t xml:space="preserve"> </w:t>
      </w:r>
      <w:r>
        <w:rPr>
          <w:rFonts w:ascii="Times New Roman;sans-serif" w:hAnsi="Times New Roman;sans-serif"/>
          <w:b w:val="false"/>
          <w:color w:val="000000"/>
          <w:sz w:val="19"/>
        </w:rPr>
        <w:t>(the “</w:t>
      </w:r>
      <w:r>
        <w:rPr>
          <w:rFonts w:ascii="Times New Roman;sans-serif" w:hAnsi="Times New Roman;sans-serif"/>
          <w:b/>
          <w:color w:val="000000"/>
          <w:sz w:val="19"/>
        </w:rPr>
        <w:t>Agreement</w:t>
      </w:r>
      <w:r>
        <w:rPr>
          <w:color w:val="000000"/>
        </w:rPr>
        <w:t>”</w:t>
      </w:r>
      <w:r>
        <w:rPr>
          <w:rFonts w:ascii="Times New Roman;sans-serif" w:hAnsi="Times New Roman;sans-serif"/>
          <w:b w:val="false"/>
          <w:color w:val="000000"/>
          <w:sz w:val="19"/>
        </w:rPr>
        <w:t>), between Banc of America Leasing &amp; Capital, LLC (“</w:t>
      </w:r>
      <w:r>
        <w:rPr>
          <w:rFonts w:ascii="Times New Roman;sans-serif" w:hAnsi="Times New Roman;sans-serif"/>
          <w:b/>
          <w:color w:val="000000"/>
          <w:sz w:val="19"/>
        </w:rPr>
        <w:t>BALC</w:t>
      </w:r>
      <w:r>
        <w:rPr>
          <w:color w:val="000000"/>
        </w:rPr>
        <w:t>”</w:t>
      </w:r>
      <w:r>
        <w:rPr>
          <w:rFonts w:ascii="Times New Roman;sans-serif" w:hAnsi="Times New Roman;sans-serif"/>
          <w:b w:val="false"/>
          <w:color w:val="000000"/>
          <w:sz w:val="19"/>
        </w:rPr>
        <w:t xml:space="preserve">) and </w:t>
      </w:r>
      <w:r>
        <w:rPr>
          <w:rFonts w:ascii="Times New Roman;sans-serif" w:hAnsi="Times New Roman;sans-serif"/>
          <w:b w:val="false"/>
          <w:color w:val="000000"/>
          <w:sz w:val="19"/>
          <w:u w:val="single"/>
        </w:rPr>
        <w:t>Casella Waste Systems, Inc.</w:t>
      </w:r>
      <w:r>
        <w:rPr>
          <w:color w:val="000000"/>
        </w:rPr>
        <w:t xml:space="preserve"> </w:t>
      </w:r>
      <w:r>
        <w:rPr>
          <w:rFonts w:ascii="Times New Roman;sans-serif" w:hAnsi="Times New Roman;sans-serif"/>
          <w:b w:val="false"/>
          <w:color w:val="000000"/>
          <w:sz w:val="19"/>
        </w:rPr>
        <w:t>(“</w:t>
      </w:r>
      <w:r>
        <w:rPr>
          <w:rFonts w:ascii="Times New Roman;sans-serif" w:hAnsi="Times New Roman;sans-serif"/>
          <w:b/>
          <w:color w:val="000000"/>
          <w:sz w:val="19"/>
        </w:rPr>
        <w:t>Customer</w:t>
      </w:r>
      <w:r>
        <w:rPr>
          <w:color w:val="000000"/>
        </w:rPr>
        <w:t>”</w:t>
      </w:r>
      <w:r>
        <w:rPr>
          <w:rFonts w:ascii="Times New Roman;sans-serif" w:hAnsi="Times New Roman;sans-serif"/>
          <w:b w:val="false"/>
          <w:color w:val="000000"/>
          <w:sz w:val="19"/>
        </w:rPr>
        <w:t>). Terms not otherwise defined herein have the meanings specified in the Agreement.</w:t>
      </w:r>
    </w:p>
    <w:p>
      <w:pPr>
        <w:pStyle w:val="TextBody"/>
        <w:bidi w:val="0"/>
        <w:spacing w:lineRule="auto" w:line="288" w:before="120" w:after="120"/>
        <w:jc w:val="both"/>
        <w:rPr/>
      </w:pPr>
      <w:r>
        <w:rPr>
          <w:rFonts w:ascii="Times New Roman;sans-serif" w:hAnsi="Times New Roman;sans-serif"/>
          <w:b w:val="false"/>
          <w:color w:val="000000"/>
          <w:sz w:val="19"/>
        </w:rPr>
        <w:t>Pursuant to the provisions hereof and one or more proposal or approval letters between Customer and BALC (each, an “</w:t>
      </w:r>
      <w:r>
        <w:rPr>
          <w:rFonts w:ascii="Times New Roman;sans-serif" w:hAnsi="Times New Roman;sans-serif"/>
          <w:b/>
          <w:color w:val="000000"/>
          <w:sz w:val="19"/>
        </w:rPr>
        <w:t>Approval Letter</w:t>
      </w:r>
      <w:r>
        <w:rPr>
          <w:color w:val="000000"/>
        </w:rPr>
        <w:t>”</w:t>
      </w:r>
      <w:r>
        <w:rPr>
          <w:rFonts w:ascii="Times New Roman;sans-serif" w:hAnsi="Times New Roman;sans-serif"/>
          <w:b w:val="false"/>
          <w:color w:val="000000"/>
          <w:sz w:val="19"/>
        </w:rPr>
        <w:t>), Customer may request from time to time that BALC lease or finance to or for the benefit of Customer under the Agreement the items of Equipment described in letters, schedules, invoices, purchase orders or purchase agreement assignments executed and/or delivered to BALC by Customer, and that BALC purchase or fund or finance Customer’s purchase of such items of Equipment from Vendors selected and designated by Customer. Such Vendors may require advance payments, progress payments or full payment, which Customer may request BALC to fund pursuant to a “</w:t>
      </w:r>
      <w:r>
        <w:rPr>
          <w:rFonts w:ascii="Times New Roman;sans-serif" w:hAnsi="Times New Roman;sans-serif"/>
          <w:b/>
          <w:color w:val="000000"/>
          <w:sz w:val="19"/>
        </w:rPr>
        <w:t>Request for Advance</w:t>
      </w:r>
      <w:r>
        <w:rPr>
          <w:color w:val="000000"/>
        </w:rPr>
        <w:t xml:space="preserve">” </w:t>
      </w:r>
      <w:r>
        <w:rPr>
          <w:rFonts w:ascii="Times New Roman;sans-serif" w:hAnsi="Times New Roman;sans-serif"/>
          <w:b w:val="false"/>
          <w:color w:val="000000"/>
          <w:sz w:val="19"/>
        </w:rPr>
        <w:t xml:space="preserve">substantially in the form attached hereto as </w:t>
      </w:r>
      <w:r>
        <w:rPr>
          <w:rFonts w:ascii="Times New Roman;sans-serif" w:hAnsi="Times New Roman;sans-serif"/>
          <w:b w:val="false"/>
          <w:color w:val="000000"/>
          <w:sz w:val="19"/>
          <w:u w:val="single"/>
        </w:rPr>
        <w:t>Annex A</w:t>
      </w:r>
      <w:r>
        <w:rPr>
          <w:color w:val="000000"/>
        </w:rPr>
        <w:t xml:space="preserve"> </w:t>
      </w:r>
      <w:r>
        <w:rPr>
          <w:rFonts w:ascii="Times New Roman;sans-serif" w:hAnsi="Times New Roman;sans-serif"/>
          <w:b w:val="false"/>
          <w:color w:val="000000"/>
          <w:sz w:val="19"/>
        </w:rPr>
        <w:t>(collectively, “</w:t>
      </w:r>
      <w:r>
        <w:rPr>
          <w:rFonts w:ascii="Times New Roman;sans-serif" w:hAnsi="Times New Roman;sans-serif"/>
          <w:b/>
          <w:color w:val="000000"/>
          <w:sz w:val="19"/>
        </w:rPr>
        <w:t>Advances</w:t>
      </w:r>
      <w:r>
        <w:rPr>
          <w:color w:val="000000"/>
        </w:rPr>
        <w:t>”</w:t>
      </w:r>
      <w:r>
        <w:rPr>
          <w:rFonts w:ascii="Times New Roman;sans-serif" w:hAnsi="Times New Roman;sans-serif"/>
          <w:b w:val="false"/>
          <w:color w:val="000000"/>
          <w:sz w:val="19"/>
        </w:rPr>
        <w:t>) for such Equipment on or before the delivery and acceptance thereof by Customer, pursuant to invoices, purchase orders or related documents, warranties or agreements with Vendors (“</w:t>
      </w:r>
      <w:r>
        <w:rPr>
          <w:rFonts w:ascii="Times New Roman;sans-serif" w:hAnsi="Times New Roman;sans-serif"/>
          <w:b/>
          <w:color w:val="000000"/>
          <w:sz w:val="19"/>
        </w:rPr>
        <w:t>Purchase Agreements</w:t>
      </w:r>
      <w:r>
        <w:rPr>
          <w:color w:val="000000"/>
        </w:rPr>
        <w:t>”</w:t>
      </w:r>
      <w:r>
        <w:rPr>
          <w:rFonts w:ascii="Times New Roman;sans-serif" w:hAnsi="Times New Roman;sans-serif"/>
          <w:b w:val="false"/>
          <w:color w:val="000000"/>
          <w:sz w:val="19"/>
        </w:rPr>
        <w:t>). To induce BALC to make such Advances for such items of Equipment, and in consideration of Customer’s commitment to enter into the transactions contemplated by the Approval Letter, BALC and Customer agree as follows:</w:t>
      </w:r>
    </w:p>
    <w:p>
      <w:pPr>
        <w:pStyle w:val="TextBody"/>
        <w:bidi w:val="0"/>
        <w:spacing w:lineRule="auto" w:line="288" w:before="120" w:after="120"/>
        <w:jc w:val="both"/>
        <w:rPr/>
      </w:pPr>
      <w:r>
        <w:rPr>
          <w:rFonts w:ascii="Times New Roman;sans-serif" w:hAnsi="Times New Roman;sans-serif"/>
          <w:b w:val="false"/>
          <w:color w:val="000000"/>
          <w:sz w:val="19"/>
        </w:rPr>
        <w:t>1.</w:t>
      </w:r>
      <w:r>
        <w:rPr>
          <w:rFonts w:ascii="Times New Roman;sans-serif" w:hAnsi="Times New Roman;sans-serif"/>
          <w:b w:val="false"/>
          <w:color w:val="000000"/>
          <w:sz w:val="19"/>
        </w:rPr>
        <w:t>Customer shall execute and deliver to BALC a Request for Advance, in form and substance satisfactory to BALC, describing the amount of the Advance and the applicable items of Equipment. All Requests for Advances shall be submitted to BALC for review and approval on or before the expiration of any funding or utilization period specified in the Approval Letter (the “</w:t>
      </w:r>
      <w:r>
        <w:rPr>
          <w:rFonts w:ascii="Times New Roman;sans-serif" w:hAnsi="Times New Roman;sans-serif"/>
          <w:b/>
          <w:color w:val="000000"/>
          <w:sz w:val="19"/>
        </w:rPr>
        <w:t>Utilization Expiration Date</w:t>
      </w:r>
      <w:r>
        <w:rPr>
          <w:color w:val="000000"/>
        </w:rPr>
        <w:t>”</w:t>
      </w:r>
      <w:r>
        <w:rPr>
          <w:rFonts w:ascii="Times New Roman;sans-serif" w:hAnsi="Times New Roman;sans-serif"/>
          <w:b w:val="false"/>
          <w:color w:val="000000"/>
          <w:sz w:val="19"/>
        </w:rPr>
        <w:t>) and shall not exceed in the aggregate the total amount provided in the Approval Letter for the purchase price or financing of the applicable Equipment (the “</w:t>
      </w:r>
      <w:r>
        <w:rPr>
          <w:rFonts w:ascii="Times New Roman;sans-serif" w:hAnsi="Times New Roman;sans-serif"/>
          <w:b/>
          <w:color w:val="000000"/>
          <w:sz w:val="19"/>
        </w:rPr>
        <w:t>Maximum Amount</w:t>
      </w:r>
      <w:r>
        <w:rPr>
          <w:color w:val="000000"/>
        </w:rPr>
        <w:t>”</w:t>
      </w:r>
      <w:r>
        <w:rPr>
          <w:rFonts w:ascii="Times New Roman;sans-serif" w:hAnsi="Times New Roman;sans-serif"/>
          <w:b w:val="false"/>
          <w:color w:val="000000"/>
          <w:sz w:val="19"/>
        </w:rPr>
        <w:t>) unless otherwise agreed to in writing by BALC. BALC shall be under no obligation to fund any Advance unless: (a) the items of Equipment are of the type and value described in the Approval Letter and acceptable to BALC in its sole discretion; (b) there has occurred no Default or Event of Default under the Agreement; (c) no material adverse change has occurred in the operations, business, properties or condition, financial or otherwise, of the Customer or any Guarantor identified in the Approval Letter; (d) Customer has delivered to BALC, duly executed and in form and substance satisfactory to BALC, all documentation contemplated in this Progress Payment Agreement, the Approval Letter and the Agreement, together with all Related Agreements and such other documentation as may be reasonably required by BALC in its sole discretion (which may include, but not be limited to, the Purchase Agreements and assignments and Vendor acknowledgements thereof, disclaimers of interest or intercreditor agreements from Vendors or other creditors of Customer, and other documentation deemed necessary to confirm unencumbered ownership of the Equipment as contemplated in the Agreement) (“</w:t>
      </w:r>
      <w:r>
        <w:rPr>
          <w:rFonts w:ascii="Times New Roman;sans-serif" w:hAnsi="Times New Roman;sans-serif"/>
          <w:b/>
          <w:color w:val="000000"/>
          <w:sz w:val="19"/>
        </w:rPr>
        <w:t>Required Documentation</w:t>
      </w:r>
      <w:r>
        <w:rPr>
          <w:color w:val="000000"/>
        </w:rPr>
        <w:t>”</w:t>
      </w:r>
      <w:r>
        <w:rPr>
          <w:rFonts w:ascii="Times New Roman;sans-serif" w:hAnsi="Times New Roman;sans-serif"/>
          <w:b w:val="false"/>
          <w:color w:val="000000"/>
          <w:sz w:val="19"/>
        </w:rPr>
        <w:t>); and (e) all other applicable conditions precedent specified in the Approval Letter and the Agreement have been satisfied.</w:t>
      </w:r>
    </w:p>
    <w:p>
      <w:pPr>
        <w:pStyle w:val="TextBody"/>
        <w:bidi w:val="0"/>
        <w:spacing w:lineRule="auto" w:line="288" w:before="120" w:after="120"/>
        <w:jc w:val="both"/>
        <w:rPr/>
      </w:pPr>
      <w:r>
        <w:rPr>
          <w:rFonts w:ascii="Times New Roman;sans-serif" w:hAnsi="Times New Roman;sans-serif"/>
          <w:b w:val="false"/>
          <w:color w:val="000000"/>
          <w:sz w:val="19"/>
        </w:rPr>
        <w:t>2.</w:t>
      </w:r>
      <w:r>
        <w:rPr>
          <w:rFonts w:ascii="Times New Roman;sans-serif" w:hAnsi="Times New Roman;sans-serif"/>
          <w:b w:val="false"/>
          <w:color w:val="000000"/>
          <w:sz w:val="19"/>
        </w:rPr>
        <w:t>Interest on all Advances shall accrue from the date of the Advance until the earlier of the date repaid in full following BALC’s demand as described below or the commencement (“</w:t>
      </w:r>
      <w:r>
        <w:rPr>
          <w:rFonts w:ascii="Times New Roman;sans-serif" w:hAnsi="Times New Roman;sans-serif"/>
          <w:b/>
          <w:color w:val="000000"/>
          <w:sz w:val="19"/>
        </w:rPr>
        <w:t>Term Commencement</w:t>
      </w:r>
      <w:r>
        <w:rPr>
          <w:color w:val="000000"/>
        </w:rPr>
        <w:t>”</w:t>
      </w:r>
      <w:r>
        <w:rPr>
          <w:rFonts w:ascii="Times New Roman;sans-serif" w:hAnsi="Times New Roman;sans-serif"/>
          <w:b w:val="false"/>
          <w:color w:val="000000"/>
          <w:sz w:val="19"/>
        </w:rPr>
        <w:t xml:space="preserve">) of the applicable Lease Term pursuant to the Agreement relating to the item of Equipment that is the subject of such Advance. Interest on all Advances shall accrue at a fluctuating rate per annum equal to the Term SOFR Index, plus a spread adjustment of 0.11448%, plus </w:t>
      </w:r>
      <w:r>
        <w:rPr>
          <w:rFonts w:ascii="Times New Roman;sans-serif" w:hAnsi="Times New Roman;sans-serif"/>
          <w:b w:val="false"/>
          <w:color w:val="000000"/>
          <w:sz w:val="19"/>
          <w:u w:val="single"/>
        </w:rPr>
        <w:t>1.80</w:t>
      </w:r>
      <w:r>
        <w:rPr>
          <w:rFonts w:ascii="Times New Roman;sans-serif" w:hAnsi="Times New Roman;sans-serif"/>
          <w:b w:val="false"/>
          <w:color w:val="000000"/>
          <w:sz w:val="19"/>
        </w:rPr>
        <w:t xml:space="preserve">%, such interest to be paid within </w:t>
      </w:r>
      <w:r>
        <w:rPr>
          <w:rFonts w:ascii="Times New Roman;sans-serif" w:hAnsi="Times New Roman;sans-serif"/>
          <w:b w:val="false"/>
          <w:color w:val="000000"/>
          <w:sz w:val="19"/>
          <w:u w:val="single"/>
        </w:rPr>
        <w:t>10</w:t>
      </w:r>
      <w:r>
        <w:rPr>
          <w:color w:val="000000"/>
        </w:rPr>
        <w:t xml:space="preserve"> </w:t>
      </w:r>
      <w:r>
        <w:rPr>
          <w:rFonts w:ascii="Times New Roman;sans-serif" w:hAnsi="Times New Roman;sans-serif"/>
          <w:b w:val="false"/>
          <w:color w:val="000000"/>
          <w:sz w:val="19"/>
        </w:rPr>
        <w:t>days of the date BALC’s invoice therefor is sent to the Customer in accordance with the notice provisions in the Agreement. “</w:t>
      </w:r>
      <w:r>
        <w:rPr>
          <w:rFonts w:ascii="Times New Roman;sans-serif" w:hAnsi="Times New Roman;sans-serif"/>
          <w:b/>
          <w:color w:val="000000"/>
          <w:sz w:val="19"/>
        </w:rPr>
        <w:t>Term SOFR Index</w:t>
      </w:r>
      <w:r>
        <w:rPr>
          <w:color w:val="000000"/>
        </w:rPr>
        <w:t xml:space="preserve">” </w:t>
      </w:r>
      <w:r>
        <w:rPr>
          <w:rFonts w:ascii="Times New Roman;sans-serif" w:hAnsi="Times New Roman;sans-serif"/>
          <w:b w:val="false"/>
          <w:color w:val="000000"/>
          <w:sz w:val="19"/>
        </w:rPr>
        <w:t>shall mean the greater of (a) the per annum rate of interest equal to the one-month Secured Overnight Financing Rate (“</w:t>
      </w:r>
      <w:r>
        <w:rPr>
          <w:rFonts w:ascii="Times New Roman;sans-serif" w:hAnsi="Times New Roman;sans-serif"/>
          <w:b/>
          <w:color w:val="000000"/>
          <w:sz w:val="19"/>
        </w:rPr>
        <w:t>Term SOFR</w:t>
      </w:r>
      <w:r>
        <w:rPr>
          <w:color w:val="000000"/>
        </w:rPr>
        <w:t>”</w:t>
      </w:r>
      <w:r>
        <w:rPr>
          <w:rFonts w:ascii="Times New Roman;sans-serif" w:hAnsi="Times New Roman;sans-serif"/>
          <w:b w:val="false"/>
          <w:color w:val="000000"/>
          <w:sz w:val="19"/>
        </w:rPr>
        <w:t>) as published by CME or such other administrator as selected by an appropriate regulatory body and reflected in the applicable Refinitiv screen page (or comparable source selected by BALC), on the fifteenth day of the month in which BALC prepares its monthly or periodic rental invoice hereunder (or the next prior business day if the fifteenth is not a business day) or (b) 1%. If at any time Term SOFR or any Successor Rate (as defined below) (a “</w:t>
      </w:r>
      <w:r>
        <w:rPr>
          <w:rFonts w:ascii="Times New Roman;sans-serif" w:hAnsi="Times New Roman;sans-serif"/>
          <w:b/>
          <w:color w:val="000000"/>
          <w:sz w:val="19"/>
        </w:rPr>
        <w:t>Reference Rate</w:t>
      </w:r>
      <w:r>
        <w:rPr>
          <w:color w:val="000000"/>
        </w:rPr>
        <w:t>”</w:t>
      </w:r>
      <w:r>
        <w:rPr>
          <w:rFonts w:ascii="Times New Roman;sans-serif" w:hAnsi="Times New Roman;sans-serif"/>
          <w:b w:val="false"/>
          <w:color w:val="000000"/>
          <w:sz w:val="19"/>
        </w:rPr>
        <w:t>) is not available at such time for any reason or BALC makes the determination to incorporate or adopt a new interest rate index to replace such Reference Rate in loan or lease agreements, then BALC may replace such Reference Rate with an alternate interest rate index and adjustment, if applicable, as reasonably selected by BALC, giving due consideration to any evolving or then existing conventions for such interest rate index and adjustment (any such successor interest rate index, as adjusted, the “</w:t>
      </w:r>
      <w:r>
        <w:rPr>
          <w:rFonts w:ascii="Times New Roman;sans-serif" w:hAnsi="Times New Roman;sans-serif"/>
          <w:b/>
          <w:color w:val="000000"/>
          <w:sz w:val="19"/>
        </w:rPr>
        <w:t>Successor Rate</w:t>
      </w:r>
      <w:r>
        <w:rPr>
          <w:color w:val="000000"/>
        </w:rPr>
        <w:t>”</w:t>
      </w:r>
      <w:r>
        <w:rPr>
          <w:rFonts w:ascii="Times New Roman;sans-serif" w:hAnsi="Times New Roman;sans-serif"/>
          <w:b w:val="false"/>
          <w:color w:val="000000"/>
          <w:sz w:val="19"/>
        </w:rPr>
        <w:t>). In connection with the implementation of any Successor Rate, BALC will have the right, from time to time, in good faith to make any conforming, technical, administrative or operational changes to this Progress Payment Agreement as may be appropriate to reflect the adoption and administration thereof and, notwithstanding anything to the contrary herein or in any other loan document, any amendments to this Progress Payment Agreement implementing such conforming changes will become effective upon notice to the Customer without any further action or consent of the other parties hereto. If at any time any Successor Rate is less than 1%, such rate shall be deemed to be 1% for the purposes of this Progress Payment Agreement. All interest hereunder shall be calculated on the basis of a year of 360 days and such interest shall be applied to the actual number of days for which interest accrues.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14400"/>
                <wp:effectExtent l="0" t="0" r="0" b="0"/>
                <wp:wrapNone/>
                <wp:docPr id="46" name="Frame45"/>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before="0" w:after="0"/>
                              <w:jc w:val="left"/>
                              <w:rPr/>
                            </w:pPr>
                            <w:r>
                              <w:rPr/>
                            </w:r>
                            <w:r>
                              <w:br w:type="page"/>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19"/>
        </w:rPr>
        <w:t>3.</w:t>
      </w:r>
      <w:r>
        <w:rPr>
          <w:rFonts w:ascii="Times New Roman;sans-serif" w:hAnsi="Times New Roman;sans-serif"/>
          <w:b w:val="false"/>
          <w:color w:val="000000"/>
          <w:sz w:val="19"/>
        </w:rPr>
        <w:t>BALC and Customer intend that, except as otherwise provided herein, Advances hereunder shall be converted to the “Lessor’s Cost” of Equipment under one or more Schedules to the Agreement. In the event that an Approval Letter is issued in relation to a requested Equipment financing, if Customer for any reason prior to the Utilization Expiration Date noted in the applicable Approval Letter does not either draw Advances hereunder relating to such requested Equipment financing, or finance such Equipment pursuant to a Schedule under the Agreement, in an aggregate amount of at least 50% of the Maximum Amount noted in the applicable Approval Letter, then, as compensation to BALC for its capital allocation costs associated with issuing such Approval Letter, Customer shall pay to BALC upon BALC’s demand therefor a non-utilization fee equal to 1% of the Undrawn Amount. For purposes hereof, “</w:t>
      </w:r>
      <w:r>
        <w:rPr>
          <w:rFonts w:ascii="Times New Roman;sans-serif" w:hAnsi="Times New Roman;sans-serif"/>
          <w:b/>
          <w:color w:val="000000"/>
          <w:sz w:val="19"/>
        </w:rPr>
        <w:t>Undrawn Amount</w:t>
      </w:r>
      <w:r>
        <w:rPr>
          <w:color w:val="000000"/>
        </w:rPr>
        <w:t xml:space="preserve">” </w:t>
      </w:r>
      <w:r>
        <w:rPr>
          <w:rFonts w:ascii="Times New Roman;sans-serif" w:hAnsi="Times New Roman;sans-serif"/>
          <w:b w:val="false"/>
          <w:color w:val="000000"/>
          <w:sz w:val="19"/>
        </w:rPr>
        <w:t>shall mean an amount equal to 50% of such Maximum Amount set forth in the applicable Approval Letter, less the amount funded with respect to the Equipment financing described therein (pursuant to either Advances hereunder or a Schedule under the Agreement).</w:t>
      </w:r>
    </w:p>
    <w:p>
      <w:pPr>
        <w:pStyle w:val="TextBody"/>
        <w:bidi w:val="0"/>
        <w:spacing w:lineRule="auto" w:line="288" w:before="120" w:after="120"/>
        <w:jc w:val="both"/>
        <w:rPr/>
      </w:pPr>
      <w:r>
        <w:rPr>
          <w:rFonts w:ascii="Times New Roman;sans-serif" w:hAnsi="Times New Roman;sans-serif"/>
          <w:b w:val="false"/>
          <w:color w:val="000000"/>
          <w:sz w:val="19"/>
        </w:rPr>
        <w:t>4.</w:t>
      </w:r>
      <w:r>
        <w:rPr>
          <w:rFonts w:ascii="Times New Roman;sans-serif" w:hAnsi="Times New Roman;sans-serif"/>
          <w:b w:val="false"/>
          <w:color w:val="000000"/>
          <w:sz w:val="19"/>
        </w:rPr>
        <w:t>All Equipment purchased or financed by BALC with Advances shall for all purposes be deemed to be “Equipment” and part of the “Collateral,” as defined in and subject to all of the terms and provisions of the Agreement, including but not limited to terms and provisions concerning Customer’s use and maintenance thereof and any loss or damage to any Equipment. Customer’s obligations to repay Advances and interest thereon in accordance with the terms and provisions of this Progress Payment Agreement shall for all purposes be deemed to be additional “Rent” and “Obligations” secured by the “Collateral,” all as defined in and subject to all of the terms and provisions of the Agreement, including but not limited to terms and provisions concerning the absolute and unconditional nature of Customer’s Obligations to repay such amounts, that such Obligations shall not be subject to any abatement, deferment, reduction, setoff, defense, counterclaim or recoupment for any reason whatsoever, and that failure to pay such Obligations in accordance with the terms hereof shall constitute an immediate Event of Default under the Agreement.</w:t>
      </w:r>
    </w:p>
    <w:p>
      <w:pPr>
        <w:pStyle w:val="TextBody"/>
        <w:bidi w:val="0"/>
        <w:spacing w:lineRule="auto" w:line="288" w:before="120" w:after="120"/>
        <w:jc w:val="both"/>
        <w:rPr/>
      </w:pPr>
      <w:r>
        <w:rPr>
          <w:rFonts w:ascii="Times New Roman;sans-serif" w:hAnsi="Times New Roman;sans-serif"/>
          <w:b w:val="false"/>
          <w:color w:val="000000"/>
          <w:sz w:val="19"/>
        </w:rPr>
        <w:t>5.</w:t>
      </w:r>
      <w:r>
        <w:rPr>
          <w:rFonts w:ascii="Times New Roman;sans-serif" w:hAnsi="Times New Roman;sans-serif"/>
          <w:b w:val="false"/>
          <w:color w:val="000000"/>
          <w:sz w:val="19"/>
        </w:rPr>
        <w:t>Customer hereby further confirms the grant and conveyance provided in the Agreement, and hereby grants and conveys to BALC a continuing security interest in all of Customer’s rights, title and interests in and to the Equipment and the Collateral related thereto to secure the payment and performance of all of Customer’s Obligations owing to BALC, and acknowledges and agrees that BALC shall have all of the rights and remedies provided for in the Agreement with respect to such Equipment and Collateral upon the occurrence of an Event of Default.</w:t>
      </w:r>
    </w:p>
    <w:p>
      <w:pPr>
        <w:pStyle w:val="TextBody"/>
        <w:bidi w:val="0"/>
        <w:spacing w:lineRule="auto" w:line="288" w:before="120" w:after="120"/>
        <w:jc w:val="both"/>
        <w:rPr/>
      </w:pPr>
      <w:r>
        <w:rPr>
          <w:rFonts w:ascii="Times New Roman;sans-serif" w:hAnsi="Times New Roman;sans-serif"/>
          <w:b w:val="false"/>
          <w:color w:val="000000"/>
          <w:sz w:val="19"/>
        </w:rPr>
        <w:t>6.</w:t>
      </w:r>
      <w:r>
        <w:rPr>
          <w:rFonts w:ascii="Times New Roman;sans-serif" w:hAnsi="Times New Roman;sans-serif"/>
          <w:b w:val="false"/>
          <w:color w:val="000000"/>
          <w:sz w:val="19"/>
        </w:rPr>
        <w:t xml:space="preserve">BALC may demand immediate repayment of any outstanding Advance, together with accrued interest and a fee of 3% of such Advance, if the item of Equipment subject to such Advance suffers a Casualty prior to Term Commencement. BALC may also demand immediate repayment of all outstanding Advances, together with accrued interest and a fee of 3% of such Advances, and shall have no further obligation of any kind to make any Advances or enter into any Schedule under the Agreement if (a) for any reason, all of the Equipment described in the applicable Approval Letter has not been delivered to and accepted by Customer and made subject to a Schedule under the Agreement and all other Required Documentation upon the earlier of the applicable Utilization Expiration Date or </w:t>
      </w:r>
      <w:r>
        <w:rPr>
          <w:rFonts w:ascii="Times New Roman;sans-serif" w:hAnsi="Times New Roman;sans-serif"/>
          <w:b/>
          <w:color w:val="000000"/>
          <w:sz w:val="19"/>
        </w:rPr>
        <w:t xml:space="preserve">10 </w:t>
      </w:r>
      <w:r>
        <w:rPr>
          <w:rFonts w:ascii="Times New Roman;sans-serif" w:hAnsi="Times New Roman;sans-serif"/>
          <w:b w:val="false"/>
          <w:color w:val="000000"/>
          <w:sz w:val="19"/>
        </w:rPr>
        <w:t>days after delivery to and acceptance by Customer of the final item of Equipment contemplated for leasing or financing under the Approval Letter; (b) any other condition precedent contemplated in the Agreement, the applicable Approval Letter or other agreement relating to the Equipment is not met or satisfied to BALC’s sole satisfaction by the Utilization Expiration Date; (c) Customer cancels its order or terminates any Purchase Agreement for any such Equipment; (d) Vendor fails or is unable to deliver any such Equipment pursuant to any Purchase Agreement, or to convey good and marketable title to the Equipment, free and clear of all liens, claims, security interests and encumbrances as required by the Agreement; (e) there occurs an Event of Default or any event or condition which, with notice or the passage of time or both would constitute an Event of Default under the Agreement; or (f) BALC shall determine, in its sole discretion and in good faith, that there has been a material adverse change in the operations, business, properties or condition, financial or otherwise of Customer or any Guarantor. Except upon any such demand by BALC or otherwise as may be specifically set forth herein, Advances may not be prepaid by Customer for any reason.</w:t>
      </w:r>
    </w:p>
    <w:p>
      <w:pPr>
        <w:pStyle w:val="TextBody"/>
        <w:bidi w:val="0"/>
        <w:spacing w:lineRule="auto" w:line="288" w:before="120" w:after="120"/>
        <w:jc w:val="both"/>
        <w:rPr/>
      </w:pPr>
      <w:r>
        <w:rPr>
          <w:rFonts w:ascii="Times New Roman;sans-serif" w:hAnsi="Times New Roman;sans-serif"/>
          <w:b w:val="false"/>
          <w:color w:val="000000"/>
          <w:sz w:val="19"/>
        </w:rPr>
        <w:t>7.</w:t>
      </w:r>
      <w:r>
        <w:rPr>
          <w:rFonts w:ascii="Times New Roman;sans-serif" w:hAnsi="Times New Roman;sans-serif"/>
          <w:b w:val="false"/>
          <w:color w:val="000000"/>
          <w:sz w:val="19"/>
        </w:rPr>
        <w:t>This Progress Payment Agreement shall be deemed a “Related Agreement” as defined in the Agreement, and is subject to all of the terms and provisions applicable to Related Agreements provided in the Agreement.</w:t>
      </w:r>
    </w:p>
    <w:tbl>
      <w:tblPr>
        <w:tblW w:w="70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40"/>
        <w:gridCol w:w="540"/>
        <w:gridCol w:w="540"/>
        <w:gridCol w:w="1291"/>
        <w:gridCol w:w="1291"/>
        <w:gridCol w:w="1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Waste Systems, Inc.</w:t>
            </w:r>
            <w:r>
              <w:rPr>
                <w:color w:val="000000"/>
              </w:rPr>
              <w:t xml:space="preserve"> </w:t>
            </w:r>
            <w:r>
              <w:rPr>
                <w:rFonts w:ascii="Times New Roman;sans-serif" w:hAnsi="Times New Roman;sans-serif"/>
                <w:b/>
                <w:color w:val="000000"/>
                <w:sz w:val="20"/>
              </w:rPr>
              <w:t>(Customer)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14400"/>
                <wp:effectExtent l="0" t="0" r="0" b="0"/>
                <wp:wrapNone/>
                <wp:docPr id="47" name="Frame46"/>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before="0" w:after="0"/>
                              <w:jc w:val="left"/>
                              <w:rPr/>
                            </w:pPr>
                            <w:r>
                              <w:rPr/>
                            </w:r>
                            <w:r>
                              <w:br w:type="page"/>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tbl>
      <w:tblPr>
        <w:tblW w:w="8812" w:type="dxa"/>
        <w:jc w:val="left"/>
        <w:tblInd w:w="0" w:type="dxa"/>
        <w:tblLayout w:type="fixed"/>
        <w:tblCellMar>
          <w:top w:w="28" w:type="dxa"/>
          <w:left w:w="28" w:type="dxa"/>
          <w:bottom w:w="28" w:type="dxa"/>
          <w:right w:w="28" w:type="dxa"/>
        </w:tblCellMar>
      </w:tblPr>
      <w:tblGrid>
        <w:gridCol w:w="738"/>
        <w:gridCol w:w="647"/>
        <w:gridCol w:w="647"/>
        <w:gridCol w:w="798"/>
        <w:gridCol w:w="798"/>
        <w:gridCol w:w="819"/>
        <w:gridCol w:w="109"/>
        <w:gridCol w:w="109"/>
        <w:gridCol w:w="109"/>
        <w:gridCol w:w="526"/>
        <w:gridCol w:w="526"/>
        <w:gridCol w:w="526"/>
        <w:gridCol w:w="714"/>
        <w:gridCol w:w="714"/>
        <w:gridCol w:w="1032"/>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4447"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 xml:space="preserve">Willimantic Waste Paper Co., Inc.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 xml:space="preserve">Casella Mid-Atlantic, LLC </w:t>
            </w:r>
            <w:r>
              <w:rPr>
                <w:rFonts w:ascii="Times New Roman;sans-serif" w:hAnsi="Times New Roman;sans-serif"/>
                <w:b/>
                <w:color w:val="000000"/>
                <w:sz w:val="20"/>
              </w:rPr>
              <w:t>(Customer)</w:t>
            </w:r>
          </w:p>
        </w:tc>
      </w:tr>
      <w:tr>
        <w:trPr/>
        <w:tc>
          <w:tcPr>
            <w:tcW w:w="2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2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2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tbl>
      <w:tblPr>
        <w:tblW w:w="9216" w:type="dxa"/>
        <w:jc w:val="left"/>
        <w:tblInd w:w="0" w:type="dxa"/>
        <w:tblLayout w:type="fixed"/>
        <w:tblCellMar>
          <w:top w:w="28" w:type="dxa"/>
          <w:left w:w="28" w:type="dxa"/>
          <w:bottom w:w="28" w:type="dxa"/>
          <w:right w:w="28" w:type="dxa"/>
        </w:tblCellMar>
      </w:tblPr>
      <w:tblGrid>
        <w:gridCol w:w="679"/>
        <w:gridCol w:w="595"/>
        <w:gridCol w:w="595"/>
        <w:gridCol w:w="797"/>
        <w:gridCol w:w="797"/>
        <w:gridCol w:w="821"/>
        <w:gridCol w:w="109"/>
        <w:gridCol w:w="109"/>
        <w:gridCol w:w="109"/>
        <w:gridCol w:w="715"/>
        <w:gridCol w:w="715"/>
        <w:gridCol w:w="715"/>
        <w:gridCol w:w="716"/>
        <w:gridCol w:w="716"/>
        <w:gridCol w:w="1028"/>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284"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Oxford Transfer Station, LLC</w:t>
            </w:r>
            <w:r>
              <w:rPr>
                <w:color w:val="000000"/>
              </w:rPr>
              <w:t xml:space="preserve">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 xml:space="preserve">New England Waste Services of N.Y., Inc. </w:t>
            </w:r>
            <w:r>
              <w:rPr>
                <w:rFonts w:ascii="Times New Roman;sans-serif" w:hAnsi="Times New Roman;sans-serif"/>
                <w:b/>
                <w:color w:val="000000"/>
                <w:sz w:val="20"/>
              </w:rPr>
              <w:t>(Customer)</w:t>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tbl>
      <w:tblPr>
        <w:tblW w:w="8848" w:type="dxa"/>
        <w:jc w:val="left"/>
        <w:tblInd w:w="0" w:type="dxa"/>
        <w:tblLayout w:type="fixed"/>
        <w:tblCellMar>
          <w:top w:w="28" w:type="dxa"/>
          <w:left w:w="28" w:type="dxa"/>
          <w:bottom w:w="28" w:type="dxa"/>
          <w:right w:w="28" w:type="dxa"/>
        </w:tblCellMar>
      </w:tblPr>
      <w:tblGrid>
        <w:gridCol w:w="588"/>
        <w:gridCol w:w="515"/>
        <w:gridCol w:w="515"/>
        <w:gridCol w:w="797"/>
        <w:gridCol w:w="797"/>
        <w:gridCol w:w="821"/>
        <w:gridCol w:w="109"/>
        <w:gridCol w:w="109"/>
        <w:gridCol w:w="109"/>
        <w:gridCol w:w="676"/>
        <w:gridCol w:w="676"/>
        <w:gridCol w:w="676"/>
        <w:gridCol w:w="716"/>
        <w:gridCol w:w="716"/>
        <w:gridCol w:w="1028"/>
      </w:tblGrid>
      <w:tr>
        <w:trPr/>
        <w:tc>
          <w:tcPr>
            <w:tcW w:w="5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03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Recycling, LLC.</w:t>
            </w:r>
            <w:r>
              <w:rPr>
                <w:color w:val="000000"/>
              </w:rPr>
              <w:t xml:space="preserve">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Major Account Services, LLC</w:t>
            </w:r>
            <w:r>
              <w:rPr>
                <w:color w:val="000000"/>
              </w:rPr>
              <w:t xml:space="preserve"> </w:t>
            </w:r>
            <w:r>
              <w:rPr>
                <w:rFonts w:ascii="Times New Roman;sans-serif" w:hAnsi="Times New Roman;sans-serif"/>
                <w:b/>
                <w:color w:val="000000"/>
                <w:sz w:val="20"/>
              </w:rPr>
              <w:t>(Customer)</w:t>
            </w:r>
          </w:p>
        </w:tc>
      </w:tr>
      <w:tr>
        <w:trPr/>
        <w:tc>
          <w:tcPr>
            <w:tcW w:w="16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16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16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tbl>
      <w:tblPr>
        <w:tblW w:w="9276" w:type="dxa"/>
        <w:jc w:val="left"/>
        <w:tblInd w:w="0" w:type="dxa"/>
        <w:tblLayout w:type="fixed"/>
        <w:tblCellMar>
          <w:top w:w="28" w:type="dxa"/>
          <w:left w:w="28" w:type="dxa"/>
          <w:bottom w:w="28" w:type="dxa"/>
          <w:right w:w="28" w:type="dxa"/>
        </w:tblCellMar>
      </w:tblPr>
      <w:tblGrid>
        <w:gridCol w:w="825"/>
        <w:gridCol w:w="723"/>
        <w:gridCol w:w="723"/>
        <w:gridCol w:w="801"/>
        <w:gridCol w:w="801"/>
        <w:gridCol w:w="813"/>
        <w:gridCol w:w="109"/>
        <w:gridCol w:w="109"/>
        <w:gridCol w:w="109"/>
        <w:gridCol w:w="601"/>
        <w:gridCol w:w="601"/>
        <w:gridCol w:w="601"/>
        <w:gridCol w:w="716"/>
        <w:gridCol w:w="716"/>
        <w:gridCol w:w="1028"/>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68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Waste Management of N.Y., Inc</w:t>
            </w:r>
            <w:r>
              <w:rPr>
                <w:color w:val="000000"/>
              </w:rPr>
              <w:t xml:space="preserve">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Waste Management, Inc</w:t>
            </w:r>
            <w:r>
              <w:rPr>
                <w:color w:val="000000"/>
              </w:rPr>
              <w:t xml:space="preserve"> </w:t>
            </w:r>
            <w:r>
              <w:rPr>
                <w:rFonts w:ascii="Times New Roman;sans-serif" w:hAnsi="Times New Roman;sans-serif"/>
                <w:b/>
                <w:color w:val="000000"/>
                <w:sz w:val="20"/>
              </w:rPr>
              <w:t>(Customer)</w:t>
            </w:r>
          </w:p>
        </w:tc>
      </w:tr>
      <w:tr>
        <w:trPr/>
        <w:tc>
          <w:tcPr>
            <w:tcW w:w="22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22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22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tbl>
      <w:tblPr>
        <w:tblW w:w="9572" w:type="dxa"/>
        <w:jc w:val="left"/>
        <w:tblInd w:w="0" w:type="dxa"/>
        <w:tblLayout w:type="fixed"/>
        <w:tblCellMar>
          <w:top w:w="28" w:type="dxa"/>
          <w:left w:w="28" w:type="dxa"/>
          <w:bottom w:w="28" w:type="dxa"/>
          <w:right w:w="28" w:type="dxa"/>
        </w:tblCellMar>
      </w:tblPr>
      <w:tblGrid>
        <w:gridCol w:w="532"/>
        <w:gridCol w:w="466"/>
        <w:gridCol w:w="466"/>
        <w:gridCol w:w="797"/>
        <w:gridCol w:w="797"/>
        <w:gridCol w:w="821"/>
        <w:gridCol w:w="109"/>
        <w:gridCol w:w="109"/>
        <w:gridCol w:w="109"/>
        <w:gridCol w:w="834"/>
        <w:gridCol w:w="834"/>
        <w:gridCol w:w="834"/>
        <w:gridCol w:w="834"/>
        <w:gridCol w:w="834"/>
        <w:gridCol w:w="1196"/>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879"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All Cycle Waste, Inc.</w:t>
            </w:r>
            <w:r>
              <w:rPr>
                <w:color w:val="000000"/>
              </w:rPr>
              <w:t xml:space="preserve">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Waste Management of Massachusetts, Inc.</w:t>
            </w:r>
            <w:r>
              <w:rPr>
                <w:color w:val="000000"/>
              </w:rPr>
              <w:t xml:space="preserve"> </w:t>
            </w:r>
            <w:r>
              <w:rPr>
                <w:rFonts w:ascii="Times New Roman;sans-serif" w:hAnsi="Times New Roman;sans-serif"/>
                <w:b/>
                <w:color w:val="000000"/>
                <w:sz w:val="20"/>
              </w:rPr>
              <w:t>(Customer)</w:t>
            </w:r>
          </w:p>
        </w:tc>
      </w:tr>
      <w:tr>
        <w:trPr/>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tbl>
      <w:tblPr>
        <w:tblW w:w="7976" w:type="dxa"/>
        <w:jc w:val="left"/>
        <w:tblInd w:w="0" w:type="dxa"/>
        <w:tblLayout w:type="fixed"/>
        <w:tblCellMar>
          <w:top w:w="28" w:type="dxa"/>
          <w:left w:w="28" w:type="dxa"/>
          <w:bottom w:w="28" w:type="dxa"/>
          <w:right w:w="28" w:type="dxa"/>
        </w:tblCellMar>
      </w:tblPr>
      <w:tblGrid>
        <w:gridCol w:w="540"/>
        <w:gridCol w:w="474"/>
        <w:gridCol w:w="474"/>
        <w:gridCol w:w="797"/>
        <w:gridCol w:w="797"/>
        <w:gridCol w:w="821"/>
        <w:gridCol w:w="109"/>
        <w:gridCol w:w="109"/>
        <w:gridCol w:w="109"/>
        <w:gridCol w:w="429"/>
        <w:gridCol w:w="429"/>
        <w:gridCol w:w="429"/>
        <w:gridCol w:w="716"/>
        <w:gridCol w:w="716"/>
        <w:gridCol w:w="1027"/>
      </w:tblGrid>
      <w:tr>
        <w:trPr/>
        <w:tc>
          <w:tcPr>
            <w:tcW w:w="5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90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Pine Tree Waste, Inc.</w:t>
            </w:r>
            <w:r>
              <w:rPr>
                <w:color w:val="000000"/>
              </w:rPr>
              <w:t xml:space="preserve"> </w:t>
            </w:r>
            <w:r>
              <w:rPr>
                <w:rFonts w:ascii="Times New Roman;sans-serif" w:hAnsi="Times New Roman;sans-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Waste-Stream, Inc.</w:t>
            </w:r>
            <w:r>
              <w:rPr>
                <w:color w:val="000000"/>
              </w:rPr>
              <w:t xml:space="preserve"> </w:t>
            </w:r>
            <w:r>
              <w:rPr>
                <w:rFonts w:ascii="Times New Roman;sans-serif" w:hAnsi="Times New Roman;sans-serif"/>
                <w:b/>
                <w:color w:val="000000"/>
                <w:sz w:val="20"/>
              </w:rPr>
              <w:t>(Customer)</w:t>
            </w:r>
          </w:p>
        </w:tc>
      </w:tr>
      <w:tr>
        <w:trPr/>
        <w:tc>
          <w:tcPr>
            <w:tcW w:w="1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r>
      <w:tr>
        <w:trPr/>
        <w:tc>
          <w:tcPr>
            <w:tcW w:w="1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r>
      <w:tr>
        <w:trPr/>
        <w:tc>
          <w:tcPr>
            <w:tcW w:w="1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14400"/>
                <wp:effectExtent l="0" t="0" r="0" b="0"/>
                <wp:wrapNone/>
                <wp:docPr id="48" name="Frame47"/>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before="0" w:after="0"/>
                              <w:jc w:val="left"/>
                              <w:rPr/>
                            </w:pPr>
                            <w:r>
                              <w:rPr/>
                            </w:r>
                            <w:r>
                              <w:br w:type="page"/>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8"/>
        <w:gridCol w:w="718"/>
        <w:gridCol w:w="718"/>
        <w:gridCol w:w="767"/>
        <w:gridCol w:w="718"/>
        <w:gridCol w:w="721"/>
        <w:gridCol w:w="109"/>
        <w:gridCol w:w="109"/>
        <w:gridCol w:w="109"/>
        <w:gridCol w:w="790"/>
        <w:gridCol w:w="745"/>
        <w:gridCol w:w="745"/>
        <w:gridCol w:w="925"/>
        <w:gridCol w:w="881"/>
        <w:gridCol w:w="886"/>
        <w:gridCol w:w="125"/>
        <w:gridCol w:w="125"/>
        <w:gridCol w:w="186"/>
      </w:tblGrid>
      <w:tr>
        <w:trPr/>
        <w:tc>
          <w:tcPr>
            <w:tcW w:w="82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BANC OF AMERICA LEASING &amp; CAPITAL, LLC (BALC)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Casella Waste Management of Pennsylvania, Inc.</w:t>
            </w:r>
            <w:r>
              <w:rPr>
                <w:color w:val="000000"/>
              </w:rPr>
              <w:t xml:space="preserve"> </w:t>
            </w:r>
            <w:r>
              <w:rPr>
                <w:rFonts w:ascii="Times New Roman;sans-serif" w:hAnsi="Times New Roman;sans-serif"/>
                <w:b/>
                <w:color w:val="000000"/>
                <w:sz w:val="20"/>
              </w:rPr>
              <w:t>(Customer)</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P. White 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John P. White Sr.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2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Treasurer</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Accepted at </w:t>
            </w:r>
          </w:p>
        </w:tc>
        <w:tc>
          <w:tcPr>
            <w:tcW w:w="31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26/02/25</w:t>
            </w:r>
            <w:r>
              <w:rPr>
                <w:color w:val="000000"/>
              </w:rPr>
              <w:t xml:space="preserve"> </w:t>
            </w:r>
            <w:r>
              <w:rPr>
                <w:rFonts w:ascii="Times New Roman;sans-serif" w:hAnsi="Times New Roman;sans-serif"/>
                <w:b w:val="false"/>
                <w:color w:val="000000"/>
                <w:sz w:val="20"/>
              </w:rPr>
              <w:t>as of the date first above written.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14400"/>
                <wp:effectExtent l="0" t="0" r="0" b="0"/>
                <wp:wrapNone/>
                <wp:docPr id="49" name="Frame48"/>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before="0" w:after="0"/>
                              <w:jc w:val="left"/>
                              <w:rPr/>
                            </w:pPr>
                            <w:r>
                              <w:rPr/>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498" w:type="dxa"/>
                        <w:jc w:val="left"/>
                        <w:tblInd w:w="0" w:type="dxa"/>
                        <w:tblLayout w:type="fixed"/>
                        <w:tblCellMar>
                          <w:top w:w="28" w:type="dxa"/>
                          <w:left w:w="28" w:type="dxa"/>
                          <w:bottom w:w="28" w:type="dxa"/>
                          <w:right w:w="28" w:type="dxa"/>
                        </w:tblCellMar>
                      </w:tblPr>
                      <w:tblGrid>
                        <w:gridCol w:w="1280"/>
                        <w:gridCol w:w="1127"/>
                        <w:gridCol w:w="1132"/>
                        <w:gridCol w:w="280"/>
                        <w:gridCol w:w="280"/>
                        <w:gridCol w:w="399"/>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Progress Payment - Request for Advance 10.9.08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W. Casella,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45" w:type="dxa"/>
        <w:jc w:val="left"/>
        <w:tblInd w:w="0" w:type="dxa"/>
        <w:tblLayout w:type="fixed"/>
        <w:tblCellMar>
          <w:top w:w="28" w:type="dxa"/>
          <w:left w:w="28" w:type="dxa"/>
          <w:bottom w:w="28" w:type="dxa"/>
          <w:right w:w="28" w:type="dxa"/>
        </w:tblCellMar>
      </w:tblPr>
      <w:tblGrid>
        <w:gridCol w:w="591"/>
        <w:gridCol w:w="520"/>
        <w:gridCol w:w="523"/>
        <w:gridCol w:w="1078"/>
        <w:gridCol w:w="1078"/>
        <w:gridCol w:w="1083"/>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Bradford J. Helgeson,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461" w:type="dxa"/>
        <w:jc w:val="left"/>
        <w:tblInd w:w="0" w:type="dxa"/>
        <w:tblLayout w:type="fixed"/>
        <w:tblCellMar>
          <w:top w:w="28" w:type="dxa"/>
          <w:left w:w="28" w:type="dxa"/>
          <w:bottom w:w="28" w:type="dxa"/>
          <w:right w:w="28" w:type="dxa"/>
        </w:tblCellMar>
      </w:tblPr>
      <w:tblGrid>
        <w:gridCol w:w="591"/>
        <w:gridCol w:w="520"/>
        <w:gridCol w:w="523"/>
        <w:gridCol w:w="1483"/>
        <w:gridCol w:w="1483"/>
        <w:gridCol w:w="148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2025 as filed with the Securities and Exchange Commission on the date hereof (“Report”), the undersigned, John W. Casella, Chairman and Chief Executive Officer, hereby certifies, pursuant to 18 U.S.C. Section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5215" w:type="dxa"/>
        <w:jc w:val="left"/>
        <w:tblInd w:w="0" w:type="dxa"/>
        <w:tblLayout w:type="fixed"/>
        <w:tblCellMar>
          <w:top w:w="28" w:type="dxa"/>
          <w:left w:w="28" w:type="dxa"/>
          <w:bottom w:w="28" w:type="dxa"/>
          <w:right w:w="28" w:type="dxa"/>
        </w:tblCellMar>
      </w:tblPr>
      <w:tblGrid>
        <w:gridCol w:w="591"/>
        <w:gridCol w:w="520"/>
        <w:gridCol w:w="523"/>
        <w:gridCol w:w="1068"/>
        <w:gridCol w:w="1068"/>
        <w:gridCol w:w="1073"/>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2025 as filed with the Securities and Exchange Commission on the date hereof (“Report”), the undersigned, Bradford J. Helgeson, Executive Vice President and Chief Financial Officer, hereby certifies, pursuant to 18 U.S.C. Section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6401" w:type="dxa"/>
        <w:jc w:val="left"/>
        <w:tblInd w:w="0" w:type="dxa"/>
        <w:tblLayout w:type="fixed"/>
        <w:tblCellMar>
          <w:top w:w="28" w:type="dxa"/>
          <w:left w:w="28" w:type="dxa"/>
          <w:bottom w:w="28" w:type="dxa"/>
          <w:right w:w="28" w:type="dxa"/>
        </w:tblCellMar>
      </w:tblPr>
      <w:tblGrid>
        <w:gridCol w:w="591"/>
        <w:gridCol w:w="520"/>
        <w:gridCol w:w="523"/>
        <w:gridCol w:w="1463"/>
        <w:gridCol w:w="1463"/>
        <w:gridCol w:w="146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1177/000091117725000046/exhibit42guarantyagreement.htm" TargetMode="External"/><Relationship Id="rId3" Type="http://schemas.openxmlformats.org/officeDocument/2006/relationships/hyperlink" Target="https://www.sec.gov/Archives/edgar/data/911177/000091117725000046/exhibit42guarantyagreement.htm" TargetMode="External"/><Relationship Id="rId4" Type="http://schemas.openxmlformats.org/officeDocument/2006/relationships/hyperlink" Target="https://www.sec.gov/Archives/edgar/data/911177/000091117725000046/exhibit42guarantyagreement.htm" TargetMode="External"/><Relationship Id="rId5" Type="http://schemas.openxmlformats.org/officeDocument/2006/relationships/hyperlink" Target="https://www.sec.gov/Archives/edgar/data/911177/000091117725000046/exhibit42guarantyagreement.htm" TargetMode="External"/><Relationship Id="rId6" Type="http://schemas.openxmlformats.org/officeDocument/2006/relationships/hyperlink" Target="https://www.sec.gov/Archives/edgar/data/911177/000091117725000046/exhibit42guarantyagreement.htm" TargetMode="External"/><Relationship Id="rId7" Type="http://schemas.openxmlformats.org/officeDocument/2006/relationships/hyperlink" Target="https://www.sec.gov/Archives/edgar/data/911177/000091117725000046/exhibit42guarantyagreement.htm" TargetMode="External"/><Relationship Id="rId8" Type="http://schemas.openxmlformats.org/officeDocument/2006/relationships/hyperlink" Target="https://www.sec.gov/Archives/edgar/data/911177/000091117725000046/exhibit42guarantyagreement.htm" TargetMode="Externa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22977</Words>
  <Characters>128386</Characters>
  <CharactersWithSpaces>149845</CharactersWithSpaces>
  <Paragraphs>2964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