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215900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182245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ind w:left="4240"/>
        <w:spacing w:after="0" w:line="230" w:lineRule="auto"/>
        <w:rPr>
          <w:sz w:val="20"/>
          <w:szCs w:val="20"/>
          <w:color w:val="auto"/>
        </w:rPr>
      </w:pPr>
      <w:r>
        <w:rPr>
          <w:rFonts w:ascii="Arial" w:cs="Arial" w:eastAsia="Arial" w:hAnsi="Arial"/>
          <w:sz w:val="11"/>
          <w:szCs w:val="11"/>
          <w:color w:val="auto"/>
        </w:rPr>
        <w:t>____________________________________________________</w:t>
      </w: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5" w:lineRule="exact"/>
        <w:rPr>
          <w:sz w:val="24"/>
          <w:szCs w:val="24"/>
          <w:color w:val="auto"/>
        </w:rPr>
      </w:pPr>
    </w:p>
    <w:p>
      <w:pPr>
        <w:ind w:left="4240"/>
        <w:spacing w:after="0"/>
        <w:rPr>
          <w:sz w:val="20"/>
          <w:szCs w:val="20"/>
          <w:color w:val="auto"/>
        </w:rPr>
      </w:pPr>
      <w:r>
        <w:rPr>
          <w:rFonts w:ascii="Arial" w:cs="Arial" w:eastAsia="Arial" w:hAnsi="Arial"/>
          <w:sz w:val="11"/>
          <w:szCs w:val="11"/>
          <w:color w:val="auto"/>
        </w:rPr>
        <w:t>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7" w:lineRule="exact"/>
        <w:rPr>
          <w:sz w:val="24"/>
          <w:szCs w:val="24"/>
          <w:color w:val="auto"/>
        </w:rPr>
      </w:pPr>
    </w:p>
    <w:p>
      <w:pPr>
        <w:ind w:left="640" w:hanging="616"/>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For the transition period from</w:t>
            </w:r>
          </w:p>
        </w:tc>
        <w:tc>
          <w:tcPr>
            <w:tcW w:w="70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4"/>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Commission file number 000-23211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220" w:type="dxa"/>
            <w:vAlign w:val="bottom"/>
            <w:gridSpan w:val="7"/>
          </w:tcPr>
          <w:p>
            <w:pPr>
              <w:jc w:val="center"/>
              <w:ind w:left="315"/>
              <w:spacing w:after="0"/>
              <w:rPr>
                <w:sz w:val="20"/>
                <w:szCs w:val="20"/>
                <w:color w:val="auto"/>
              </w:rPr>
            </w:pPr>
            <w:r>
              <w:rPr>
                <w:rFonts w:ascii="Arial" w:cs="Arial" w:eastAsia="Arial" w:hAnsi="Arial"/>
                <w:sz w:val="11"/>
                <w:szCs w:val="11"/>
                <w:color w:val="auto"/>
                <w:w w:val="86"/>
              </w:rPr>
              <w:t>____________________________________________________</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1"/>
        </w:trPr>
        <w:tc>
          <w:tcPr>
            <w:tcW w:w="140" w:type="dxa"/>
            <w:vAlign w:val="bottom"/>
          </w:tcPr>
          <w:p>
            <w:pPr>
              <w:spacing w:after="0"/>
              <w:rPr>
                <w:sz w:val="24"/>
                <w:szCs w:val="24"/>
                <w:color w:val="auto"/>
              </w:rPr>
            </w:pPr>
          </w:p>
        </w:tc>
        <w:tc>
          <w:tcPr>
            <w:tcW w:w="10660" w:type="dxa"/>
            <w:vAlign w:val="bottom"/>
            <w:gridSpan w:val="11"/>
          </w:tcPr>
          <w:p>
            <w:pPr>
              <w:jc w:val="center"/>
              <w:spacing w:after="0"/>
              <w:rPr>
                <w:sz w:val="20"/>
                <w:szCs w:val="20"/>
                <w:color w:val="auto"/>
              </w:rPr>
            </w:pPr>
            <w:r>
              <w:rPr>
                <w:rFonts w:ascii="Arial" w:cs="Arial" w:eastAsia="Arial" w:hAnsi="Arial"/>
                <w:sz w:val="39"/>
                <w:szCs w:val="39"/>
                <w:b w:val="1"/>
                <w:bCs w:val="1"/>
                <w:color w:val="auto"/>
                <w:w w:val="98"/>
              </w:rPr>
              <w:t>CASELLA WASTE SYSTEMS, INC.</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8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220" w:type="dxa"/>
            <w:vAlign w:val="bottom"/>
            <w:gridSpan w:val="7"/>
          </w:tcPr>
          <w:p>
            <w:pPr>
              <w:jc w:val="center"/>
              <w:ind w:left="315"/>
              <w:spacing w:after="0"/>
              <w:rPr>
                <w:sz w:val="20"/>
                <w:szCs w:val="20"/>
                <w:color w:val="auto"/>
              </w:rPr>
            </w:pPr>
            <w:r>
              <w:rPr>
                <w:rFonts w:ascii="Arial" w:cs="Arial" w:eastAsia="Arial" w:hAnsi="Arial"/>
                <w:sz w:val="11"/>
                <w:szCs w:val="11"/>
                <w:color w:val="auto"/>
                <w:w w:val="86"/>
              </w:rPr>
              <w:t>____________________________________________________</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520" w:type="dxa"/>
            <w:vAlign w:val="bottom"/>
          </w:tcPr>
          <w:p>
            <w:pPr>
              <w:jc w:val="center"/>
              <w:ind w:left="1255"/>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Pr>
          <w:p>
            <w:pPr>
              <w:jc w:val="right"/>
              <w:ind w:right="2029"/>
              <w:spacing w:after="0"/>
              <w:rPr>
                <w:sz w:val="20"/>
                <w:szCs w:val="20"/>
                <w:color w:val="auto"/>
              </w:rPr>
            </w:pPr>
            <w:r>
              <w:rPr>
                <w:rFonts w:ascii="Arial" w:cs="Arial" w:eastAsia="Arial" w:hAnsi="Arial"/>
                <w:sz w:val="14"/>
                <w:szCs w:val="14"/>
                <w:b w:val="1"/>
                <w:bCs w:val="1"/>
                <w:color w:val="auto"/>
              </w:rPr>
              <w:t>03-0338873</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3520" w:type="dxa"/>
            <w:vAlign w:val="bottom"/>
          </w:tcPr>
          <w:p>
            <w:pPr>
              <w:jc w:val="center"/>
              <w:ind w:left="1255"/>
              <w:spacing w:after="0" w:line="144" w:lineRule="exact"/>
              <w:rPr>
                <w:sz w:val="20"/>
                <w:szCs w:val="20"/>
                <w:color w:val="auto"/>
              </w:rPr>
            </w:pPr>
            <w:r>
              <w:rPr>
                <w:rFonts w:ascii="Arial" w:cs="Arial" w:eastAsia="Arial" w:hAnsi="Arial"/>
                <w:sz w:val="14"/>
                <w:szCs w:val="14"/>
                <w:b w:val="1"/>
                <w:bCs w:val="1"/>
                <w:color w:val="auto"/>
                <w:w w:val="92"/>
              </w:rPr>
              <w:t>(State or other jurisdiction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60" w:type="dxa"/>
            <w:vAlign w:val="bottom"/>
          </w:tcPr>
          <w:p>
            <w:pPr>
              <w:jc w:val="center"/>
              <w:ind w:right="1369"/>
              <w:spacing w:after="0" w:line="144"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3520" w:type="dxa"/>
            <w:vAlign w:val="bottom"/>
          </w:tcPr>
          <w:p>
            <w:pPr>
              <w:jc w:val="center"/>
              <w:ind w:left="1255"/>
              <w:spacing w:after="0"/>
              <w:rPr>
                <w:sz w:val="20"/>
                <w:szCs w:val="20"/>
                <w:color w:val="auto"/>
              </w:rPr>
            </w:pPr>
            <w:r>
              <w:rPr>
                <w:rFonts w:ascii="Arial" w:cs="Arial" w:eastAsia="Arial" w:hAnsi="Arial"/>
                <w:sz w:val="14"/>
                <w:szCs w:val="14"/>
                <w:b w:val="1"/>
                <w:bCs w:val="1"/>
                <w:color w:val="auto"/>
                <w:w w:val="93"/>
              </w:rPr>
              <w:t>incorporation or organization)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Pr>
          <w:p>
            <w:pPr>
              <w:jc w:val="center"/>
              <w:ind w:right="1369"/>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520" w:type="dxa"/>
            <w:vAlign w:val="bottom"/>
          </w:tcPr>
          <w:p>
            <w:pPr>
              <w:jc w:val="center"/>
              <w:ind w:left="1255"/>
              <w:spacing w:after="0"/>
              <w:rPr>
                <w:sz w:val="20"/>
                <w:szCs w:val="20"/>
                <w:color w:val="auto"/>
              </w:rPr>
            </w:pPr>
            <w:r>
              <w:rPr>
                <w:rFonts w:ascii="Arial" w:cs="Arial" w:eastAsia="Arial" w:hAnsi="Arial"/>
                <w:sz w:val="14"/>
                <w:szCs w:val="14"/>
                <w:b w:val="1"/>
                <w:bCs w:val="1"/>
                <w:color w:val="auto"/>
                <w:w w:val="95"/>
              </w:rPr>
              <w:t>25 Greens Hill Lane, Rutland, VT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Pr>
          <w:p>
            <w:pPr>
              <w:jc w:val="right"/>
              <w:ind w:right="2209"/>
              <w:spacing w:after="0"/>
              <w:rPr>
                <w:sz w:val="20"/>
                <w:szCs w:val="20"/>
                <w:color w:val="auto"/>
              </w:rPr>
            </w:pPr>
            <w:r>
              <w:rPr>
                <w:rFonts w:ascii="Arial" w:cs="Arial" w:eastAsia="Arial" w:hAnsi="Arial"/>
                <w:sz w:val="14"/>
                <w:szCs w:val="14"/>
                <w:b w:val="1"/>
                <w:bCs w:val="1"/>
                <w:color w:val="auto"/>
              </w:rPr>
              <w:t>05701</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616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Pr>
          <w:p>
            <w:pPr>
              <w:jc w:val="center"/>
              <w:ind w:right="136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066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0"/>
              </w:rPr>
              <w:t>Registrant’s telephone number, including area code: (802) 775-0325</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8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0" w:type="dxa"/>
            <w:vAlign w:val="bottom"/>
          </w:tcPr>
          <w:p>
            <w:pPr>
              <w:spacing w:after="0"/>
              <w:rPr>
                <w:sz w:val="13"/>
                <w:szCs w:val="13"/>
                <w:color w:val="auto"/>
              </w:rPr>
            </w:pPr>
          </w:p>
        </w:tc>
        <w:tc>
          <w:tcPr>
            <w:tcW w:w="3520" w:type="dxa"/>
            <w:vAlign w:val="bottom"/>
            <w:vMerge w:val="restart"/>
          </w:tcPr>
          <w:p>
            <w:pPr>
              <w:jc w:val="center"/>
              <w:ind w:left="295"/>
              <w:spacing w:after="0"/>
              <w:rPr>
                <w:sz w:val="20"/>
                <w:szCs w:val="20"/>
                <w:color w:val="auto"/>
              </w:rPr>
            </w:pPr>
            <w:r>
              <w:rPr>
                <w:rFonts w:ascii="Arial" w:cs="Arial" w:eastAsia="Arial" w:hAnsi="Arial"/>
                <w:sz w:val="14"/>
                <w:szCs w:val="14"/>
                <w:b w:val="1"/>
                <w:bCs w:val="1"/>
                <w:color w:val="auto"/>
                <w:w w:val="87"/>
              </w:rPr>
              <w:t>Title of each class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2"/>
          </w:tcPr>
          <w:p>
            <w:pPr>
              <w:ind w:left="1040"/>
              <w:spacing w:after="0" w:line="157" w:lineRule="exact"/>
              <w:rPr>
                <w:sz w:val="20"/>
                <w:szCs w:val="20"/>
                <w:color w:val="auto"/>
              </w:rPr>
            </w:pPr>
            <w:r>
              <w:rPr>
                <w:rFonts w:ascii="Arial" w:cs="Arial" w:eastAsia="Arial" w:hAnsi="Arial"/>
                <w:sz w:val="14"/>
                <w:szCs w:val="14"/>
                <w:b w:val="1"/>
                <w:bCs w:val="1"/>
                <w:color w:val="auto"/>
              </w:rPr>
              <w:t>Trading</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60" w:type="dxa"/>
            <w:vAlign w:val="bottom"/>
          </w:tcPr>
          <w:p>
            <w:pPr>
              <w:jc w:val="center"/>
              <w:ind w:right="409"/>
              <w:spacing w:after="0" w:line="157"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2"/>
            <w:vMerge w:val="restart"/>
          </w:tcPr>
          <w:p>
            <w:pPr>
              <w:jc w:val="center"/>
              <w:ind w:left="389"/>
              <w:spacing w:after="0"/>
              <w:rPr>
                <w:sz w:val="20"/>
                <w:szCs w:val="20"/>
                <w:color w:val="auto"/>
              </w:rPr>
            </w:pPr>
            <w:r>
              <w:rPr>
                <w:rFonts w:ascii="Arial" w:cs="Arial" w:eastAsia="Arial" w:hAnsi="Arial"/>
                <w:sz w:val="14"/>
                <w:szCs w:val="14"/>
                <w:b w:val="1"/>
                <w:bCs w:val="1"/>
                <w:color w:val="auto"/>
                <w:w w:val="88"/>
              </w:rPr>
              <w:t>Symbol(s)</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60" w:type="dxa"/>
            <w:vAlign w:val="bottom"/>
            <w:vMerge w:val="restart"/>
          </w:tcPr>
          <w:p>
            <w:pPr>
              <w:jc w:val="center"/>
              <w:ind w:right="409"/>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77"/>
        </w:trPr>
        <w:tc>
          <w:tcPr>
            <w:tcW w:w="140" w:type="dxa"/>
            <w:vAlign w:val="bottom"/>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3520" w:type="dxa"/>
            <w:vAlign w:val="bottom"/>
          </w:tcPr>
          <w:p>
            <w:pPr>
              <w:jc w:val="center"/>
              <w:ind w:left="295"/>
              <w:spacing w:after="0"/>
              <w:rPr>
                <w:sz w:val="20"/>
                <w:szCs w:val="20"/>
                <w:color w:val="auto"/>
              </w:rPr>
            </w:pPr>
            <w:r>
              <w:rPr>
                <w:rFonts w:ascii="Arial" w:cs="Arial" w:eastAsia="Arial" w:hAnsi="Arial"/>
                <w:sz w:val="14"/>
                <w:szCs w:val="14"/>
                <w:color w:val="auto"/>
                <w:w w:val="91"/>
              </w:rPr>
              <w:t>Class A common stock, $0.01 par value per share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2"/>
          </w:tcPr>
          <w:p>
            <w:pPr>
              <w:jc w:val="center"/>
              <w:ind w:left="389"/>
              <w:spacing w:after="0"/>
              <w:rPr>
                <w:sz w:val="20"/>
                <w:szCs w:val="20"/>
                <w:color w:val="auto"/>
              </w:rPr>
            </w:pPr>
            <w:r>
              <w:rPr>
                <w:rFonts w:ascii="Arial" w:cs="Arial" w:eastAsia="Arial" w:hAnsi="Arial"/>
                <w:sz w:val="14"/>
                <w:szCs w:val="14"/>
                <w:color w:val="auto"/>
                <w:w w:val="96"/>
              </w:rPr>
              <w:t>CWST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Pr>
          <w:p>
            <w:pPr>
              <w:jc w:val="center"/>
              <w:ind w:right="409"/>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Pr>
          <w:p>
            <w:pPr>
              <w:jc w:val="center"/>
              <w:ind w:right="389"/>
              <w:spacing w:after="0"/>
              <w:rPr>
                <w:sz w:val="20"/>
                <w:szCs w:val="20"/>
                <w:color w:val="auto"/>
              </w:rPr>
            </w:pPr>
            <w:r>
              <w:rPr>
                <w:rFonts w:ascii="Arial" w:cs="Arial" w:eastAsia="Arial" w:hAnsi="Arial"/>
                <w:sz w:val="14"/>
                <w:szCs w:val="14"/>
                <w:color w:val="auto"/>
                <w:w w:val="91"/>
              </w:rPr>
              <w:t>(Nasdaq Global Select Market)</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8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left="369"/>
              <w:spacing w:after="0"/>
              <w:rPr>
                <w:sz w:val="20"/>
                <w:szCs w:val="20"/>
                <w:color w:val="auto"/>
              </w:rPr>
            </w:pPr>
            <w:r>
              <w:rPr>
                <w:rFonts w:ascii="Arial" w:cs="Arial" w:eastAsia="Arial" w:hAnsi="Arial"/>
                <w:sz w:val="14"/>
                <w:szCs w:val="14"/>
                <w:b w:val="1"/>
                <w:bCs w:val="1"/>
                <w:color w:val="auto"/>
                <w:w w:val="87"/>
              </w:rPr>
              <w:t>None.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3"/>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3"/>
        </w:trPr>
        <w:tc>
          <w:tcPr>
            <w:tcW w:w="6780" w:type="dxa"/>
            <w:vAlign w:val="bottom"/>
            <w:gridSpan w:val="8"/>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60" w:type="dxa"/>
            <w:vAlign w:val="bottom"/>
            <w:gridSpan w:val="3"/>
            <w:vMerge w:val="continue"/>
          </w:tcPr>
          <w:p>
            <w:pPr>
              <w:spacing w:after="0"/>
              <w:rPr>
                <w:sz w:val="16"/>
                <w:szCs w:val="16"/>
                <w:color w:val="auto"/>
              </w:rPr>
            </w:pP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80" w:type="dxa"/>
            <w:vAlign w:val="bottom"/>
            <w:gridSpan w:val="8"/>
          </w:tcPr>
          <w:p>
            <w:pPr>
              <w:spacing w:after="0"/>
              <w:rPr>
                <w:sz w:val="20"/>
                <w:szCs w:val="20"/>
                <w:color w:val="auto"/>
              </w:rPr>
            </w:pPr>
            <w:r>
              <w:rPr>
                <w:rFonts w:ascii="Arial" w:cs="Arial" w:eastAsia="Arial" w:hAnsi="Arial"/>
                <w:sz w:val="14"/>
                <w:szCs w:val="14"/>
                <w:color w:val="auto"/>
                <w:w w:val="92"/>
              </w:rPr>
              <w:t>Indicate by check mark if the registrant is not required to file reports pursuant to Section 13 or Section 15(d) of the Act.</w:t>
            </w:r>
          </w:p>
        </w:tc>
        <w:tc>
          <w:tcPr>
            <w:tcW w:w="100" w:type="dxa"/>
            <w:vAlign w:val="bottom"/>
          </w:tcPr>
          <w:p>
            <w:pPr>
              <w:spacing w:after="0"/>
              <w:rPr>
                <w:sz w:val="19"/>
                <w:szCs w:val="19"/>
                <w:color w:val="auto"/>
              </w:rPr>
            </w:pPr>
          </w:p>
        </w:tc>
        <w:tc>
          <w:tcPr>
            <w:tcW w:w="460" w:type="dxa"/>
            <w:vAlign w:val="bottom"/>
            <w:gridSpan w:val="2"/>
          </w:tcPr>
          <w:p>
            <w:pPr>
              <w:ind w:left="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4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right="260" w:firstLine="160"/>
        <w:spacing w:after="0" w:line="180" w:lineRule="exact"/>
        <w:rPr>
          <w:sz w:val="20"/>
          <w:szCs w:val="20"/>
          <w:color w:val="auto"/>
        </w:rPr>
      </w:pPr>
      <w:r>
        <w:rPr>
          <w:rFonts w:ascii="Arial" w:cs="Arial" w:eastAsia="Arial" w:hAnsi="Arial"/>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firstLine="160"/>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1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94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3" w:lineRule="exact"/>
        <w:rPr>
          <w:sz w:val="24"/>
          <w:szCs w:val="24"/>
          <w:color w:val="auto"/>
        </w:rPr>
      </w:pPr>
    </w:p>
    <w:p>
      <w:pPr>
        <w:ind w:firstLine="16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ind w:right="240" w:firstLine="1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160"/>
        <w:spacing w:after="0" w:line="161" w:lineRule="exact"/>
        <w:tabs>
          <w:tab w:leader="none" w:pos="6720" w:val="left"/>
          <w:tab w:leader="none" w:pos="72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8" w:lineRule="exact"/>
        <w:rPr>
          <w:sz w:val="24"/>
          <w:szCs w:val="24"/>
          <w:color w:val="auto"/>
        </w:rPr>
      </w:pPr>
    </w:p>
    <w:p>
      <w:pPr>
        <w:ind w:right="380" w:firstLine="160"/>
        <w:spacing w:after="0" w:line="250"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last reported sale price of the registrant’s Class A common stock on the Nasdaq Stock Market at the close of business on June 30, 2021 was approximately $3.1 billion. The registrant does not have any non-voting common stock outstanding.</w:t>
      </w:r>
    </w:p>
    <w:p>
      <w:pPr>
        <w:ind w:right="100" w:firstLine="160"/>
        <w:spacing w:after="0" w:line="254" w:lineRule="auto"/>
        <w:rPr>
          <w:sz w:val="20"/>
          <w:szCs w:val="20"/>
          <w:color w:val="auto"/>
        </w:rPr>
      </w:pPr>
      <w:r>
        <w:rPr>
          <w:rFonts w:ascii="Arial" w:cs="Arial" w:eastAsia="Arial" w:hAnsi="Arial"/>
          <w:sz w:val="14"/>
          <w:szCs w:val="14"/>
          <w:color w:val="auto"/>
        </w:rPr>
        <w:t>There were 50,423,232 shares of Class A common stock, $0.01 par value per share, of the registrant outstanding at January 31, 2022. There were 988,200 shares of Class B common stock, $0.01 par value per share, of the registrant outstanding at January 31,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6" w:lineRule="exact"/>
        <w:rPr>
          <w:sz w:val="24"/>
          <w:szCs w:val="24"/>
          <w:color w:val="auto"/>
        </w:rPr>
      </w:pPr>
    </w:p>
    <w:p>
      <w:pPr>
        <w:ind w:right="240" w:firstLine="160"/>
        <w:spacing w:after="0" w:line="266" w:lineRule="auto"/>
        <w:rPr>
          <w:sz w:val="20"/>
          <w:szCs w:val="20"/>
          <w:color w:val="auto"/>
        </w:rPr>
      </w:pPr>
      <w:r>
        <w:rPr>
          <w:rFonts w:ascii="Arial" w:cs="Arial" w:eastAsia="Arial" w:hAnsi="Arial"/>
          <w:sz w:val="14"/>
          <w:szCs w:val="14"/>
          <w:color w:val="auto"/>
        </w:rPr>
        <w:t>Part III of this Annual Report on Form 10-K incorporates by reference information from the definitive Proxy Statement for the registrant’s 2022 Annual Meeting of Stockholders or a Form10-K/A to be filed with the Securities and Exchange Commission not later than 120 days after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17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wp:posOffset>
            </wp:positionV>
            <wp:extent cx="7117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Borders>
              <w:bottom w:val="single" w:sz="8" w:color="0000FF"/>
            </w:tcBorders>
          </w:tcPr>
          <w:p>
            <w:pPr>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PART I.</w:t>
              </w:r>
            </w:hyperlink>
          </w:p>
        </w:tc>
        <w:tc>
          <w:tcPr>
            <w:tcW w:w="8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w:t>
            </w:r>
          </w:p>
        </w:tc>
        <w:tc>
          <w:tcPr>
            <w:tcW w:w="8860" w:type="dxa"/>
            <w:vAlign w:val="bottom"/>
            <w:gridSpan w:val="2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92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1A.</w:t>
            </w:r>
          </w:p>
        </w:tc>
        <w:tc>
          <w:tcPr>
            <w:tcW w:w="12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RISK FACTORS</w:t>
              </w:r>
            </w:hyperlink>
          </w:p>
        </w:tc>
        <w:tc>
          <w:tcPr>
            <w:tcW w:w="7620" w:type="dxa"/>
            <w:vAlign w:val="bottom"/>
            <w:gridSpan w:val="19"/>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1B.</w:t>
            </w:r>
          </w:p>
        </w:tc>
        <w:tc>
          <w:tcPr>
            <w:tcW w:w="8860" w:type="dxa"/>
            <w:vAlign w:val="bottom"/>
            <w:gridSpan w:val="2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UNRESOLVED STAFF COMMENTS</w:t>
              </w:r>
            </w:hyperlink>
          </w:p>
        </w:tc>
        <w:tc>
          <w:tcPr>
            <w:tcW w:w="92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2.</w:t>
            </w:r>
          </w:p>
        </w:tc>
        <w:tc>
          <w:tcPr>
            <w:tcW w:w="10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PROPERTIES</w:t>
              </w:r>
            </w:hyperlink>
          </w:p>
        </w:tc>
        <w:tc>
          <w:tcPr>
            <w:tcW w:w="1740" w:type="dxa"/>
            <w:vAlign w:val="bottom"/>
            <w:tcBorders>
              <w:top w:val="single" w:sz="8" w:color="0000FF"/>
            </w:tcBorders>
            <w:gridSpan w:val="9"/>
          </w:tcPr>
          <w:p>
            <w:pPr>
              <w:spacing w:after="0"/>
              <w:rPr>
                <w:sz w:val="17"/>
                <w:szCs w:val="17"/>
                <w:color w:val="auto"/>
              </w:rPr>
            </w:pPr>
          </w:p>
        </w:tc>
        <w:tc>
          <w:tcPr>
            <w:tcW w:w="6080" w:type="dxa"/>
            <w:vAlign w:val="bottom"/>
            <w:gridSpan w:val="13"/>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3.</w:t>
            </w:r>
          </w:p>
        </w:tc>
        <w:tc>
          <w:tcPr>
            <w:tcW w:w="186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29">
              <w:r>
                <w:rPr>
                  <w:rFonts w:ascii="Arial" w:cs="Arial" w:eastAsia="Arial" w:hAnsi="Arial"/>
                  <w:sz w:val="18"/>
                  <w:szCs w:val="18"/>
                  <w:color w:val="0000FF"/>
                  <w:w w:val="93"/>
                </w:rPr>
                <w:t>LEGAL PROCEEDINGS</w:t>
              </w:r>
            </w:hyperlink>
          </w:p>
        </w:tc>
        <w:tc>
          <w:tcPr>
            <w:tcW w:w="7000" w:type="dxa"/>
            <w:vAlign w:val="bottom"/>
            <w:gridSpan w:val="18"/>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4.</w:t>
            </w:r>
          </w:p>
        </w:tc>
        <w:tc>
          <w:tcPr>
            <w:tcW w:w="8860" w:type="dxa"/>
            <w:vAlign w:val="bottom"/>
            <w:gridSpan w:val="2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92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6"/>
        </w:trPr>
        <w:tc>
          <w:tcPr>
            <w:tcW w:w="6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PART II.</w:t>
              </w:r>
            </w:hyperlink>
          </w:p>
        </w:tc>
        <w:tc>
          <w:tcPr>
            <w:tcW w:w="780" w:type="dxa"/>
            <w:vAlign w:val="bottom"/>
            <w:gridSpan w:val="4"/>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5.</w:t>
            </w:r>
          </w:p>
        </w:tc>
        <w:tc>
          <w:tcPr>
            <w:tcW w:w="8860" w:type="dxa"/>
            <w:vAlign w:val="bottom"/>
            <w:gridSpan w:val="2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MARKET FOR REGISTRANT’S COMMON EQUITY, RELATED STOCKHOLDER MATTERS AND ISSUER</w:t>
              </w:r>
            </w:hyperlink>
          </w:p>
        </w:tc>
        <w:tc>
          <w:tcPr>
            <w:tcW w:w="920" w:type="dxa"/>
            <w:vAlign w:val="bottom"/>
            <w:vMerge w:val="restart"/>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8"/>
              </w:rPr>
            </w:pPr>
            <w:hyperlink w:anchor="page30">
              <w:r>
                <w:rPr>
                  <w:rFonts w:ascii="Arial" w:cs="Arial" w:eastAsia="Arial" w:hAnsi="Arial"/>
                  <w:sz w:val="17"/>
                  <w:szCs w:val="17"/>
                  <w:color w:val="0000FF"/>
                  <w:w w:val="98"/>
                </w:rPr>
                <w:t>PURCHASES OF EQUITY SECURITIES</w:t>
              </w:r>
            </w:hyperlink>
          </w:p>
        </w:tc>
        <w:tc>
          <w:tcPr>
            <w:tcW w:w="5120" w:type="dxa"/>
            <w:vAlign w:val="bottom"/>
            <w:tcBorders>
              <w:top w:val="single" w:sz="8" w:color="0000FF"/>
            </w:tcBorders>
            <w:gridSpan w:val="11"/>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6.</w:t>
            </w:r>
          </w:p>
        </w:tc>
        <w:tc>
          <w:tcPr>
            <w:tcW w:w="8860" w:type="dxa"/>
            <w:vAlign w:val="bottom"/>
            <w:gridSpan w:val="2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[RESERVED]</w:t>
              </w:r>
            </w:hyperlink>
          </w:p>
        </w:tc>
        <w:tc>
          <w:tcPr>
            <w:tcW w:w="92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7.</w:t>
            </w:r>
          </w:p>
        </w:tc>
        <w:tc>
          <w:tcPr>
            <w:tcW w:w="8860" w:type="dxa"/>
            <w:vAlign w:val="bottom"/>
            <w:gridSpan w:val="2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w:t>
              </w:r>
            </w:hyperlink>
          </w:p>
        </w:tc>
        <w:tc>
          <w:tcPr>
            <w:tcW w:w="920" w:type="dxa"/>
            <w:vAlign w:val="bottom"/>
            <w:vMerge w:val="restart"/>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6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w:anchor="page31">
              <w:r>
                <w:rPr>
                  <w:rFonts w:ascii="Arial" w:cs="Arial" w:eastAsia="Arial" w:hAnsi="Arial"/>
                  <w:sz w:val="17"/>
                  <w:szCs w:val="17"/>
                  <w:color w:val="0000FF"/>
                </w:rPr>
                <w:t>OPERATIONS</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7A.</w:t>
            </w:r>
          </w:p>
        </w:tc>
        <w:tc>
          <w:tcPr>
            <w:tcW w:w="6060" w:type="dxa"/>
            <w:vAlign w:val="bottom"/>
            <w:tcBorders>
              <w:bottom w:val="single" w:sz="8" w:color="0000FF"/>
            </w:tcBorders>
            <w:gridSpan w:val="18"/>
          </w:tcPr>
          <w:p>
            <w:pP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QUANTITATIVE AND QUALITATIVE DISCLOSURES ABOUT MARKET RISK</w:t>
              </w:r>
            </w:hyperlink>
          </w:p>
        </w:tc>
        <w:tc>
          <w:tcPr>
            <w:tcW w:w="2800" w:type="dxa"/>
            <w:vAlign w:val="bottom"/>
            <w:gridSpan w:val="7"/>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8.</w:t>
            </w:r>
          </w:p>
        </w:tc>
        <w:tc>
          <w:tcPr>
            <w:tcW w:w="4600" w:type="dxa"/>
            <w:vAlign w:val="bottom"/>
            <w:tcBorders>
              <w:bottom w:val="single" w:sz="8" w:color="0000FF"/>
            </w:tcBorders>
            <w:gridSpan w:val="16"/>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FINANCIAL STATEMENTS AND SUPPLEMENTARY DATA</w:t>
              </w:r>
            </w:hyperlink>
          </w:p>
        </w:tc>
        <w:tc>
          <w:tcPr>
            <w:tcW w:w="4260" w:type="dxa"/>
            <w:vAlign w:val="bottom"/>
            <w:gridSpan w:val="9"/>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w:t>
            </w:r>
          </w:p>
        </w:tc>
        <w:tc>
          <w:tcPr>
            <w:tcW w:w="8860" w:type="dxa"/>
            <w:vAlign w:val="bottom"/>
            <w:gridSpan w:val="2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CHANGES IN AND DISAGREEMENTS WITH ACCOUNTANTS ON ACCOUNTING AND FINANCIAL</w:t>
              </w:r>
            </w:hyperlink>
          </w:p>
        </w:tc>
        <w:tc>
          <w:tcPr>
            <w:tcW w:w="920" w:type="dxa"/>
            <w:vAlign w:val="bottom"/>
            <w:vMerge w:val="restart"/>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105</w:t>
              </w:r>
            </w:hyperlink>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7"/>
              </w:rPr>
            </w:pPr>
            <w:hyperlink w:anchor="page104">
              <w:r>
                <w:rPr>
                  <w:rFonts w:ascii="Arial" w:cs="Arial" w:eastAsia="Arial" w:hAnsi="Arial"/>
                  <w:sz w:val="17"/>
                  <w:szCs w:val="17"/>
                  <w:color w:val="0000FF"/>
                  <w:w w:val="97"/>
                </w:rPr>
                <w:t>DISCLOSURE</w:t>
              </w:r>
            </w:hyperlink>
          </w:p>
        </w:tc>
        <w:tc>
          <w:tcPr>
            <w:tcW w:w="672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9A.</w:t>
            </w:r>
          </w:p>
        </w:tc>
        <w:tc>
          <w:tcPr>
            <w:tcW w:w="8860" w:type="dxa"/>
            <w:vAlign w:val="bottom"/>
            <w:gridSpan w:val="2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CONTROLS AND PROCEDURES</w:t>
              </w:r>
            </w:hyperlink>
          </w:p>
        </w:tc>
        <w:tc>
          <w:tcPr>
            <w:tcW w:w="920" w:type="dxa"/>
            <w:vAlign w:val="bottom"/>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106</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9B.</w:t>
            </w:r>
          </w:p>
        </w:tc>
        <w:tc>
          <w:tcPr>
            <w:tcW w:w="25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OTHER INFORMATION</w:t>
            </w:r>
          </w:p>
        </w:tc>
        <w:tc>
          <w:tcPr>
            <w:tcW w:w="6300" w:type="dxa"/>
            <w:vAlign w:val="bottom"/>
            <w:gridSpan w:val="14"/>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105">
              <w:r>
                <w:rPr>
                  <w:rFonts w:ascii="Arial" w:cs="Arial" w:eastAsia="Arial" w:hAnsi="Arial"/>
                  <w:sz w:val="18"/>
                  <w:szCs w:val="18"/>
                  <w:color w:val="0000FF"/>
                </w:rPr>
                <w:t>106</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9C.</w:t>
            </w:r>
          </w:p>
        </w:tc>
        <w:tc>
          <w:tcPr>
            <w:tcW w:w="8860" w:type="dxa"/>
            <w:vAlign w:val="bottom"/>
            <w:gridSpan w:val="25"/>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DISCLOSURE REGARDING FOREIGN JURISDICTIONS THAT PREVENT INSPECTIONS</w:t>
              </w:r>
            </w:hyperlink>
          </w:p>
        </w:tc>
        <w:tc>
          <w:tcPr>
            <w:tcW w:w="920" w:type="dxa"/>
            <w:vAlign w:val="bottom"/>
          </w:tcPr>
          <w:p>
            <w:pPr>
              <w:jc w:val="right"/>
              <w:spacing w:after="0"/>
              <w:rPr>
                <w:rFonts w:ascii="Arial" w:cs="Arial" w:eastAsia="Arial" w:hAnsi="Arial"/>
                <w:sz w:val="18"/>
                <w:szCs w:val="18"/>
                <w:color w:val="0000FF"/>
              </w:rPr>
            </w:pPr>
            <w:hyperlink w:anchor="page105">
              <w:r>
                <w:rPr>
                  <w:rFonts w:ascii="Arial" w:cs="Arial" w:eastAsia="Arial" w:hAnsi="Arial"/>
                  <w:sz w:val="18"/>
                  <w:szCs w:val="18"/>
                  <w:color w:val="0000FF"/>
                </w:rPr>
                <w:t>106</w:t>
              </w:r>
            </w:hyperlink>
          </w:p>
        </w:tc>
        <w:tc>
          <w:tcPr>
            <w:tcW w:w="0" w:type="dxa"/>
            <w:vAlign w:val="bottom"/>
          </w:tcPr>
          <w:p>
            <w:pPr>
              <w:spacing w:after="0"/>
              <w:rPr>
                <w:sz w:val="1"/>
                <w:szCs w:val="1"/>
                <w:color w:val="auto"/>
              </w:rPr>
            </w:pPr>
          </w:p>
        </w:tc>
      </w:tr>
      <w:tr>
        <w:trPr>
          <w:trHeight w:val="206"/>
        </w:trPr>
        <w:tc>
          <w:tcPr>
            <w:tcW w:w="70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PART III.</w:t>
              </w:r>
            </w:hyperlink>
          </w:p>
        </w:tc>
        <w:tc>
          <w:tcPr>
            <w:tcW w:w="720" w:type="dxa"/>
            <w:vAlign w:val="bottom"/>
            <w:gridSpan w:val="2"/>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10.</w:t>
            </w:r>
          </w:p>
        </w:tc>
        <w:tc>
          <w:tcPr>
            <w:tcW w:w="5720" w:type="dxa"/>
            <w:vAlign w:val="bottom"/>
            <w:tcBorders>
              <w:bottom w:val="single" w:sz="8" w:color="0000FF"/>
            </w:tcBorders>
            <w:gridSpan w:val="17"/>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DIRECTORS, EXECUTIVE OFFICERS AND CORPORATE GOVERNANCE</w:t>
              </w:r>
            </w:hyperlink>
          </w:p>
        </w:tc>
        <w:tc>
          <w:tcPr>
            <w:tcW w:w="3140" w:type="dxa"/>
            <w:vAlign w:val="bottom"/>
            <w:gridSpan w:val="8"/>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11.</w:t>
            </w:r>
          </w:p>
        </w:tc>
        <w:tc>
          <w:tcPr>
            <w:tcW w:w="242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106">
              <w:r>
                <w:rPr>
                  <w:rFonts w:ascii="Arial" w:cs="Arial" w:eastAsia="Arial" w:hAnsi="Arial"/>
                  <w:sz w:val="18"/>
                  <w:szCs w:val="18"/>
                  <w:color w:val="0000FF"/>
                  <w:w w:val="94"/>
                </w:rPr>
                <w:t>EXECUTIVE COMPENSATION</w:t>
              </w:r>
            </w:hyperlink>
          </w:p>
        </w:tc>
        <w:tc>
          <w:tcPr>
            <w:tcW w:w="6440" w:type="dxa"/>
            <w:vAlign w:val="bottom"/>
            <w:gridSpan w:val="15"/>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12.</w:t>
            </w:r>
          </w:p>
        </w:tc>
        <w:tc>
          <w:tcPr>
            <w:tcW w:w="8860" w:type="dxa"/>
            <w:vAlign w:val="bottom"/>
            <w:gridSpan w:val="25"/>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SECURITY OWNERSHIP OF CERTAIN BENEFICIAL OWNERS AND MANAGEMENT AND RELATED</w:t>
              </w:r>
            </w:hyperlink>
          </w:p>
        </w:tc>
        <w:tc>
          <w:tcPr>
            <w:tcW w:w="920" w:type="dxa"/>
            <w:vAlign w:val="bottom"/>
            <w:vMerge w:val="restart"/>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9"/>
              </w:rPr>
            </w:pPr>
            <w:hyperlink w:anchor="page106">
              <w:r>
                <w:rPr>
                  <w:rFonts w:ascii="Arial" w:cs="Arial" w:eastAsia="Arial" w:hAnsi="Arial"/>
                  <w:sz w:val="17"/>
                  <w:szCs w:val="17"/>
                  <w:color w:val="0000FF"/>
                  <w:w w:val="99"/>
                </w:rPr>
                <w:t>STOCKHOLDER MATTERS</w:t>
              </w:r>
            </w:hyperlink>
          </w:p>
        </w:tc>
        <w:tc>
          <w:tcPr>
            <w:tcW w:w="5740" w:type="dxa"/>
            <w:vAlign w:val="bottom"/>
            <w:tcBorders>
              <w:top w:val="single" w:sz="8" w:color="0000FF"/>
            </w:tcBorders>
            <w:gridSpan w:val="15"/>
          </w:tcPr>
          <w:p>
            <w:pPr>
              <w:spacing w:after="0"/>
              <w:rPr>
                <w:sz w:val="13"/>
                <w:szCs w:val="13"/>
                <w:color w:val="auto"/>
              </w:rPr>
            </w:pPr>
          </w:p>
        </w:tc>
        <w:tc>
          <w:tcPr>
            <w:tcW w:w="96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13.</w:t>
            </w:r>
          </w:p>
        </w:tc>
        <w:tc>
          <w:tcPr>
            <w:tcW w:w="8860" w:type="dxa"/>
            <w:vAlign w:val="bottom"/>
            <w:gridSpan w:val="25"/>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14.</w:t>
            </w:r>
          </w:p>
        </w:tc>
        <w:tc>
          <w:tcPr>
            <w:tcW w:w="7580" w:type="dxa"/>
            <w:vAlign w:val="bottom"/>
            <w:tcBorders>
              <w:top w:val="single" w:sz="8" w:color="0000FF"/>
            </w:tcBorders>
            <w:gridSpan w:val="20"/>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PRINCIPAL ACCOUNTING FEES AND SERVICES</w:t>
              </w:r>
            </w:hyperlink>
          </w:p>
        </w:tc>
        <w:tc>
          <w:tcPr>
            <w:tcW w:w="1280" w:type="dxa"/>
            <w:vAlign w:val="bottom"/>
            <w:gridSpan w:val="5"/>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c>
          <w:tcPr>
            <w:tcW w:w="0" w:type="dxa"/>
            <w:vAlign w:val="bottom"/>
          </w:tcPr>
          <w:p>
            <w:pPr>
              <w:spacing w:after="0"/>
              <w:rPr>
                <w:sz w:val="1"/>
                <w:szCs w:val="1"/>
                <w:color w:val="auto"/>
              </w:rPr>
            </w:pPr>
          </w:p>
        </w:tc>
      </w:tr>
      <w:tr>
        <w:trPr>
          <w:trHeight w:val="206"/>
        </w:trPr>
        <w:tc>
          <w:tcPr>
            <w:tcW w:w="68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06">
              <w:r>
                <w:rPr>
                  <w:rFonts w:ascii="Arial" w:cs="Arial" w:eastAsia="Arial" w:hAnsi="Arial"/>
                  <w:sz w:val="18"/>
                  <w:szCs w:val="18"/>
                  <w:color w:val="0000FF"/>
                  <w:w w:val="87"/>
                </w:rPr>
                <w:t>PART IV.</w:t>
              </w:r>
            </w:hyperlink>
          </w:p>
        </w:tc>
        <w:tc>
          <w:tcPr>
            <w:tcW w:w="740" w:type="dxa"/>
            <w:vAlign w:val="bottom"/>
            <w:gridSpan w:val="3"/>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15.</w:t>
            </w:r>
          </w:p>
        </w:tc>
        <w:tc>
          <w:tcPr>
            <w:tcW w:w="4280" w:type="dxa"/>
            <w:vAlign w:val="bottom"/>
            <w:tcBorders>
              <w:bottom w:val="single" w:sz="8" w:color="0000FF"/>
            </w:tcBorders>
            <w:gridSpan w:val="15"/>
          </w:tcPr>
          <w:p>
            <w:pPr>
              <w:spacing w:after="0"/>
              <w:rPr>
                <w:rFonts w:ascii="Arial" w:cs="Arial" w:eastAsia="Arial" w:hAnsi="Arial"/>
                <w:sz w:val="18"/>
                <w:szCs w:val="18"/>
                <w:color w:val="0000FF"/>
                <w:w w:val="96"/>
              </w:rPr>
            </w:pPr>
            <w:hyperlink w:anchor="page107">
              <w:r>
                <w:rPr>
                  <w:rFonts w:ascii="Arial" w:cs="Arial" w:eastAsia="Arial" w:hAnsi="Arial"/>
                  <w:sz w:val="18"/>
                  <w:szCs w:val="18"/>
                  <w:color w:val="0000FF"/>
                  <w:w w:val="96"/>
                </w:rPr>
                <w:t>EXHIBITS AND FINANCIAL STATEMENT SCHEDULE</w:t>
              </w:r>
            </w:hyperlink>
          </w:p>
        </w:tc>
        <w:tc>
          <w:tcPr>
            <w:tcW w:w="4580" w:type="dxa"/>
            <w:vAlign w:val="bottom"/>
            <w:gridSpan w:val="10"/>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107">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ind w:left="320"/>
              <w:spacing w:after="0"/>
              <w:rPr>
                <w:sz w:val="20"/>
                <w:szCs w:val="20"/>
                <w:color w:val="auto"/>
              </w:rPr>
            </w:pPr>
            <w:r>
              <w:rPr>
                <w:rFonts w:ascii="Arial" w:cs="Arial" w:eastAsia="Arial" w:hAnsi="Arial"/>
                <w:sz w:val="18"/>
                <w:szCs w:val="18"/>
                <w:color w:val="auto"/>
              </w:rPr>
              <w:t>ITEM 16.</w:t>
            </w:r>
          </w:p>
        </w:tc>
        <w:tc>
          <w:tcPr>
            <w:tcW w:w="8860" w:type="dxa"/>
            <w:vAlign w:val="bottom"/>
            <w:gridSpan w:val="25"/>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FORM 10-K SUMMARY</w:t>
              </w:r>
            </w:hyperlink>
          </w:p>
        </w:tc>
        <w:tc>
          <w:tcPr>
            <w:tcW w:w="920" w:type="dxa"/>
            <w:vAlign w:val="bottom"/>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6"/>
        </w:trPr>
        <w:tc>
          <w:tcPr>
            <w:tcW w:w="1420" w:type="dxa"/>
            <w:vAlign w:val="bottom"/>
            <w:gridSpan w:val="6"/>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SIGNATURES</w:t>
              </w:r>
            </w:hyperlink>
          </w:p>
        </w:tc>
        <w:tc>
          <w:tcPr>
            <w:tcW w:w="8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jc w:val="right"/>
              <w:spacing w:after="0"/>
              <w:rPr>
                <w:rFonts w:ascii="Arial" w:cs="Arial" w:eastAsia="Arial" w:hAnsi="Arial"/>
                <w:sz w:val="18"/>
                <w:szCs w:val="18"/>
                <w:color w:val="0000FF"/>
              </w:rPr>
            </w:pPr>
            <w:hyperlink w:anchor="page112">
              <w:r>
                <w:rPr>
                  <w:rFonts w:ascii="Arial" w:cs="Arial" w:eastAsia="Arial" w:hAnsi="Arial"/>
                  <w:sz w:val="18"/>
                  <w:szCs w:val="18"/>
                  <w:color w:val="0000FF"/>
                </w:rPr>
                <w:t>114</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This Annual Report on Form 10-K contains or incorporates a number of forward-looking statements within the meaning of Section 27A of the Securities Act of 1933, as amended, and Section 21E of the Exchange Act of 1934, as amended, including statements regarding:</w:t>
      </w:r>
    </w:p>
    <w:p>
      <w:pPr>
        <w:spacing w:after="0" w:line="20" w:lineRule="exact"/>
        <w:rPr>
          <w:sz w:val="20"/>
          <w:szCs w:val="20"/>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pandemic on our business;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commodity pricing of our recyclables, increases in landfill tipping fees and fuel costs and general economic and weather conditions;</w:t>
      </w:r>
    </w:p>
    <w:p>
      <w:pPr>
        <w:spacing w:after="0" w:line="81" w:lineRule="exact"/>
        <w:rPr>
          <w:rFonts w:ascii="Arial" w:cs="Arial" w:eastAsia="Arial" w:hAnsi="Arial"/>
          <w:sz w:val="16"/>
          <w:szCs w:val="16"/>
          <w:color w:val="auto"/>
        </w:rPr>
      </w:pPr>
    </w:p>
    <w:p>
      <w:pPr>
        <w:ind w:left="480" w:right="180" w:hanging="314"/>
        <w:spacing w:after="0" w:line="266"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7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Casella Waste Systems, Inc.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Effective January 1, 2021, we realigned the Resource Solutions operating segment from our historical lines-of-service of recycling, organics and customer solutions into two lines-of-service: processing and non-processing. We realigned the Resource Solutions operating segment to leverage our core competencies in materials processing, industrial recycling, organics and resource management service offerings to deliver a comprehensive solution for our larger commercial, municipal, institutional, and industrial customers with more diverse waste and recycling needs. Processing services consist of the receipt of recycled, sludge or other organic materials at one of our materials recovery, processing or disposal facilities, where it is then sorted, mixed and/or processed, and then disposed of or sold. Non-processing services consist of brokerage services, overall resource management services, which provide a wide range of environmental services and zero waste solutions to large and complex organizations, and traditional collection, disposal and recycling services provided to large account multi-site customers.</w:t>
      </w:r>
    </w:p>
    <w:p>
      <w:pPr>
        <w:spacing w:after="0" w:line="7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For more information about our reportable operating segments, please see "</w:t>
      </w:r>
      <w:r>
        <w:rPr>
          <w:rFonts w:ascii="Arial" w:cs="Arial" w:eastAsia="Arial" w:hAnsi="Arial"/>
          <w:sz w:val="18"/>
          <w:szCs w:val="18"/>
          <w:i w:val="1"/>
          <w:iCs w:val="1"/>
          <w:color w:val="auto"/>
        </w:rPr>
        <w:t>Operational Overview</w:t>
      </w:r>
      <w:r>
        <w:rPr>
          <w:rFonts w:ascii="Arial" w:cs="Arial" w:eastAsia="Arial" w:hAnsi="Arial"/>
          <w:sz w:val="18"/>
          <w:szCs w:val="18"/>
          <w:color w:val="auto"/>
        </w:rPr>
        <w:t xml:space="preserve">." For financial information concerning our reportable operating segments, refer to “Item7. </w:t>
      </w:r>
      <w:r>
        <w:rPr>
          <w:rFonts w:ascii="Arial" w:cs="Arial" w:eastAsia="Arial" w:hAnsi="Arial"/>
          <w:sz w:val="18"/>
          <w:szCs w:val="18"/>
          <w:i w:val="1"/>
          <w:iCs w:val="1"/>
          <w:color w:val="auto"/>
        </w:rPr>
        <w:t>Management’s Discussion and Analysis of Results of Operations and Financial Condition</w:t>
      </w:r>
      <w:r>
        <w:rPr>
          <w:rFonts w:ascii="Arial" w:cs="Arial" w:eastAsia="Arial" w:hAnsi="Arial"/>
          <w:sz w:val="18"/>
          <w:szCs w:val="18"/>
          <w:color w:val="auto"/>
        </w:rPr>
        <w:t xml:space="preserve">” and “Item8.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of this Annual Report on Form 10-K.</w:t>
      </w:r>
    </w:p>
    <w:p>
      <w:pPr>
        <w:spacing w:after="0" w:line="8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The global outbreak of the COVID-19 pandemic has caused economic disruption across our geographic footprint since it was first identified in the United States in early 2020, and has adversely affected our business, although at a diminishing rate, over the last two fiscal years. For more information about the COVID-19 pandemic and its effect on our business and associated costs see “Item1A.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“Item7.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 and Financial Condition</w:t>
      </w:r>
      <w:r>
        <w:rPr>
          <w:rFonts w:ascii="Arial" w:cs="Arial" w:eastAsia="Arial" w:hAnsi="Arial"/>
          <w:sz w:val="17"/>
          <w:szCs w:val="17"/>
          <w:color w:val="auto"/>
        </w:rPr>
        <w:t>” of this Annual Report on Form 10-K.</w:t>
      </w:r>
    </w:p>
    <w:p>
      <w:pPr>
        <w:spacing w:after="0" w:line="7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www.casella.com</w:t>
      </w:r>
      <w:r>
        <w:rPr>
          <w:rFonts w:ascii="Arial" w:cs="Arial" w:eastAsia="Arial" w:hAnsi="Arial"/>
          <w:sz w:val="18"/>
          <w:szCs w:val="18"/>
          <w:color w:val="auto"/>
        </w:rPr>
        <w:t>. We make available, free of charge through our website, our Annual Reports on Form 10-K,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1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goal is to build a sustainable and profitable company by providing exemplary service to our customers, while operating safe and environmentally sound facilities. Over the last decade, we have worked with many of our key customers to improve their environmental footprint and to meet sustainability goals by increasing their recycling rates, diverting organic materials out of the waste stream into beneficial use processes, and partnering to develop resource solutions within their organizations. Since we first began operating in Vermont in 1975, our business strategy has been firmly tied to creating a sustainable resource management model and we continue to be rooted in these same tenets today.</w:t>
      </w:r>
    </w:p>
    <w:p>
      <w:pPr>
        <w:spacing w:after="0" w:line="75"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We continue to invest in resources (team, technology, facilities, and capital) to further develop this important long-term strategy that we believe will continue to differentiate our service offerings to our customers, make us an employer of choice for our people, and improve our economic returns. We strive to create long-term value for all of our stakeholders, including customers, employees, communities and shareholders.</w:t>
      </w:r>
    </w:p>
    <w:p>
      <w:pPr>
        <w:spacing w:after="0" w:line="6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objective is to maximize long-term shareholder value through a combination of financial performance and strategic asset positioning. Annually, we complete a comprehensive strategic planning process to assess and refine our strategic objectives in the context of our asset mix and the current market environment. This process helps the management team allocate resources to a range of business opportunities with the goal to maximize long-term financial returns and competitive positioning.</w:t>
      </w:r>
    </w:p>
    <w:p>
      <w:pPr>
        <w:spacing w:after="0" w:line="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early August 2017, we announced an updated long-term strategic plan through our fiscal year ending December 31, 2021 (the “2021 Plan”). The 2021 Plan was focused on enhancing shareholder returns by improving cash flows and reducing debt leverage by advancing efforts in five key areas: (1) increasing landfill returns; (2) driving additional profitability in collection operations; (3) creating incremental value through Resource Solutions; (4) using technology to drive profitable growth and efficiencies; and (5) allocating capital to balance delevering with smart growth.</w:t>
      </w:r>
    </w:p>
    <w:p>
      <w:pPr>
        <w:spacing w:after="0" w:line="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executed well against these strategies and we are introducing an updated strategic plan through our fiscal year ending December 31, 2024 (the “2024 Plan”). The key strategies of the 2024 Plan, set forth below, are similar in comparison to our 2021 Plan and reflect our continued focus on creating shareholder value through execution against our core competencies and disciplined growth strategy. In addition, we have launched a new fifth strategy focused on strengthening foundational pillars that will better position us for continued successful growth.</w:t>
      </w:r>
    </w:p>
    <w:p>
      <w:pPr>
        <w:spacing w:after="0" w:line="18" w:lineRule="exact"/>
        <w:rPr>
          <w:sz w:val="20"/>
          <w:szCs w:val="20"/>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landfill returns;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Driving additional profitability in collection operations;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incremental value through Resource Solutions;</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Allocating capital to return driven growth; and</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Strengthening four key foundational pillars:</w:t>
      </w:r>
    </w:p>
    <w:p>
      <w:pPr>
        <w:spacing w:after="0" w:line="81" w:lineRule="exact"/>
        <w:rPr>
          <w:rFonts w:ascii="Arial" w:cs="Arial" w:eastAsia="Arial" w:hAnsi="Arial"/>
          <w:sz w:val="18"/>
          <w:szCs w:val="18"/>
          <w:color w:val="auto"/>
        </w:rPr>
      </w:pPr>
    </w:p>
    <w:p>
      <w:pPr>
        <w:ind w:left="1280" w:hanging="316"/>
        <w:spacing w:after="0"/>
        <w:tabs>
          <w:tab w:leader="none" w:pos="1280" w:val="left"/>
        </w:tabs>
        <w:numPr>
          <w:ilvl w:val="1"/>
          <w:numId w:val="5"/>
        </w:numPr>
        <w:rPr>
          <w:rFonts w:ascii="Arial" w:cs="Arial" w:eastAsia="Arial" w:hAnsi="Arial"/>
          <w:sz w:val="21"/>
          <w:szCs w:val="21"/>
          <w:color w:val="auto"/>
        </w:rPr>
      </w:pPr>
      <w:r>
        <w:rPr>
          <w:rFonts w:ascii="Arial" w:cs="Arial" w:eastAsia="Arial" w:hAnsi="Arial"/>
          <w:sz w:val="18"/>
          <w:szCs w:val="18"/>
          <w:color w:val="auto"/>
        </w:rPr>
        <w:t>People: Developing a safe, engaged, ready workforce to support growth.</w:t>
      </w:r>
    </w:p>
    <w:p>
      <w:pPr>
        <w:spacing w:after="0" w:line="64" w:lineRule="exact"/>
        <w:rPr>
          <w:rFonts w:ascii="Arial" w:cs="Arial" w:eastAsia="Arial" w:hAnsi="Arial"/>
          <w:sz w:val="21"/>
          <w:szCs w:val="21"/>
          <w:color w:val="auto"/>
        </w:rPr>
      </w:pPr>
    </w:p>
    <w:p>
      <w:pPr>
        <w:ind w:left="1280" w:hanging="316"/>
        <w:spacing w:after="0"/>
        <w:tabs>
          <w:tab w:leader="none" w:pos="1280" w:val="left"/>
        </w:tabs>
        <w:numPr>
          <w:ilvl w:val="1"/>
          <w:numId w:val="5"/>
        </w:numPr>
        <w:rPr>
          <w:rFonts w:ascii="Arial" w:cs="Arial" w:eastAsia="Arial" w:hAnsi="Arial"/>
          <w:sz w:val="21"/>
          <w:szCs w:val="21"/>
          <w:color w:val="auto"/>
        </w:rPr>
      </w:pPr>
      <w:r>
        <w:rPr>
          <w:rFonts w:ascii="Arial" w:cs="Arial" w:eastAsia="Arial" w:hAnsi="Arial"/>
          <w:sz w:val="18"/>
          <w:szCs w:val="18"/>
          <w:color w:val="auto"/>
        </w:rPr>
        <w:t>Technology: Driving profitable growth and efficiencies through technology.</w:t>
      </w:r>
    </w:p>
    <w:p>
      <w:pPr>
        <w:spacing w:after="0" w:line="64" w:lineRule="exact"/>
        <w:rPr>
          <w:rFonts w:ascii="Arial" w:cs="Arial" w:eastAsia="Arial" w:hAnsi="Arial"/>
          <w:sz w:val="21"/>
          <w:szCs w:val="21"/>
          <w:color w:val="auto"/>
        </w:rPr>
      </w:pPr>
    </w:p>
    <w:p>
      <w:pPr>
        <w:ind w:left="1280" w:hanging="316"/>
        <w:spacing w:after="0"/>
        <w:tabs>
          <w:tab w:leader="none" w:pos="1280" w:val="left"/>
        </w:tabs>
        <w:numPr>
          <w:ilvl w:val="1"/>
          <w:numId w:val="5"/>
        </w:numPr>
        <w:rPr>
          <w:rFonts w:ascii="Arial" w:cs="Arial" w:eastAsia="Arial" w:hAnsi="Arial"/>
          <w:sz w:val="21"/>
          <w:szCs w:val="21"/>
          <w:color w:val="auto"/>
        </w:rPr>
      </w:pPr>
      <w:r>
        <w:rPr>
          <w:rFonts w:ascii="Arial" w:cs="Arial" w:eastAsia="Arial" w:hAnsi="Arial"/>
          <w:sz w:val="18"/>
          <w:szCs w:val="18"/>
          <w:color w:val="auto"/>
        </w:rPr>
        <w:t>Sustainable Growth: Driving profitable growth through an integrated resource solutions approach.</w:t>
      </w:r>
    </w:p>
    <w:p>
      <w:pPr>
        <w:spacing w:after="0" w:line="64" w:lineRule="exact"/>
        <w:rPr>
          <w:rFonts w:ascii="Arial" w:cs="Arial" w:eastAsia="Arial" w:hAnsi="Arial"/>
          <w:sz w:val="21"/>
          <w:szCs w:val="21"/>
          <w:color w:val="auto"/>
        </w:rPr>
      </w:pPr>
    </w:p>
    <w:p>
      <w:pPr>
        <w:ind w:left="1280" w:hanging="316"/>
        <w:spacing w:after="0"/>
        <w:tabs>
          <w:tab w:leader="none" w:pos="1280" w:val="left"/>
        </w:tabs>
        <w:numPr>
          <w:ilvl w:val="1"/>
          <w:numId w:val="5"/>
        </w:numPr>
        <w:rPr>
          <w:rFonts w:ascii="Arial" w:cs="Arial" w:eastAsia="Arial" w:hAnsi="Arial"/>
          <w:sz w:val="21"/>
          <w:szCs w:val="21"/>
          <w:color w:val="auto"/>
        </w:rPr>
      </w:pPr>
      <w:r>
        <w:rPr>
          <w:rFonts w:ascii="Arial" w:cs="Arial" w:eastAsia="Arial" w:hAnsi="Arial"/>
          <w:sz w:val="18"/>
          <w:szCs w:val="18"/>
          <w:color w:val="auto"/>
        </w:rPr>
        <w:t>Facilities: Developing necessary long-term infrastructure through facilities planning.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Landfill Returns</w:t>
      </w:r>
    </w:p>
    <w:p>
      <w:pPr>
        <w:spacing w:after="0" w:line="11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Disposal capacity continues to tighten in the Northeast market as permanent site closures are reducing capacity and stronger economic and construction activity are driving higher volumes. Given this supply-demand imbalance and the positioning of our assets, we were able to advance landfill pricing by 3.9% for the fiscal year ended December 31, 2021 ("fiscal year 2021"), as compared to the fiscal year ended December 31, 2020 ("fiscal year 2020").</w:t>
      </w:r>
    </w:p>
    <w:p>
      <w:pPr>
        <w:spacing w:after="0" w:line="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this positive pricing backdrop will continue as additional site closures are expected over the next several years, and as we reset multi-year contracts we expect to advance pricing in excess of the Consumer Price Index on a larger percentage of our inbound waste streams. In addition, we continue to focus our acquisition efforts on businesses and markets that are expected to increase vertical integration to our landfills in order to drive higher cash flows and to lower market risk.</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On the landfill development side, we continue to advance key permitting activities across our landfills to increase annual capacity limits at select sites and expand total permitted capacity across our footprint. Since early 2016, we have been successful in advancing permit increases at our Subtitle D landfills located in Angelica, New York (“Hyland Landfill”), Seneca, New York (“Ontario County Landfill”), Chemung, New York ("Chemung County Landfill"), West Old Town, Maine ("Juniper Ridge Landfill"), Schuyler Falls, New York (“Clinton County Landfill”), Coventry, Vermont ("Waste USA Landfill"), Campbell, New York (“Hakes Landfill”) and Bethlehem, New Hampshire ("NCES Landfill"). Cumulatively, these efforts have added approximately 0.5 million tons per year of permitted capacity and approximately 50.9 million cubic yards of permitted airspace.</w:t>
      </w:r>
    </w:p>
    <w:p>
      <w:pPr>
        <w:spacing w:after="0" w:line="73"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We also continue to focus on improving our landfill operations through various initiatives related to safety, compliance, operating practices, and capital efficiency programs.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Driving Additional Profitability in Collection Operations</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Collection pricing was up 4.3% for fiscal year 2021, as compared to fiscal year 2020, with sustained execution against our strategic pricing programs. On the operating side, we continue to advance several key areas, including route optimization, fleet standardization and automation, and maintenance programs to further reduce our operating costs in the collection line-of-business. We are in the seventh year of our comprehensive fleet plan, which is designed to optimize our fleet and target truck replacements to maximize returns, reduce our operating expenses through lower maintenance costs, improve our service levels through reduced down times, and conduct additional automation and optimization of trucks and service types. We also remain focused on acquisition integration as we work diligently to onboard new customers and employees, while enhancing service accuracy, increasing operating efficiencies, and optimizing the internalization of solid waste and recycling volumes into our facilities.</w:t>
      </w:r>
    </w:p>
    <w:p>
      <w:pPr>
        <w:spacing w:after="0" w:line="73" w:lineRule="exact"/>
        <w:rPr>
          <w:sz w:val="20"/>
          <w:szCs w:val="20"/>
          <w:color w:val="auto"/>
        </w:rPr>
      </w:pPr>
    </w:p>
    <w:p>
      <w:pPr>
        <w:ind w:right="460"/>
        <w:spacing w:after="0" w:line="329" w:lineRule="auto"/>
        <w:rPr>
          <w:sz w:val="20"/>
          <w:szCs w:val="20"/>
          <w:color w:val="auto"/>
        </w:rPr>
      </w:pPr>
      <w:r>
        <w:rPr>
          <w:rFonts w:ascii="Arial" w:cs="Arial" w:eastAsia="Arial" w:hAnsi="Arial"/>
          <w:sz w:val="16"/>
          <w:szCs w:val="16"/>
          <w:color w:val="auto"/>
        </w:rPr>
        <w:t>The combination of these operating advancements and pricing programs are driving improved results in our collection line-of-business, with our cost of operations as a percentage of revenues down approximately 670 basis points from the twelve months ended December 31, 2014 to fiscal year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Incremental Value Through Resource Solutions</w:t>
      </w:r>
    </w:p>
    <w:p>
      <w:pPr>
        <w:spacing w:after="0" w:line="1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fiscal year 2020, we combined our resource-oriented business units (customer solutions, recycling and organics) under a newly formed operating segment called Resource Solutions. By combining our resource and sustainability-oriented businesses into the Resource Solutions operating segment, we now have a dedicated team and business strategy focused on driving value-added resource solutions to our customers. These solutions range from professional services to large industrial, institutional or multi-site retail customers, to our organics business, which is a leader in organics processing and disposal in the Northeast, and to our large scale, technology-driven recycling business.</w:t>
      </w:r>
    </w:p>
    <w:p>
      <w:pPr>
        <w:spacing w:after="0" w:line="7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fiscal year 2021, we took another step in further integrating these teams and operations to drive increased synergies by realigning and creating processing and non-processing business units within Resource Solutions. This was done to leverage our core competencies in materials processing, industrial recycling, organics and resource management service offerings to deliver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 comprehensive solution for our larger commercial, municipal, institutional, and industrial customers with more diverse waste and recycling needs. Our processing operations consist of our recycling and biosolids facilities where we receive inbound materials, process the volume, and sell the resulting products into end markets. Over the last six years, we have worked to reshape our recycling business model to drive higher returns in all market cycles and reduce exposure to recycling commodity price volatility. We have accomplished this goal by: (1) restructuring most third-party processing contracts to limit downside risk by charging processing fees; (2) implementing our sustainability recycling adjustment Fee (“SRA Fee”) for our collection customers (the SRA Fee floats inversely to changes in recycling commodity prices); (3) making key investments in recycling processing infrastructure to reduce operating costs and improve the quality of the end commodities; and (4) developing strong partnerships with industrial consumers of recycled materials to ensure that the materials our customers recycle make their way into new products and beneficial uses. Our risk mitigation programs offset most recycling commodity price decline and also allow us to return value to our customers with higher recycling commodity prices through lower tipping fees and a lower SRA fee. We expect these programs to continue to reduce our commodity risk exposure.</w:t>
      </w:r>
    </w:p>
    <w:p>
      <w:pPr>
        <w:spacing w:after="0" w:line="7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non-processing operations consist of brokerage and resource management services provided to large customers with broad sustainability needs. Our professional services business continues to make progress pivoting from the legacy waste and recycling brokerage model to an advisory services organization focused on helping large industrial and institutional customers meet their resource management and sustainability goals.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Allocating Capital to Return-Driven Growth</w:t>
      </w:r>
    </w:p>
    <w:p>
      <w:pPr>
        <w:spacing w:after="0" w:line="11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Over the last eight years we made significant progress in simplifying our business structure, improving cash flows and reducing risk exposure by: (1) divesting, or in certain cases, closing underperforming operations that did not enhance or complement our core operations; (2) refinancing debt to lower interest costs and improve financial flexibility; and (3) adhering to strict capital discipline and debt repayment. As a result of these actions, we have significantly reduced our consolidated net leverage ratio by 56 % over the last seven years to 2.35x as of December 31, 2021. See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of this Annual Report on Form 10-K for more disclosure about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leverage ratio.</w:t>
      </w:r>
    </w:p>
    <w:p>
      <w:pPr>
        <w:spacing w:after="0" w:line="8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Given our progress in each area and as part of the 2021 Plan, we shifted our capital strategy to use our capital in a manner that balances continued delevering with smart acquisition and development growth. As part of this strategy, we set a goal through fiscal year 2021 of adding $20 million to $40 million per year of annualized revenues through acquisition or development activity.</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made significant progress ramping up our strategic growth initiative, as we have acquired 39 solid waste collection, transfer and recycling businesses during the fiscal year ended December 31, 2018 ("fiscal year 2018"), the fiscal year ended December 31, 2019 ("fiscal year 2019"), fiscal year 2020, and fiscal year 2021, with approximately $240 million of total annualized revenues. We expect revenue growth of approximately $52 million in the fiscal year ending December 31, 2022 from the full year of revenue from acquisitions completed in fiscal year 2021, but which contributed to our revenues for only part of the year in fiscal year 2021.</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the strength of our balance sheet coupled with a robust acquisition pipeline positions us well for continued execution against our growth strategy. As such, as part of the 2024 Plan, we have established a target of adding greater than $30 million per year of annualized revenues through acquisition or development.</w:t>
      </w:r>
    </w:p>
    <w:p>
      <w:pPr>
        <w:spacing w:after="0" w:line="82"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It is our view that acquisition or development activity should be opportunistic, and we plan to strictly adhere to our disciplined capital return hurdles and rigorous review process. We are focused on acquiring well-run businesses in strategic markets across our footprint and in adjacent markets that will drive additional internalization to our facilities, operating synergies, and opportunities to grow profitably into new market areas. We are also focused on more effectively optimizing waste placement around the Northeast as the ever-tightening disposal market is creating additional opportunities to source new volumes at higher prices.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Strengthening Foundational Pillars</w:t>
      </w:r>
    </w:p>
    <w:p>
      <w:pPr>
        <w:spacing w:after="0" w:line="112"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color w:val="auto"/>
        </w:rPr>
        <w:t>Execution against the 2024 Plan is supported by strengthening our foundational pillars: people, technology, sustainable growth, and facilities. We believe that it is important to continue to invest in and strengthen the foundational pillars to support growth and further differentiate our business strategy.</w:t>
      </w:r>
    </w:p>
    <w:p>
      <w:pPr>
        <w:spacing w:after="0" w:line="1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People. </w:t>
      </w:r>
      <w:r>
        <w:rPr>
          <w:rFonts w:ascii="Arial" w:cs="Arial" w:eastAsia="Arial" w:hAnsi="Arial"/>
          <w:sz w:val="18"/>
          <w:szCs w:val="18"/>
          <w:color w:val="auto"/>
        </w:rPr>
        <w:t>We continue to invest in our people through leadership development, career paths program, technical training for key roles such as drivers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mechanics, and incentive compensation structures that seek to align our employees’ incentives with our long-term goal to improve cash flows and returns on invested capital. We have grown our workforce to approximately 2,900 employees and we believe that continuing to invest in our team and culture and creating a safe, engaged, and ready workforce is key to our continued success.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Technology. </w:t>
      </w:r>
      <w:r>
        <w:rPr>
          <w:rFonts w:ascii="Arial" w:cs="Arial" w:eastAsia="Arial" w:hAnsi="Arial"/>
          <w:sz w:val="16"/>
          <w:szCs w:val="16"/>
          <w:color w:val="auto"/>
        </w:rPr>
        <w:t>In the fiscal year ended December 31, 2017, we launched a multi-year plan focused on driving operating and back-office cost efficiencies,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value, and strategic growth. Through fiscal year 2021, we have successfully implemented: a new Customer Resource Management system to help manage and drive higher sales force effectiveness, a new Case Management system to ensure strong integration between our sales force, customer care group and operating teams, and a cloud-based Enterprise Resource Planning system as the financial backbone to our business. We have also improved our procurement process and spend category management with the implementation of a new procurement system.</w:t>
      </w:r>
    </w:p>
    <w:p>
      <w:pPr>
        <w:spacing w:after="0" w:line="5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2024 Plan provides for a continuation of a measured approach with capital investment in select technologies that have long-term strategic fit, including our service management initiative to improve customer facing technology, operational efficiencies, and various back-office functions. This initiative also includes the implementation of route optimization software and a new on-board computing platform to drive efficiencies, safety, and improve billings. We have also increased our access to actionable real-time data through continued improvements to our business intelligence software.</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Sustainable Growth. </w:t>
      </w:r>
      <w:r>
        <w:rPr>
          <w:rFonts w:ascii="Arial" w:cs="Arial" w:eastAsia="Arial" w:hAnsi="Arial"/>
          <w:sz w:val="18"/>
          <w:szCs w:val="18"/>
          <w:color w:val="auto"/>
        </w:rPr>
        <w:t>Execution against the key strategies within the 2024 Plan will be supported by our sustainable growth initiatives. We are focused on</w:t>
      </w:r>
      <w:r>
        <w:rPr>
          <w:rFonts w:ascii="Arial" w:cs="Arial" w:eastAsia="Arial" w:hAnsi="Arial"/>
          <w:sz w:val="18"/>
          <w:szCs w:val="18"/>
          <w:i w:val="1"/>
          <w:iCs w:val="1"/>
          <w:color w:val="auto"/>
        </w:rPr>
        <w:t xml:space="preserve"> </w:t>
      </w:r>
      <w:r>
        <w:rPr>
          <w:rFonts w:ascii="Arial" w:cs="Arial" w:eastAsia="Arial" w:hAnsi="Arial"/>
          <w:sz w:val="18"/>
          <w:szCs w:val="18"/>
          <w:color w:val="auto"/>
        </w:rPr>
        <w:t>driving further value through profitable new customer growth and the expansion of services with existing customers. We have integrated our sales, marketing, engagement, customer care, communications, and sustainability functions in an effort to improve customer profitability, key customer retention, and new market growth opportunities through a differentiated sustainable service platform.</w:t>
      </w:r>
    </w:p>
    <w:p>
      <w:pPr>
        <w:spacing w:after="0" w:line="85"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auto"/>
        </w:rPr>
        <w:t>We have increased our sales training, and we have developed centralized processes and consistent sales metrics that helped improve our accountability and alignment across our organization. Our sustainable growth initiatives shape how we interact with our customers and with the communities we serve.</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We believe prioritizing and allocating capital to meet our long-term facility needs will help to improve employee safety, operating efficiencies,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integration, and employee engagement. Our multi-year facility strategy helps to guide decisions related to facility expansions, consolidations, and relocations as well as key property or facility acquisitions. We are also focused on developing facility standards that will create a more welcoming and accommodating experience for our employees, customers, vendors, and site visitors. These attributes coupled with improved functional design aim to increase the attraction and retention of key roles across our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mission is to create value by renewing and sustaining our resources and environment. We believe that one of the most important factors in achieving our mission is to hire, develop, and retain employees who will be able to make good decisions for our business, customers and communities by adhering to our c</w:t>
      </w:r>
      <w:r>
        <w:rPr>
          <w:rFonts w:ascii="Arial" w:cs="Arial" w:eastAsia="Arial" w:hAnsi="Arial"/>
          <w:sz w:val="16"/>
          <w:szCs w:val="16"/>
          <w:i w:val="1"/>
          <w:iCs w:val="1"/>
          <w:color w:val="auto"/>
        </w:rPr>
        <w:t>ore values</w:t>
      </w:r>
      <w:r>
        <w:rPr>
          <w:rFonts w:ascii="Arial" w:cs="Arial" w:eastAsia="Arial" w:hAnsi="Arial"/>
          <w:sz w:val="16"/>
          <w:szCs w:val="16"/>
          <w:color w:val="auto"/>
        </w:rPr>
        <w:t xml:space="preserve"> of service, trust, responsibility, integrity, continuous improvement and teamwork. Our team consists of drivers, vehicle technicians, equipment operators, recycling facility sorters, engineers, accountants, customer care specialists, and many other key roles.</w:t>
      </w:r>
    </w:p>
    <w:p>
      <w:pPr>
        <w:spacing w:after="0" w:line="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January 31, 2022, we employed approximately 2,900 employees, including approximately 550 managerial, sales, clerical, information systems or other administrative employees and approximately 2,350 employees involved in collection, transfer, disposal, recycling, organics or other operations. Approximately 160 of our employees are covered by collective bargaining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top priority across all of our operations is to protect the health and safety of our team and the communities that we serve. At the heart of our safety program are our safety and operations teams, who are dedicated to ensuring that every employee has a safe operating environment and the necessary training and personal protective equipment (“PPE”) to safely conduct their role. The success of our safety programs and the performance of our health and safety and operations teams is measured by our total recordable incident rate, a measure of accidents and injuries compared to hours worked. Our extensive focus on new hire and ongoing training programs also helps us to manage and reduce operational risks for our front-line employees.</w:t>
      </w:r>
    </w:p>
    <w:p>
      <w:pPr>
        <w:spacing w:after="0" w:line="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 achieve our goal of keeping our employees safe during the COVID-19 pandemic, we have maintained careful adherence to Center for Disease Control and Prevention and state level guidance, including appropriate social distancing, increased cleaning of facilities, and updated PPE and safe practices. We provided hourly employees with four hours of pay for each vaccine received by the employee, including booster shots. We have created an internal website with COVID-19 resources for our managers, and a series of podcasts for our employees to listen to concerning the pandemic.</w:t>
      </w:r>
    </w:p>
    <w:p>
      <w:pPr>
        <w:spacing w:after="0" w:line="56" w:lineRule="exact"/>
        <w:rPr>
          <w:sz w:val="20"/>
          <w:szCs w:val="20"/>
          <w:color w:val="auto"/>
        </w:rPr>
      </w:pPr>
    </w:p>
    <w:p>
      <w:pPr>
        <w:ind w:right="640"/>
        <w:spacing w:after="0" w:line="296" w:lineRule="auto"/>
        <w:rPr>
          <w:sz w:val="20"/>
          <w:szCs w:val="20"/>
          <w:color w:val="auto"/>
        </w:rPr>
      </w:pPr>
      <w:r>
        <w:rPr>
          <w:rFonts w:ascii="Arial" w:cs="Arial" w:eastAsia="Arial" w:hAnsi="Arial"/>
          <w:sz w:val="17"/>
          <w:szCs w:val="17"/>
          <w:color w:val="auto"/>
        </w:rPr>
        <w:t>We are also focused on facility upgrades, enhancements, and standards that result in safety and operational improvements, while furthering employee engagement. We understand the importance of providing a safe and attractive environment for our employees to work.</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 Programs</w:t>
      </w: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strive to provide the necessary resources to support the physical and mental health of our employees and the overall well-being of their families and the communities that we serve. We achieve this through our benefit programs, caring attitude towards our employees, deep engagement in our communities, and adherence to our core values. We are committed to offering high quality benefits at affordable rates, competitive compensation based on role, experience and performance, and a career paths program to encourage our people to advance throughout their employment with us. We conduct market-based surveys to ensure that our employees continue to be paid competitively, and we perform annual reviews to provide feedback and support the growth and development of our team.</w:t>
      </w:r>
    </w:p>
    <w:p>
      <w:pPr>
        <w:spacing w:after="0" w:line="8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offer our employees access to enhanced benefits such as a concierge surgery service, telemedicine options, access to a certified clinical pharmacist to support employees in managing their medications and healthcare budget, and online psychology appointments. We understand the importance of work-life balance for our team and offer eight weeks maternity leave as well as maintain a robust employee assistance program designed to provide support and guidance related to personal life challenges and events. Further, our Employee Life Navigator program is focused on employee retention, career development, and financial stability for at risk employees. Through comprehensive compensation and benefits, ongoing employee development, tuition reimbursement and a focus on health, safety and employee well-being, we wish to help our employees in all aspects of their lives so they can realize their value and do their best work.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commitment to workplace diversity and equity and to fostering a culture of inclusion is rooted in our </w:t>
      </w:r>
      <w:r>
        <w:rPr>
          <w:rFonts w:ascii="Arial" w:cs="Arial" w:eastAsia="Arial" w:hAnsi="Arial"/>
          <w:sz w:val="18"/>
          <w:szCs w:val="18"/>
          <w:i w:val="1"/>
          <w:iCs w:val="1"/>
          <w:color w:val="auto"/>
        </w:rPr>
        <w:t>core values</w:t>
      </w:r>
      <w:r>
        <w:rPr>
          <w:rFonts w:ascii="Arial" w:cs="Arial" w:eastAsia="Arial" w:hAnsi="Arial"/>
          <w:sz w:val="18"/>
          <w:szCs w:val="18"/>
          <w:color w:val="auto"/>
        </w:rPr>
        <w:t xml:space="preserve"> of service, trust, responsibility, integrity, continuous improvement and teamwork. Our vision is to draw on our </w:t>
      </w:r>
      <w:r>
        <w:rPr>
          <w:rFonts w:ascii="Arial" w:cs="Arial" w:eastAsia="Arial" w:hAnsi="Arial"/>
          <w:sz w:val="18"/>
          <w:szCs w:val="18"/>
          <w:i w:val="1"/>
          <w:iCs w:val="1"/>
          <w:color w:val="auto"/>
        </w:rPr>
        <w:t>core values</w:t>
      </w:r>
      <w:r>
        <w:rPr>
          <w:rFonts w:ascii="Arial" w:cs="Arial" w:eastAsia="Arial" w:hAnsi="Arial"/>
          <w:sz w:val="18"/>
          <w:szCs w:val="18"/>
          <w:color w:val="auto"/>
        </w:rPr>
        <w:t xml:space="preserve"> to achieve diversity throughout our workforce, including our leadership, through the following initiatives:</w:t>
      </w:r>
    </w:p>
    <w:p>
      <w:pPr>
        <w:spacing w:after="0" w:line="29" w:lineRule="exact"/>
        <w:rPr>
          <w:sz w:val="20"/>
          <w:szCs w:val="20"/>
          <w:color w:val="auto"/>
        </w:rPr>
      </w:pPr>
    </w:p>
    <w:p>
      <w:pPr>
        <w:ind w:left="640" w:right="100" w:hanging="315"/>
        <w:spacing w:after="0" w:line="26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directing recruiting efforts to new talent pools, promoting diversity in our training and development programs, and encouraging diversity within our process for advancing our next cohort of leaders;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a cultural awareness and competency training program for managers that emphasizes diversity, equity, and inclusion;</w:t>
      </w:r>
    </w:p>
    <w:p>
      <w:pPr>
        <w:spacing w:after="0" w:line="58" w:lineRule="exact"/>
        <w:rPr>
          <w:rFonts w:ascii="Arial" w:cs="Arial" w:eastAsia="Arial" w:hAnsi="Arial"/>
          <w:sz w:val="18"/>
          <w:szCs w:val="18"/>
          <w:color w:val="auto"/>
        </w:rPr>
      </w:pPr>
    </w:p>
    <w:p>
      <w:pPr>
        <w:ind w:left="640" w:hanging="315"/>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incorporating diversity, equity, and inclusion practices as part of our ongoing efforts to upgrade our procurement system and practices; and</w:t>
      </w:r>
    </w:p>
    <w:p>
      <w:pPr>
        <w:spacing w:after="0" w:line="70" w:lineRule="exact"/>
        <w:rPr>
          <w:rFonts w:ascii="Arial" w:cs="Arial" w:eastAsia="Arial" w:hAnsi="Arial"/>
          <w:sz w:val="17"/>
          <w:szCs w:val="17"/>
          <w:color w:val="auto"/>
        </w:rPr>
      </w:pPr>
    </w:p>
    <w:p>
      <w:pPr>
        <w:ind w:left="640" w:right="140" w:hanging="315"/>
        <w:spacing w:after="0" w:line="26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an internal diversity, equity, and inclusion team that will include broad representation from our workforce and will be led by a member of our executive management team.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 Training and Development</w:t>
      </w:r>
    </w:p>
    <w:p>
      <w:pPr>
        <w:spacing w:after="0" w:line="112"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color w:val="auto"/>
        </w:rPr>
        <w:t>We are committed to building people and cultivating engagement by investing in our career path program in order to provide a clear and measurable development pathway for career growth.</w:t>
      </w:r>
    </w:p>
    <w:p>
      <w:pPr>
        <w:spacing w:after="0" w:line="20" w:lineRule="exact"/>
        <w:rPr>
          <w:sz w:val="20"/>
          <w:szCs w:val="20"/>
          <w:color w:val="auto"/>
        </w:rPr>
      </w:pPr>
    </w:p>
    <w:p>
      <w:pPr>
        <w:ind w:left="640" w:right="720" w:hanging="315"/>
        <w:spacing w:after="0" w:line="26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Apprenticeships: </w:t>
      </w:r>
      <w:r>
        <w:rPr>
          <w:rFonts w:ascii="Arial" w:cs="Arial" w:eastAsia="Arial" w:hAnsi="Arial"/>
          <w:sz w:val="18"/>
          <w:szCs w:val="18"/>
          <w:color w:val="auto"/>
        </w:rPr>
        <w:t>We have developed an apprenticeship program for drivers and technicians, where we recruit new employees from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backgrounds and help them build the skills they need to thrive in our organization.</w:t>
      </w:r>
    </w:p>
    <w:p>
      <w:pPr>
        <w:spacing w:after="0" w:line="19"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CDL Training: </w:t>
      </w:r>
      <w:r>
        <w:rPr>
          <w:rFonts w:ascii="Arial" w:cs="Arial" w:eastAsia="Arial" w:hAnsi="Arial"/>
          <w:sz w:val="18"/>
          <w:szCs w:val="18"/>
          <w:color w:val="auto"/>
        </w:rPr>
        <w:t>We have developed a commercial driver's license ("CDL") training school and have partnered with several additional training schools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our operating footprint to help develop skilled drivers for our team. In fiscal year 2021, we supported 51 drivers in securing their CDL, which unlocked new opportunities for them within our company.</w:t>
      </w:r>
    </w:p>
    <w:p>
      <w:pPr>
        <w:spacing w:after="0" w:line="29" w:lineRule="exact"/>
        <w:rPr>
          <w:rFonts w:ascii="Arial" w:cs="Arial" w:eastAsia="Arial" w:hAnsi="Arial"/>
          <w:sz w:val="18"/>
          <w:szCs w:val="18"/>
          <w:color w:val="auto"/>
        </w:rPr>
      </w:pPr>
    </w:p>
    <w:p>
      <w:pPr>
        <w:jc w:val="both"/>
        <w:ind w:left="640" w:right="240" w:hanging="315"/>
        <w:spacing w:after="0" w:line="300"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Operations Trainee Program: </w:t>
      </w:r>
      <w:r>
        <w:rPr>
          <w:rFonts w:ascii="Arial" w:cs="Arial" w:eastAsia="Arial" w:hAnsi="Arial"/>
          <w:sz w:val="16"/>
          <w:szCs w:val="16"/>
          <w:color w:val="auto"/>
        </w:rPr>
        <w:t>Our operations trainee program develops individuals into frontline management roles. Through on-the-job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learn the technical and leadership skills required to lead our operations. This program has become a strong pipeline for our operating managers across our company. We continue to expand our management development programs across the organization.</w:t>
      </w:r>
    </w:p>
    <w:p>
      <w:pPr>
        <w:spacing w:after="0" w:line="1" w:lineRule="exact"/>
        <w:rPr>
          <w:rFonts w:ascii="Arial" w:cs="Arial" w:eastAsia="Arial" w:hAnsi="Arial"/>
          <w:sz w:val="16"/>
          <w:szCs w:val="16"/>
          <w:color w:val="auto"/>
        </w:rPr>
      </w:pPr>
    </w:p>
    <w:p>
      <w:pPr>
        <w:ind w:left="640" w:right="100" w:hanging="315"/>
        <w:spacing w:after="0" w:line="296"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Diesel Mechanic Training: </w:t>
      </w:r>
      <w:r>
        <w:rPr>
          <w:rFonts w:ascii="Arial" w:cs="Arial" w:eastAsia="Arial" w:hAnsi="Arial"/>
          <w:sz w:val="17"/>
          <w:szCs w:val="17"/>
          <w:color w:val="auto"/>
        </w:rPr>
        <w:t>Our continued collaboration with technical schools has produced several diesel technicians throughout our 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enhance our training infrastructure and resources to attract, develop, and retain skilled diesel mechanics.</w:t>
      </w:r>
    </w:p>
    <w:p>
      <w:pPr>
        <w:spacing w:after="0" w:line="50"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color w:val="auto"/>
        </w:rPr>
        <w:t>We have also increased our focus on core values training given the level of growth we have experienced through acquisitions. This training highlights our commitment to integrating new employees and ensuring that there is continuity in our message about culture within our organization.</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Overview</w:t>
      </w:r>
    </w:p>
    <w:p>
      <w:pPr>
        <w:spacing w:after="0" w:line="11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manage our solid waste operations, which are vertically integrated and include a full range of solid waste services, on a geographic basis through two regional operating segments, which we designate as the Eastern and Western regions. Within each geographic region, we organize our solid waste services around smaller areas that we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Our Eastern region consists of wastesheds located in Maine, northern, central and southeastern New Hampshire, central and eastern Massachusetts, and northeastern Connecticut. We began entering into these wastesheds beginning in 1996 and have expanded primarily through acquisitions and organic growth since. Our Western region includes wastesheds located in Vermont, southwestern New Hampshire, eastern, western and upstate New York, northwestern Massachusetts, and in Pennsylvania around our Subtitle D landfill located in Mount Jewett, Pennsylvania ("McKean Landfill"). We began entering into these wastesheds in 1997 and have expanded primarily through tuck-in acquisitions and organic growth. Our Western region collection operations include leadership or near leadership positions in Rochester, New York and Burlington, Vermont and nearly every secondary market outside of the larger metropolitan markets. We remain focused on increasing our vertical integration in our Western region through extension of our reach into new markets and managing new materials.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January 1, 2021, we realigned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We realigned the Resource Solutions operating segment to leverage our core competencies in materials processing, industrial recycling, organics and resource management service offerings to deliver a comprehensive solution for our larger commercial, municipal, institutional, and industrial customers that have more diverse waste and recycling needs.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each reportable segment (as of January 31, 2022 except revenue information, which is for fiscal year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Eastern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Western</w:t>
            </w:r>
          </w:p>
        </w:tc>
        <w:tc>
          <w:tcPr>
            <w:tcW w:w="1320" w:type="dxa"/>
            <w:vAlign w:val="bottom"/>
          </w:tcPr>
          <w:p>
            <w:pPr>
              <w:ind w:left="340"/>
              <w:spacing w:after="0"/>
              <w:rPr>
                <w:sz w:val="20"/>
                <w:szCs w:val="20"/>
                <w:color w:val="auto"/>
              </w:rPr>
            </w:pPr>
            <w:r>
              <w:rPr>
                <w:rFonts w:ascii="Arial" w:cs="Arial" w:eastAsia="Arial" w:hAnsi="Arial"/>
                <w:sz w:val="18"/>
                <w:szCs w:val="18"/>
                <w:color w:val="auto"/>
              </w:rPr>
              <w:t>Resource</w:t>
            </w:r>
          </w:p>
        </w:tc>
      </w:tr>
      <w:tr>
        <w:trPr>
          <w:trHeight w:val="225"/>
        </w:trPr>
        <w:tc>
          <w:tcPr>
            <w:tcW w:w="7080" w:type="dxa"/>
            <w:vAlign w:val="bottom"/>
          </w:tcPr>
          <w:p>
            <w:pPr>
              <w:spacing w:after="0"/>
              <w:rPr>
                <w:sz w:val="19"/>
                <w:szCs w:val="19"/>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rPr>
              <w:t>Region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Region</w:t>
            </w:r>
          </w:p>
        </w:tc>
        <w:tc>
          <w:tcPr>
            <w:tcW w:w="1320" w:type="dxa"/>
            <w:vAlign w:val="bottom"/>
          </w:tcPr>
          <w:p>
            <w:pPr>
              <w:ind w:left="320"/>
              <w:spacing w:after="0"/>
              <w:rPr>
                <w:sz w:val="20"/>
                <w:szCs w:val="20"/>
                <w:color w:val="auto"/>
              </w:rPr>
            </w:pPr>
            <w:r>
              <w:rPr>
                <w:rFonts w:ascii="Arial" w:cs="Arial" w:eastAsia="Arial" w:hAnsi="Arial"/>
                <w:sz w:val="18"/>
                <w:szCs w:val="18"/>
                <w:color w:val="auto"/>
              </w:rPr>
              <w:t>Solutions</w:t>
            </w:r>
          </w:p>
        </w:tc>
      </w:tr>
      <w:tr>
        <w:trPr>
          <w:trHeight w:val="87"/>
        </w:trPr>
        <w:tc>
          <w:tcPr>
            <w:tcW w:w="70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r>
      <w:tr>
        <w:trPr>
          <w:trHeight w:val="226"/>
        </w:trPr>
        <w:tc>
          <w:tcPr>
            <w:tcW w:w="7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Revenues (in millions)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$264.6</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$389.5</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7"/>
              </w:rPr>
              <w:t>$235.1</w:t>
            </w: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Number of Properties: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0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Solid waste collection facilities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30</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r>
      <w:tr>
        <w:trPr>
          <w:trHeight w:val="225"/>
        </w:trPr>
        <w:tc>
          <w:tcPr>
            <w:tcW w:w="7080" w:type="dxa"/>
            <w:vAlign w:val="bottom"/>
          </w:tcPr>
          <w:p>
            <w:pPr>
              <w:ind w:left="140"/>
              <w:spacing w:after="0"/>
              <w:rPr>
                <w:sz w:val="20"/>
                <w:szCs w:val="20"/>
                <w:color w:val="auto"/>
              </w:rPr>
            </w:pPr>
            <w:r>
              <w:rPr>
                <w:rFonts w:ascii="Arial" w:cs="Arial" w:eastAsia="Arial" w:hAnsi="Arial"/>
                <w:sz w:val="18"/>
                <w:szCs w:val="18"/>
                <w:color w:val="auto"/>
              </w:rPr>
              <w:t>Transfer stations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7"/>
        </w:trPr>
        <w:tc>
          <w:tcPr>
            <w:tcW w:w="70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Recycling and processing facilities</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14</w:t>
            </w:r>
          </w:p>
        </w:tc>
      </w:tr>
      <w:tr>
        <w:trPr>
          <w:trHeight w:val="225"/>
        </w:trPr>
        <w:tc>
          <w:tcPr>
            <w:tcW w:w="7080" w:type="dxa"/>
            <w:vAlign w:val="bottom"/>
          </w:tcPr>
          <w:p>
            <w:pPr>
              <w:ind w:left="140"/>
              <w:spacing w:after="0"/>
              <w:rPr>
                <w:sz w:val="20"/>
                <w:szCs w:val="20"/>
                <w:color w:val="auto"/>
              </w:rPr>
            </w:pPr>
            <w:r>
              <w:rPr>
                <w:rFonts w:ascii="Arial" w:cs="Arial" w:eastAsia="Arial" w:hAnsi="Arial"/>
                <w:sz w:val="18"/>
                <w:szCs w:val="18"/>
                <w:color w:val="auto"/>
              </w:rPr>
              <w:t>Subtitle D landfills</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7"/>
        </w:trPr>
        <w:tc>
          <w:tcPr>
            <w:tcW w:w="7080" w:type="dxa"/>
            <w:vAlign w:val="bottom"/>
            <w:shd w:val="clear" w:color="auto" w:fill="BFE4FF"/>
          </w:tcPr>
          <w:p>
            <w:pPr>
              <w:ind w:left="140"/>
              <w:spacing w:after="0"/>
              <w:rPr>
                <w:sz w:val="20"/>
                <w:szCs w:val="20"/>
                <w:color w:val="auto"/>
              </w:rPr>
            </w:pPr>
            <w:r>
              <w:rPr>
                <w:rFonts w:ascii="Arial" w:cs="Arial" w:eastAsia="Arial" w:hAnsi="Arial"/>
                <w:sz w:val="18"/>
                <w:szCs w:val="18"/>
                <w:color w:val="auto"/>
              </w:rPr>
              <w:t>Construction and demolition ("C&amp;D") landfills</w:t>
            </w:r>
          </w:p>
        </w:tc>
        <w:tc>
          <w:tcPr>
            <w:tcW w:w="1420" w:type="dxa"/>
            <w:vAlign w:val="bottom"/>
            <w:gridSpan w:val="2"/>
            <w:shd w:val="clear" w:color="auto" w:fill="BFE4FF"/>
          </w:tcPr>
          <w:p>
            <w:pPr>
              <w:jc w:val="center"/>
              <w:ind w:right="1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BFE4FF"/>
          </w:tcPr>
          <w:p>
            <w:pPr>
              <w:spacing w:after="0"/>
              <w:rPr>
                <w:sz w:val="19"/>
                <w:szCs w:val="19"/>
                <w:color w:val="auto"/>
              </w:rPr>
            </w:pPr>
          </w:p>
        </w:tc>
        <w:tc>
          <w:tcPr>
            <w:tcW w:w="13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right="700"/>
        <w:spacing w:after="0" w:line="296" w:lineRule="auto"/>
        <w:rPr>
          <w:sz w:val="20"/>
          <w:szCs w:val="20"/>
          <w:color w:val="auto"/>
        </w:rPr>
      </w:pPr>
      <w:r>
        <w:rPr>
          <w:rFonts w:ascii="Arial" w:cs="Arial" w:eastAsia="Arial" w:hAnsi="Arial"/>
          <w:sz w:val="17"/>
          <w:szCs w:val="17"/>
          <w:color w:val="auto"/>
        </w:rPr>
        <w:t xml:space="preserve">For financial information concerning our reportable segments, refer to “Item 7. </w:t>
      </w:r>
      <w:r>
        <w:rPr>
          <w:rFonts w:ascii="Arial" w:cs="Arial" w:eastAsia="Arial" w:hAnsi="Arial"/>
          <w:sz w:val="17"/>
          <w:szCs w:val="17"/>
          <w:i w:val="1"/>
          <w:iCs w:val="1"/>
          <w:color w:val="auto"/>
        </w:rPr>
        <w:t>Management’s Discussion and Analysis of Results of Operations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w:t>
      </w:r>
      <w:r>
        <w:rPr>
          <w:rFonts w:ascii="Arial" w:cs="Arial" w:eastAsia="Arial" w:hAnsi="Arial"/>
          <w:sz w:val="17"/>
          <w:szCs w:val="17"/>
          <w:color w:val="auto"/>
        </w:rPr>
        <w:t>” and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 of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 Operations</w:t>
      </w:r>
    </w:p>
    <w:p>
      <w:pPr>
        <w:spacing w:after="0" w:line="11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Solid waste operations within our Eastern and Western regions comprise a full range of non-hazardous solid waste services, including collections, transfer stations, and disposal facilities.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renewable energy credits, and energy capacity payments at certain of our landfill facilities.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Collections. </w:t>
      </w:r>
      <w:r>
        <w:rPr>
          <w:rFonts w:ascii="Arial" w:cs="Arial" w:eastAsia="Arial" w:hAnsi="Arial"/>
          <w:sz w:val="18"/>
          <w:szCs w:val="18"/>
          <w:color w:val="auto"/>
        </w:rPr>
        <w:t>A majority of our commercial and industrial collection services are performed under one-to-five year service agreements, with prices and fees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and disposal services are performed either on a subscription basis (with no underlying contract) with individuals, or through contracts with municipalities, homeowner associations, apartment building owners or mobile home park operators.</w:t>
      </w:r>
    </w:p>
    <w:p>
      <w:pPr>
        <w:spacing w:after="0" w:line="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Transfer Stations. </w:t>
      </w:r>
      <w:r>
        <w:rPr>
          <w:rFonts w:ascii="Arial" w:cs="Arial" w:eastAsia="Arial" w:hAnsi="Arial"/>
          <w:sz w:val="17"/>
          <w:szCs w:val="17"/>
          <w:color w:val="auto"/>
        </w:rPr>
        <w:t>Our transfer stations receive, compact and transfer solid waste, collected primarily by our various residential and commercial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for transport to disposal facilities by larger vehicles. We believe that transfer stations benefit us by: (1) increasing the size of the wastesheds which have access to our landfills; (2) reducing costs by improving utilization of collection personnel and equipment; and (3) helping us build relationships with municipalities and other customers by providing a local physical presence and enhanced local service capabilities.</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We operate eight solid waste Subtitle D landfills and one landfill permitted to accept C&amp;D materials. Revenues are received from municipalities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8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The following table (in thousands) reflects the aggregate landfill capacity and airspace changes, in tons, for landfills we operated during fiscal years 2021, 2020 and 2019:</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Fiscal Year 2021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2"/>
                <w:szCs w:val="12"/>
                <w:b w:val="1"/>
                <w:bCs w:val="1"/>
                <w:color w:val="auto"/>
                <w:w w:val="94"/>
              </w:rPr>
              <w:t>Fiscal Year 2020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2"/>
              </w:rPr>
              <w:t>Fiscal Year 2019</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94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10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0"/>
              </w:rPr>
              <w:t>Estimated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Estimated</w:t>
            </w:r>
          </w:p>
        </w:tc>
        <w:tc>
          <w:tcPr>
            <w:tcW w:w="10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Estimated</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94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Remaining</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Additional</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Estimated</w:t>
            </w:r>
          </w:p>
        </w:tc>
        <w:tc>
          <w:tcPr>
            <w:tcW w:w="94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Remaining</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Additional</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Estimated</w:t>
            </w:r>
          </w:p>
        </w:tc>
        <w:tc>
          <w:tcPr>
            <w:tcW w:w="96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Remaining</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Additional</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Estimated</w:t>
            </w: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Permitted</w:t>
            </w:r>
          </w:p>
        </w:tc>
        <w:tc>
          <w:tcPr>
            <w:tcW w:w="10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Permittable</w:t>
            </w:r>
          </w:p>
        </w:tc>
        <w:tc>
          <w:tcPr>
            <w:tcW w:w="1000" w:type="dxa"/>
            <w:vAlign w:val="bottom"/>
            <w:gridSpan w:val="2"/>
            <w:vMerge w:val="continue"/>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Permitted</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7"/>
              </w:rPr>
              <w:t>Permittable</w:t>
            </w:r>
          </w:p>
        </w:tc>
        <w:tc>
          <w:tcPr>
            <w:tcW w:w="1000" w:type="dxa"/>
            <w:vAlign w:val="bottom"/>
            <w:gridSpan w:val="2"/>
            <w:vMerge w:val="continue"/>
          </w:tcPr>
          <w:p>
            <w:pPr>
              <w:spacing w:after="0"/>
              <w:rPr>
                <w:sz w:val="10"/>
                <w:szCs w:val="10"/>
                <w:color w:val="auto"/>
              </w:rPr>
            </w:pPr>
          </w:p>
        </w:tc>
        <w:tc>
          <w:tcPr>
            <w:tcW w:w="96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3"/>
              </w:rPr>
              <w:t>Permitted</w:t>
            </w:r>
          </w:p>
        </w:tc>
        <w:tc>
          <w:tcPr>
            <w:tcW w:w="102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4"/>
              </w:rPr>
              <w:t>Permittable</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0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7"/>
              </w:rPr>
              <w:t>Total</w:t>
            </w:r>
          </w:p>
        </w:tc>
        <w:tc>
          <w:tcPr>
            <w:tcW w:w="94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100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7"/>
              </w:rPr>
              <w:t>Total</w:t>
            </w:r>
          </w:p>
        </w:tc>
        <w:tc>
          <w:tcPr>
            <w:tcW w:w="96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w w:val="95"/>
              </w:rPr>
              <w:t>Capacity</w:t>
            </w:r>
          </w:p>
        </w:tc>
        <w:tc>
          <w:tcPr>
            <w:tcW w:w="102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Capacity</w:t>
            </w:r>
          </w:p>
        </w:tc>
        <w:tc>
          <w:tcPr>
            <w:tcW w:w="8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5"/>
              </w:rPr>
              <w:t>(1)(2)</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Capacity</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5"/>
              </w:rPr>
              <w:t>(1)(2)</w:t>
            </w: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Capacity</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rPr>
              <w:t>(1)(2)</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Capacity</w:t>
            </w: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42,681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34,139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35,810</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47,053</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82,863</w:t>
            </w:r>
          </w:p>
        </w:tc>
        <w:tc>
          <w:tcPr>
            <w:tcW w:w="0" w:type="dxa"/>
            <w:vAlign w:val="bottom"/>
          </w:tcPr>
          <w:p>
            <w:pPr>
              <w:spacing w:after="0"/>
              <w:rPr>
                <w:sz w:val="1"/>
                <w:szCs w:val="1"/>
                <w:color w:val="auto"/>
              </w:rPr>
            </w:pPr>
          </w:p>
        </w:tc>
      </w:tr>
      <w:tr>
        <w:trPr>
          <w:trHeight w:val="225"/>
        </w:trPr>
        <w:tc>
          <w:tcPr>
            <w:tcW w:w="2400" w:type="dxa"/>
            <w:vAlign w:val="bottom"/>
          </w:tcPr>
          <w:p>
            <w:pPr>
              <w:ind w:left="340"/>
              <w:spacing w:after="0"/>
              <w:rPr>
                <w:sz w:val="20"/>
                <w:szCs w:val="20"/>
                <w:color w:val="auto"/>
              </w:rPr>
            </w:pPr>
            <w:r>
              <w:rPr>
                <w:rFonts w:ascii="Arial" w:cs="Arial" w:eastAsia="Arial" w:hAnsi="Arial"/>
                <w:sz w:val="18"/>
                <w:szCs w:val="18"/>
                <w:color w:val="auto"/>
                <w:w w:val="90"/>
              </w:rPr>
              <w:t xml:space="preserve">New expansions pursued </w:t>
            </w:r>
            <w:r>
              <w:rPr>
                <w:rFonts w:ascii="Arial" w:cs="Arial" w:eastAsia="Arial" w:hAnsi="Arial"/>
                <w:sz w:val="14"/>
                <w:szCs w:val="14"/>
                <w:color w:val="auto"/>
                <w:w w:val="90"/>
              </w:rPr>
              <w:t>(3)</w:t>
            </w: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19,607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35,807</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7"/>
        </w:trPr>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Permits granted </w:t>
            </w:r>
            <w:r>
              <w:rPr>
                <w:rFonts w:ascii="Arial" w:cs="Arial" w:eastAsia="Arial" w:hAnsi="Arial"/>
                <w:sz w:val="14"/>
                <w:szCs w:val="14"/>
                <w:color w:val="auto"/>
              </w:rPr>
              <w:t>(4)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00" w:type="dxa"/>
            <w:vAlign w:val="bottom"/>
          </w:tcPr>
          <w:p>
            <w:pPr>
              <w:ind w:left="340"/>
              <w:spacing w:after="0"/>
              <w:rPr>
                <w:sz w:val="20"/>
                <w:szCs w:val="20"/>
                <w:color w:val="auto"/>
              </w:rPr>
            </w:pPr>
            <w:r>
              <w:rPr>
                <w:rFonts w:ascii="Arial" w:cs="Arial" w:eastAsia="Arial" w:hAnsi="Arial"/>
                <w:sz w:val="18"/>
                <w:szCs w:val="18"/>
                <w:color w:val="auto"/>
              </w:rPr>
              <w:t>Airspace consumed</w:t>
            </w:r>
          </w:p>
        </w:tc>
        <w:tc>
          <w:tcPr>
            <w:tcW w:w="84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ind w:left="340"/>
              <w:spacing w:after="0" w:line="175" w:lineRule="exact"/>
              <w:rPr>
                <w:sz w:val="20"/>
                <w:szCs w:val="20"/>
                <w:color w:val="auto"/>
              </w:rPr>
            </w:pPr>
            <w:r>
              <w:rPr>
                <w:rFonts w:ascii="Arial" w:cs="Arial" w:eastAsia="Arial" w:hAnsi="Arial"/>
                <w:sz w:val="18"/>
                <w:szCs w:val="18"/>
                <w:color w:val="auto"/>
              </w:rPr>
              <w:t>Changes in engineering</w:t>
            </w: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estimates </w:t>
            </w:r>
            <w:r>
              <w:rPr>
                <w:rFonts w:ascii="Arial" w:cs="Arial" w:eastAsia="Arial" w:hAnsi="Arial"/>
                <w:sz w:val="14"/>
                <w:szCs w:val="14"/>
                <w:color w:val="auto"/>
              </w:rPr>
              <w:t>(5)</w:t>
            </w: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0" w:type="dxa"/>
            <w:vAlign w:val="bottom"/>
          </w:tcPr>
          <w:p>
            <w:pPr>
              <w:ind w:left="20"/>
              <w:spacing w:after="0" w:line="205" w:lineRule="exact"/>
              <w:rPr>
                <w:sz w:val="20"/>
                <w:szCs w:val="20"/>
                <w:color w:val="auto"/>
              </w:rPr>
            </w:pPr>
            <w:r>
              <w:rPr>
                <w:rFonts w:ascii="Arial" w:cs="Arial" w:eastAsia="Arial" w:hAnsi="Arial"/>
                <w:sz w:val="18"/>
                <w:szCs w:val="18"/>
                <w:color w:val="auto"/>
              </w:rPr>
              <w:t>Balance, end of year</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58,705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47,251</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105,956</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31,239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44,434</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80" w:right="140" w:hanging="314"/>
        <w:spacing w:after="0" w:line="256" w:lineRule="auto"/>
        <w:tabs>
          <w:tab w:leader="none" w:pos="472" w:val="left"/>
        </w:tabs>
        <w:numPr>
          <w:ilvl w:val="0"/>
          <w:numId w:val="8"/>
        </w:numPr>
        <w:rPr>
          <w:rFonts w:ascii="Arial" w:cs="Arial" w:eastAsia="Arial" w:hAnsi="Arial"/>
          <w:sz w:val="14"/>
          <w:szCs w:val="14"/>
          <w:color w:val="auto"/>
        </w:rPr>
      </w:pPr>
      <w:r>
        <w:rPr>
          <w:rFonts w:ascii="Arial" w:cs="Arial" w:eastAsia="Arial" w:hAnsi="Arial"/>
          <w:sz w:val="18"/>
          <w:szCs w:val="18"/>
          <w:color w:val="auto"/>
        </w:rPr>
        <w:t>We convert estimated remaining permitted capacity and estimated additional permittable capacity from cubic yards to tons generally by assuming a compaction factor derived from historical average compaction factors, with modification for future anticipated changes. In addition to a total capacity limit, certain permits place a daily and/or annual limit on capacity.</w:t>
      </w:r>
    </w:p>
    <w:p>
      <w:pPr>
        <w:spacing w:after="0" w:line="29" w:lineRule="exact"/>
        <w:rPr>
          <w:rFonts w:ascii="Arial" w:cs="Arial" w:eastAsia="Arial" w:hAnsi="Arial"/>
          <w:sz w:val="14"/>
          <w:szCs w:val="14"/>
          <w:color w:val="auto"/>
        </w:rPr>
      </w:pPr>
    </w:p>
    <w:p>
      <w:pPr>
        <w:ind w:left="480" w:right="20" w:hanging="314"/>
        <w:spacing w:after="0" w:line="269" w:lineRule="auto"/>
        <w:tabs>
          <w:tab w:leader="none" w:pos="472" w:val="left"/>
        </w:tabs>
        <w:numPr>
          <w:ilvl w:val="0"/>
          <w:numId w:val="8"/>
        </w:numPr>
        <w:rPr>
          <w:rFonts w:ascii="Arial" w:cs="Arial" w:eastAsia="Arial" w:hAnsi="Arial"/>
          <w:sz w:val="13"/>
          <w:szCs w:val="13"/>
          <w:color w:val="auto"/>
        </w:rPr>
      </w:pPr>
      <w:r>
        <w:rPr>
          <w:rFonts w:ascii="Arial" w:cs="Arial" w:eastAsia="Arial" w:hAnsi="Arial"/>
          <w:sz w:val="17"/>
          <w:szCs w:val="17"/>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spacing w:after="0" w:line="21" w:lineRule="exact"/>
        <w:rPr>
          <w:rFonts w:ascii="Arial" w:cs="Arial" w:eastAsia="Arial" w:hAnsi="Arial"/>
          <w:sz w:val="13"/>
          <w:szCs w:val="13"/>
          <w:color w:val="auto"/>
        </w:rPr>
      </w:pPr>
    </w:p>
    <w:p>
      <w:pPr>
        <w:jc w:val="both"/>
        <w:ind w:left="480" w:right="80" w:hanging="314"/>
        <w:spacing w:after="0" w:line="278" w:lineRule="auto"/>
        <w:tabs>
          <w:tab w:leader="none" w:pos="472" w:val="left"/>
        </w:tabs>
        <w:numPr>
          <w:ilvl w:val="0"/>
          <w:numId w:val="8"/>
        </w:numPr>
        <w:rPr>
          <w:rFonts w:ascii="Arial" w:cs="Arial" w:eastAsia="Arial" w:hAnsi="Arial"/>
          <w:sz w:val="13"/>
          <w:szCs w:val="13"/>
          <w:color w:val="auto"/>
        </w:rPr>
      </w:pPr>
      <w:r>
        <w:rPr>
          <w:rFonts w:ascii="Arial" w:cs="Arial" w:eastAsia="Arial" w:hAnsi="Arial"/>
          <w:sz w:val="17"/>
          <w:szCs w:val="17"/>
          <w:color w:val="auto"/>
        </w:rPr>
        <w:t>The increase in capacity associated with new expansions pursued in fiscal year 2021 relates to the determination of additional permitted airspace at the McKean Landfill and the determination of additional permittable airspace at the Hyland Landfill, both in our Western region, and, in fiscal year 2019, relates to the determination of additional permittable airspace at the NCES Landfill in our Eastern region.</w:t>
      </w:r>
    </w:p>
    <w:p>
      <w:pPr>
        <w:spacing w:after="0" w:line="12" w:lineRule="exact"/>
        <w:rPr>
          <w:rFonts w:ascii="Arial" w:cs="Arial" w:eastAsia="Arial" w:hAnsi="Arial"/>
          <w:sz w:val="13"/>
          <w:szCs w:val="13"/>
          <w:color w:val="auto"/>
        </w:rPr>
      </w:pPr>
    </w:p>
    <w:p>
      <w:pPr>
        <w:ind w:left="480" w:right="20" w:hanging="314"/>
        <w:spacing w:after="0" w:line="333" w:lineRule="auto"/>
        <w:tabs>
          <w:tab w:leader="none" w:pos="472" w:val="left"/>
        </w:tabs>
        <w:numPr>
          <w:ilvl w:val="0"/>
          <w:numId w:val="8"/>
        </w:numPr>
        <w:rPr>
          <w:rFonts w:ascii="Arial" w:cs="Arial" w:eastAsia="Arial" w:hAnsi="Arial"/>
          <w:sz w:val="12"/>
          <w:szCs w:val="12"/>
          <w:color w:val="auto"/>
        </w:rPr>
      </w:pPr>
      <w:r>
        <w:rPr>
          <w:rFonts w:ascii="Arial" w:cs="Arial" w:eastAsia="Arial" w:hAnsi="Arial"/>
          <w:sz w:val="15"/>
          <w:szCs w:val="15"/>
          <w:color w:val="auto"/>
        </w:rPr>
        <w:t>The increase in remaining permitted airspace capacity in fiscal year 2020 was the result of a permit received at the NCES Landfill in our Eastern region and, in fiscal year 2019, was the result of permits received at the Waste USA Landfill and at the Hakes Landfill in our Western region.</w:t>
      </w:r>
    </w:p>
    <w:p>
      <w:pPr>
        <w:ind w:left="480" w:right="260" w:hanging="314"/>
        <w:spacing w:after="0" w:line="266" w:lineRule="auto"/>
        <w:tabs>
          <w:tab w:leader="none" w:pos="472" w:val="left"/>
        </w:tabs>
        <w:numPr>
          <w:ilvl w:val="0"/>
          <w:numId w:val="8"/>
        </w:numPr>
        <w:rPr>
          <w:rFonts w:ascii="Arial" w:cs="Arial" w:eastAsia="Arial" w:hAnsi="Arial"/>
          <w:sz w:val="14"/>
          <w:szCs w:val="14"/>
          <w:color w:val="auto"/>
        </w:rPr>
      </w:pPr>
      <w:r>
        <w:rPr>
          <w:rFonts w:ascii="Arial" w:cs="Arial" w:eastAsia="Arial" w:hAnsi="Arial"/>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Our Eastern region consists of the following landfills:</w:t>
      </w:r>
    </w:p>
    <w:p>
      <w:pPr>
        <w:spacing w:after="0" w:line="11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NCES Landfill. </w:t>
      </w:r>
      <w:r>
        <w:rPr>
          <w:rFonts w:ascii="Arial" w:cs="Arial" w:eastAsia="Arial" w:hAnsi="Arial"/>
          <w:sz w:val="17"/>
          <w:szCs w:val="17"/>
          <w:color w:val="auto"/>
        </w:rPr>
        <w:t>NCES Landfill is a Subtitle D landfill located in Bethlehem, New Hampshire that we purchased in 1994. NCES Landfill currently consists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52 acres of permitted or permittable landfill area, and is permitted to accept municipal solid waste, C&amp;D material and certain pre-approved special wastes. In October 2020, we received approval for a permit modification for an additional 1.24 million cubic yards of capacity at the NCES Landfill. The permit modification included an annual permit limit of 0.23 million cubic yards per year. We are party to an agreement for the construction of a landfill renewable natural gas ("RNG") facility, which will be constructed, owned and operated by a third-party.</w:t>
      </w:r>
    </w:p>
    <w:p>
      <w:pPr>
        <w:spacing w:after="0" w:line="7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i w:val="1"/>
          <w:iCs w:val="1"/>
          <w:color w:val="auto"/>
        </w:rPr>
        <w:t xml:space="preserve">Juniper Ridge Landfill. </w:t>
      </w:r>
      <w:r>
        <w:rPr>
          <w:rFonts w:ascii="Arial" w:cs="Arial" w:eastAsia="Arial" w:hAnsi="Arial"/>
          <w:sz w:val="17"/>
          <w:szCs w:val="17"/>
          <w:color w:val="auto"/>
        </w:rPr>
        <w:t>Juniper Ridge Landfill is a Subtitle D landfill located in West Old Town, Maine. In 2004, we completed transactions with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179 acres of permitted or permittable landfill area, which is sufficient to permit the additional airspace required for the term of the 30-year operating and services agreement, and is permitted to accept the following waste originating from the State of Maine: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 We are party to an agreement for the construction of a landfill RNG facility plant at the Juniper Ridge Landfill, which will be constructed, owned and operated by a third-party.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Our Western region consists of the following landfills:</w:t>
      </w:r>
    </w:p>
    <w:p>
      <w:pPr>
        <w:spacing w:after="0" w:line="11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i w:val="1"/>
          <w:iCs w:val="1"/>
          <w:color w:val="auto"/>
        </w:rPr>
        <w:t xml:space="preserve">Waste USA Landfill. </w:t>
      </w:r>
      <w:r>
        <w:rPr>
          <w:rFonts w:ascii="Arial" w:cs="Arial" w:eastAsia="Arial" w:hAnsi="Arial"/>
          <w:sz w:val="16"/>
          <w:szCs w:val="16"/>
          <w:color w:val="auto"/>
        </w:rPr>
        <w:t>Waste USA Landfill is a Subtitle D landfill located in Coventry, Vermont that we purchased in 1995, and is the only operating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Subtitle D landfill in the State of Vermont. Waste USA Landfill consists of approximately 144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Clinton County Landfill. </w:t>
      </w:r>
      <w:r>
        <w:rPr>
          <w:rFonts w:ascii="Arial" w:cs="Arial" w:eastAsia="Arial" w:hAnsi="Arial"/>
          <w:sz w:val="18"/>
          <w:szCs w:val="18"/>
          <w:color w:val="auto"/>
        </w:rPr>
        <w:t>Clinton County Landfill, which currently consists of approximately 197 acres of permitted or permittable landfill area, portions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leased from Clinton County, and other portions owned by us, is permitted to accept up to approximately 0.25 million tons of municipal solid waste, C&amp;D material and certain pre-approved special waste annually. The Clinton County Landfill site houses a landfill gas-to-energy facility, which is owned by us and operated by a third party, that has the capacity to generate 6.4 MW of energy.</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Hyland Landfill. </w:t>
      </w:r>
      <w:r>
        <w:rPr>
          <w:rFonts w:ascii="Arial" w:cs="Arial" w:eastAsia="Arial" w:hAnsi="Arial"/>
          <w:sz w:val="18"/>
          <w:szCs w:val="18"/>
          <w:color w:val="auto"/>
        </w:rPr>
        <w:t>Hyland Landfill is a Subtitle D landfill located in Angelica, New York that we own, and that began accepting waste in 1998. Hyland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consists of approximately 180 acres of permitted or permittable landfill area and is permitted to accept up to 0.5 million tons of municipal solid waste, C&amp;D material and certain pre-approved special waste annually. The Hyland Landfill site houses a landfill gas-to-energy facility, which is owned by us and operated by a third-party, that has the capacity to generate 4.8 MW of energy.</w:t>
      </w:r>
    </w:p>
    <w:p>
      <w:pPr>
        <w:spacing w:after="0" w:line="85"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 xml:space="preserve">Ontario County Landfill. </w:t>
      </w:r>
      <w:r>
        <w:rPr>
          <w:rFonts w:ascii="Arial" w:cs="Arial" w:eastAsia="Arial" w:hAnsi="Arial"/>
          <w:sz w:val="18"/>
          <w:szCs w:val="18"/>
          <w:color w:val="auto"/>
        </w:rPr>
        <w:t>Ontario County Landfill is a Subtitle D landfill located in Seneca, New York. In 2003, we entered into a 25-year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material recovery facility ("MRF"), which is operated by us, and a landfill gas-to-energy facility, which is owned and operated by a third-party, that has the capacity to generate 11.2 MW of energy.</w:t>
      </w:r>
    </w:p>
    <w:p>
      <w:pPr>
        <w:spacing w:after="0" w:line="90" w:lineRule="exact"/>
        <w:rPr>
          <w:sz w:val="20"/>
          <w:szCs w:val="20"/>
          <w:color w:val="auto"/>
        </w:rPr>
      </w:pPr>
    </w:p>
    <w:p>
      <w:pPr>
        <w:ind w:right="940"/>
        <w:spacing w:after="0" w:line="296" w:lineRule="auto"/>
        <w:rPr>
          <w:sz w:val="20"/>
          <w:szCs w:val="20"/>
          <w:color w:val="auto"/>
        </w:rPr>
      </w:pPr>
      <w:r>
        <w:rPr>
          <w:rFonts w:ascii="Arial" w:cs="Arial" w:eastAsia="Arial" w:hAnsi="Arial"/>
          <w:sz w:val="17"/>
          <w:szCs w:val="17"/>
          <w:i w:val="1"/>
          <w:iCs w:val="1"/>
          <w:color w:val="auto"/>
        </w:rPr>
        <w:t xml:space="preserve">Hakes Landfill. </w:t>
      </w:r>
      <w:r>
        <w:rPr>
          <w:rFonts w:ascii="Arial" w:cs="Arial" w:eastAsia="Arial" w:hAnsi="Arial"/>
          <w:sz w:val="17"/>
          <w:szCs w:val="17"/>
          <w:color w:val="auto"/>
        </w:rPr>
        <w:t>Hakes Landfill is a C&amp;D landfill located in Campbell, New York that we purchased in 1998. Hakes Landfill currently consists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78 acres of permitted landfill area and is permitted to accept up to 0.5 million tons of C&amp;D material annually.</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Chemung County Landfill. </w:t>
      </w:r>
      <w:r>
        <w:rPr>
          <w:rFonts w:ascii="Arial" w:cs="Arial" w:eastAsia="Arial" w:hAnsi="Arial"/>
          <w:sz w:val="16"/>
          <w:szCs w:val="16"/>
          <w:color w:val="auto"/>
        </w:rPr>
        <w:t>Chemung County Landfill is a Subtitle D landfill located in Chemung, New York. In 2005, we entered into a 25-year operation,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lease agreement for Chemung County Landfill and certain other facilities with Chemung County. Chemung County Landfill currently consists of approximately 113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the fiscal year ended December 31, 2016, we received an expansion permit at Chemung County Landfill, which is sufficient to permit the additional airspace required for the remaining term of the 25-year operation, management and lease agreement. In fiscal year 2019, we exercised an option to extend the remaining term of the operation, management and lease agreement for up to five years through 2035.</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McKean Landfill. </w:t>
      </w:r>
      <w:r>
        <w:rPr>
          <w:rFonts w:ascii="Arial" w:cs="Arial" w:eastAsia="Arial" w:hAnsi="Arial"/>
          <w:sz w:val="18"/>
          <w:szCs w:val="18"/>
          <w:color w:val="auto"/>
        </w:rPr>
        <w:t>McKean Landfill is a Subtitle D landfill located in Mount Jewett, Pennsylvania that we purchased in 2011. McKean Landfill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approximately 256 acres of permitted or permittable landfill area and is permitted to accept up to approximately 1.5 million tons of municipal solid waste, C&amp;D material and certain pre-approved special waste annually. We are in the process of pursuing the development of rail infrastructure to expand the market reach for the landfill to rail capable transfer facilities.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closed landfills consist of the following landfills:</w:t>
      </w:r>
    </w:p>
    <w:p>
      <w:pPr>
        <w:spacing w:after="0" w:line="99"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In fiscal year 2017, we initiated a plan to cease operations of the Town of Southbridge, Massachusetts landfill (“Southbridge Landfill”) and decided to not proceed with expansion efforts and to close Southbridge Landfill once the remaining capacity had been exhausted, which occurred in fiscal year 2018. Closure operations, which began in November 2018 when Southbridge Landfill reached its final capacity, are ongoing.</w:t>
      </w:r>
    </w:p>
    <w:p>
      <w:pPr>
        <w:spacing w:after="0" w:line="65"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In addition to Southbridge Landfill, we own and/or manage five unlined landfills and three lined landfills that are not currently in operation. We are closing, in the case of Southbridge Landfill, or have closed and capped all of these landfills according to applicable environmental regulatory standards.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Resource Solutions operating segment was formed to leverage our core competencies in materials processing, industrial recycling, organics and resource management service offerings in order to generate additional value from the waste stream for larger commercial, municipal, institutional and industrial customers with more diverse needs. Resource solutions services are comprised of processing and non-processing services. We also work to develop and/or partner with firms that have developed innovative approaches to deriving incremental value from the organic portion of the waste stream.</w:t>
      </w:r>
    </w:p>
    <w:p>
      <w:pPr>
        <w:spacing w:after="0" w:line="56" w:lineRule="exact"/>
        <w:rPr>
          <w:sz w:val="20"/>
          <w:szCs w:val="20"/>
          <w:color w:val="auto"/>
        </w:rPr>
      </w:pPr>
    </w:p>
    <w:p>
      <w:pPr>
        <w:jc w:val="both"/>
        <w:ind w:right="200"/>
        <w:spacing w:after="0" w:line="319" w:lineRule="auto"/>
        <w:rPr>
          <w:sz w:val="20"/>
          <w:szCs w:val="20"/>
          <w:color w:val="auto"/>
        </w:rPr>
      </w:pPr>
      <w:r>
        <w:rPr>
          <w:rFonts w:ascii="Arial" w:cs="Arial" w:eastAsia="Arial" w:hAnsi="Arial"/>
          <w:sz w:val="15"/>
          <w:szCs w:val="15"/>
          <w:i w:val="1"/>
          <w:iCs w:val="1"/>
          <w:color w:val="auto"/>
        </w:rPr>
        <w:t xml:space="preserve">Processing. </w:t>
      </w:r>
      <w:r>
        <w:rPr>
          <w:rFonts w:ascii="Arial" w:cs="Arial" w:eastAsia="Arial" w:hAnsi="Arial"/>
          <w:sz w:val="15"/>
          <w:szCs w:val="15"/>
          <w:color w:val="auto"/>
        </w:rPr>
        <w:t>Processing services consist of the receipt of recycled, sludge or other organic materials at one of our materials recovery, processing or disposal</w:t>
      </w:r>
      <w:r>
        <w:rPr>
          <w:rFonts w:ascii="Arial" w:cs="Arial" w:eastAsia="Arial" w:hAnsi="Arial"/>
          <w:sz w:val="15"/>
          <w:szCs w:val="15"/>
          <w:i w:val="1"/>
          <w:iCs w:val="1"/>
          <w:color w:val="auto"/>
        </w:rPr>
        <w:t xml:space="preserve"> </w:t>
      </w:r>
      <w:r>
        <w:rPr>
          <w:rFonts w:ascii="Arial" w:cs="Arial" w:eastAsia="Arial" w:hAnsi="Arial"/>
          <w:sz w:val="15"/>
          <w:szCs w:val="15"/>
          <w:color w:val="auto"/>
        </w:rPr>
        <w:t>facilities, where it is then sorted, mixed and/or processed, and then disposed of or sold. Revenues from processing services are derived from municipalities and customers in the form of processing fees, tipping fees, and commodity sales, primarily comprised of newspaper, corrugated containers, plastics, ferrous and aluminum, and organic materials such as our earthlife</w:t>
      </w:r>
      <w:r>
        <w:rPr>
          <w:rFonts w:ascii="Arial" w:cs="Arial" w:eastAsia="Arial" w:hAnsi="Arial"/>
          <w:sz w:val="8"/>
          <w:szCs w:val="8"/>
          <w:color w:val="auto"/>
        </w:rPr>
        <w:t>®</w:t>
      </w:r>
      <w:r>
        <w:rPr>
          <w:rFonts w:ascii="Arial" w:cs="Arial" w:eastAsia="Arial" w:hAnsi="Arial"/>
          <w:sz w:val="15"/>
          <w:szCs w:val="15"/>
          <w:color w:val="auto"/>
        </w:rPr>
        <w:t xml:space="preserve"> soils products including fertilizers, composts and mulches.</w:t>
      </w:r>
    </w:p>
    <w:p>
      <w:pPr>
        <w:spacing w:after="0" w:line="4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are one of the largest processors and marketers of recycled materials in the northeastern United States with facilities located in Vermont, New York, Maine, Connecticut, and Massachusetts, including our seven large-scale, high volume MRFs, one of which is located in New York, two of which are located in Vermont, two of which are located in Massachusetts, one of which is located in Connecticut, and one of which is located in Maine. Three of the seven MRFs are leased, three are owned, and one is operated by us under a contract with a municipal third-party. Our MRFs receive, sort, bale and sell recyclable materials originating from the municipal solid waste stream, including newsprint, cardboard, office paper, glass, plastic, steel or aluminum containers and bottles. We also operate smaller MRFs, which generally process recyclables collected from our various residential and commercial collection operations.</w:t>
      </w:r>
    </w:p>
    <w:p>
      <w:pPr>
        <w:spacing w:after="0" w:line="6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 substantial portion of the recyclable materials provided is delivered pursuant to multiple significant long-term anchor contracts. The terms of the recycling contracts vary, but all of the contracts provide that the municipality or a third-party delivers the recycled materials to our facility. These contracts may include a minimum volume guarantee by the municipality. We also have service agreements with individual towns and cities and commercial customers, including small solid waste companies and major competitors, which do not have processing capacity within a specific geographic region.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 In fiscal year 2021, we processed and/or marketed over 0.6 million tons of recyclable materials, including tons marketed through our non-processing commodity brokerage division and our baling facilities located throughout our footprint, including just under 0.5 million tons per year of recycled materials delivered by municipalities and commercial customers under long-term anchor contracts.</w:t>
      </w:r>
    </w:p>
    <w:p>
      <w:pPr>
        <w:spacing w:after="0" w:line="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pricing for recyclable materials can fluctuate based upon market conditions. We have actively worked to reduce our risk exposure to commodity pricing volatility over the last five years through our efforts to shift customers to a processing fee model and other risk management programs. 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reduce recycling commodity risk. Further, we work to manage commodity pricing risk through commodity sales contracts with large domestic companies that use the recyclable materials in their manufacturing process, such as paper, packaging and consumer goods companies.</w:t>
      </w:r>
    </w:p>
    <w:p>
      <w:pPr>
        <w:spacing w:after="0" w:line="6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At times, we also hedge against fluctuations in the commodity prices of recycled paper and corrugated containers in order to mitigate the variability in cash flows and earnings generated from the sales of recycled materials at floating prices. As of December 31, 2021, no such commodity hedges were in place. The global recycling market has experienced negative commodity pricing pressure resulting from China's National Sword program in fiscal year 2017. Markets continued to decline through fiscal year 2019 and early fiscal year 2020, leveling off at historical lows compared to prior years. Throughout the remainder of fiscal year 2020 markets moderately rebounded and in fiscal year 2021 commodity markets continued to increase through September 2021 until commodity markets began to level off and slightly decline in the quarter ended December 31, 2021.</w:t>
      </w:r>
    </w:p>
    <w:p>
      <w:pPr>
        <w:spacing w:after="0" w:line="73"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See also Part II. Item 7A, “</w:t>
      </w:r>
      <w:r>
        <w:rPr>
          <w:rFonts w:ascii="Arial" w:cs="Arial" w:eastAsia="Arial" w:hAnsi="Arial"/>
          <w:sz w:val="18"/>
          <w:szCs w:val="18"/>
          <w:i w:val="1"/>
          <w:iCs w:val="1"/>
          <w:color w:val="auto"/>
        </w:rPr>
        <w:t>Quantitative and Qualitative Disclosure About Market Risk</w:t>
      </w:r>
      <w:r>
        <w:rPr>
          <w:rFonts w:ascii="Arial" w:cs="Arial" w:eastAsia="Arial" w:hAnsi="Arial"/>
          <w:sz w:val="18"/>
          <w:szCs w:val="18"/>
          <w:color w:val="auto"/>
        </w:rPr>
        <w:t>” of this Annual Report on Form 10-K for further discussion over commodity price volatility.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Non-processing. </w:t>
      </w:r>
      <w:r>
        <w:rPr>
          <w:rFonts w:ascii="Arial" w:cs="Arial" w:eastAsia="Arial" w:hAnsi="Arial"/>
          <w:sz w:val="16"/>
          <w:szCs w:val="16"/>
          <w:color w:val="auto"/>
        </w:rPr>
        <w:t>Non-processing services consist of brokerage services and overall resource management services, which provide a wide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services and zero waste solutions to large and complex organizations, as well as traditional collection, disposal and recycling services provided to large account multi-site customers. In brokerage arrangements, we act as an agent that facilitates the sale of recyclable and organic materials between an inbound customer and an outbound customer. Revenues from the brokerage of recycled materials are recognized on a net basis at the time of shipment. In general, these fees are variable in nature. In overall resource management services, we work with larger scale commercial or industrial organizations (including multi-location customers, colleges and universities, municipalities, and industrial customers) to develop customized solid waste and recycling solutions. The focus of this business is to help these large-scale organizations achieve their economic and environmental objectives related to waste and residual management. We strive to differentiate our services from our competitors by providing customized and comprehensive resource solutions, which enables us to win new business, including traditional solid waste collection and disposal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solid waste services industry is highly competitive and requires substantial labor and capital resources. Our business strategy generally focuses on operating in secondary or tertiary markets where we have a leading market share. However, in the larger urban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We compete primarily on the basis of the quality, breadth and price of our services. This includes the realignment of our Resource Solutions operating segment to leverage our core competencies in materials processing, industrial recycling, organics, and resource management service offerings to deliver a comprehensive solution for our larger commercial, institutional and industrial customers that have more diverse waste and recycling needs. In addition, we compete with operators of alternative disposal facilities, including incinerators; with certain municipalities, counties and districts that operate their own solid waste collection and disposal facilities; and with rail-serviced transfer stations that use rail transport to move waste to disposal sites outside of northeastern markets. Public sector facilities may have certain advantages over us due to the availability of user fees, charges or tax revenues.</w:t>
      </w:r>
    </w:p>
    <w:p>
      <w:pPr>
        <w:spacing w:after="0" w:line="8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From time to time, competitors may reduce the price of their services in an effort to expand market share or to win a competitively bid municipal contract. These practices may also lead to reduced pricing for our services or the loss of business. In addition, competition exists within the industry for potential acquisition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aligned our marketing and sales strategies with other customer-facing teams—Customer Care, Business Development, Sales Operations, Marketing, Community Engagement, and Sustainability—in an effort to better serve our customers while delivering on several key strategic initiatives for sustainable growth. Through this focus, we are discovering new opportunities to serve customers, grow community trust, ignite passion in our people, build shareholder support, and improve our impact on society.</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focus remains providing significant value “beyond the curb” to our customers and communities that we serve. As a part of our resource management services, we serve customers with multiple locations and are focused on growing our share of business with municipal, institutional, commercial and industrial customers. We leverage broader service offerings of the Resource Solutions operating segment to provide customers with a full set of solutions to augment our regional and divisional service capabilities.</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While we continue to provide traditional waste and recycling services managed locally, our differentiated sustainable resource management allows us to meet our customers’ unique needs and delivers value beyond smaller competitors in local markets. We value and embrace the uniqueness of our local communities above the homogeneity of corporate process, while encouraging and supporting our local managers to engage with local government, non-profits, and business organizations.</w:t>
      </w:r>
    </w:p>
    <w:p>
      <w:pPr>
        <w:spacing w:after="0" w:line="8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Deep community engagement, supported by modern corporate brand governance and strategy gives us the flexibility needed to serve today’s customers and support thriving communities. A combination of corporate social responsibility efforts, strong brand placements, and marketing tactics are designed to unify and humanize our company while retaining existing customers and attracting new ones.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Performance or Surety Bonds</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potentially limiting our ability to obtain adequate coverage at reasonable prices, if at all. Any future difficulty in obtaining insurance could also impair our ability to secure future contracts, which may be conditioned upon the availability of adequate insurance coverage.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Annual Report on Form 10-K for further disclosure.</w:t>
      </w:r>
    </w:p>
    <w:p>
      <w:pPr>
        <w:spacing w:after="0" w:line="6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self-insure for automobile and workers’ compensation coverage with reinsurance coverage limiting our maximum exposure. Our maximum exposure in fiscal year 2021 under the workers’ compensation plan was $1.25 million per individual event. Our maximum exposure in fiscal year 2021 under the automobile plan was $3.65 million per individual event.</w:t>
      </w:r>
    </w:p>
    <w:p>
      <w:pPr>
        <w:spacing w:after="0" w:line="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8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provide our collection services to commercial, institutional, industrial and residential customers. A majority of our commercial and industrial collection services are performed under one-to-five year service agreements, and fees are determined by such factors as: professional or management services required; collection frequency; type of equipment and containers furnished; the type, volume and weight of the solid waste, recyclables or organics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 We provide recycling services to municipalities, commercial haulers and commercial waste generators within the geographic proximity of the processing facilities.</w:t>
      </w:r>
    </w:p>
    <w:p>
      <w:pPr>
        <w:spacing w:after="0" w:line="73"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We also provide brokerage services and overall resource management services providing a wide range of environmental services and zero waste solutions to large and complex organizations, as well as traditional collection, disposal and recycling services provided to large account multi-site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8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Our processing line-of-business experiences increased volumes of fiber in November and December due to increased retail activity during the holiday season.</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We are subject to extensive federal, state and local laws and regulations. The laws and regulations affecting us are administered by the United States Environmental Protection Agency (“EPA”) and other federal, state and local environmental, zoning, financial, health and safety agencies. Failure to comply with such requirements could result in substantial costs, including civil and criminal fines and penalties. 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5"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federal statutes and regulations applicable to our operations are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Resource Conservation and Recovery Act of 1976, as amended (“RCRA”)</w:t>
      </w:r>
    </w:p>
    <w:p>
      <w:pPr>
        <w:spacing w:after="0" w:line="112" w:lineRule="exact"/>
        <w:rPr>
          <w:sz w:val="20"/>
          <w:szCs w:val="20"/>
          <w:color w:val="auto"/>
        </w:rPr>
      </w:pPr>
    </w:p>
    <w:p>
      <w:pPr>
        <w:ind w:right="20"/>
        <w:spacing w:after="0" w:line="340" w:lineRule="auto"/>
        <w:rPr>
          <w:sz w:val="20"/>
          <w:szCs w:val="20"/>
          <w:color w:val="auto"/>
        </w:rPr>
      </w:pPr>
      <w:r>
        <w:rPr>
          <w:rFonts w:ascii="Arial" w:cs="Arial" w:eastAsia="Arial" w:hAnsi="Arial"/>
          <w:sz w:val="14"/>
          <w:szCs w:val="14"/>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30" w:lineRule="exact"/>
        <w:rPr>
          <w:sz w:val="20"/>
          <w:szCs w:val="20"/>
          <w:color w:val="auto"/>
        </w:rPr>
      </w:pPr>
    </w:p>
    <w:p>
      <w:pPr>
        <w:ind w:right="980"/>
        <w:spacing w:after="0" w:line="266" w:lineRule="auto"/>
        <w:rPr>
          <w:sz w:val="20"/>
          <w:szCs w:val="20"/>
          <w:color w:val="auto"/>
        </w:rPr>
      </w:pPr>
      <w:r>
        <w:rPr>
          <w:rFonts w:ascii="Arial" w:cs="Arial" w:eastAsia="Arial" w:hAnsi="Arial"/>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73" w:lineRule="exact"/>
        <w:rPr>
          <w:sz w:val="20"/>
          <w:szCs w:val="20"/>
          <w:color w:val="auto"/>
        </w:rPr>
      </w:pPr>
    </w:p>
    <w:p>
      <w:pPr>
        <w:spacing w:after="0" w:line="332" w:lineRule="auto"/>
        <w:rPr>
          <w:sz w:val="20"/>
          <w:szCs w:val="20"/>
          <w:color w:val="auto"/>
        </w:rPr>
      </w:pPr>
      <w:r>
        <w:rPr>
          <w:rFonts w:ascii="Arial" w:cs="Arial" w:eastAsia="Arial" w:hAnsi="Arial"/>
          <w:sz w:val="14"/>
          <w:szCs w:val="14"/>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Leachate generated at our landfills and transfer stations is tested on a regular basis, and generally is not regulated as a hazardous waste under federal law.</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However, there is no guarantee that leachate generated from our facilities in the future will not be classified as hazardous waste.</w:t>
      </w:r>
    </w:p>
    <w:p>
      <w:pPr>
        <w:spacing w:after="0" w:line="10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Water Pollution Control Act of 1972, as amended (“Clean Water Act”)</w:t>
      </w:r>
    </w:p>
    <w:p>
      <w:pPr>
        <w:spacing w:after="0" w:line="11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Clean Water Act regulates the discharge of pollutants into “navigable waters” or “waters of the United States” from a variety of sources, including solid waste disposal sites and transfer stations, processing facilities and waste-to-energy facilities (collectively, “solid waste management facilities”). If pollutants from our solid waste management facilities are discharged into streams, rivers or other surface waters, or if there is a functional equivalent of a direct discharge into navigable waters, the Clean Water Act would require us to apply for and obtain a discharge permit, conduct sampling and monitoring and, under certain circumstances, reduce the quantity of pollutants in such discharge. A permit also may be required if run-off or leachate from our solid waste management facilities is discharged to an offsite treatment facility. Almost all solid waste management facilities must comply with the EPA’s storm water regulations, which govern the discharge of regulated storm water to surface waters.</w:t>
      </w:r>
    </w:p>
    <w:p>
      <w:pPr>
        <w:spacing w:after="0" w:line="73"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plan to prevent petroleum release to waters of the United States due to a spill, rupture or leak.</w:t>
      </w:r>
    </w:p>
    <w:p>
      <w:pPr>
        <w:spacing w:after="0" w:line="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 of 1980, as amended (“CERCLA”)</w:t>
      </w:r>
    </w:p>
    <w:p>
      <w:pPr>
        <w:spacing w:after="0" w:line="1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approximately 800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Clean Air Act of 1970, as amended (“Clean Air Act”)</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5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EPA is also focusing on the emissions of greenhouse gases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2010, the EPA issued the so-called “GHG Tailoring Rule”, which described how certain sources that emit GHG would be subject to heightened Clean Air Act Prevention of Significant Deterioration ("PSD") / Title V regulation. In June 2014, the U.S. Supreme Court issued a decision partially invalidating the GHG Tailoring Rule and in 2015, the D.C. Circuit directed the EPA to consider further revisions to its regulations. In August 2016, the EPA proposed revisions to PSD and Title V regulations to clarify when sources would require permits based on GHG thresholds. We do not know whether or when the EPA will finalize regulations, or what obligations such regulations will impose on our operations.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Several states have passed Climate Protection or Global Warming Acts intended to achieve statewide goals in reduction of GHG emissions. Changing environmental regulations could require us to take any number of actions, including purchasing emission allowances, developing mitigation strategies, or installing additional pollution control technology, and could make some operations less profitable, which could adversely affect our results of operations.</w:t>
      </w:r>
    </w:p>
    <w:p>
      <w:pPr>
        <w:spacing w:after="0" w:line="73" w:lineRule="exact"/>
        <w:rPr>
          <w:sz w:val="20"/>
          <w:szCs w:val="20"/>
          <w:color w:val="auto"/>
        </w:rPr>
      </w:pPr>
    </w:p>
    <w:p>
      <w:pPr>
        <w:ind w:right="540"/>
        <w:spacing w:after="0" w:line="329" w:lineRule="auto"/>
        <w:rPr>
          <w:sz w:val="20"/>
          <w:szCs w:val="20"/>
          <w:color w:val="auto"/>
        </w:rPr>
      </w:pPr>
      <w:r>
        <w:rPr>
          <w:rFonts w:ascii="Arial" w:cs="Arial" w:eastAsia="Arial" w:hAnsi="Arial"/>
          <w:sz w:val="16"/>
          <w:szCs w:val="16"/>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27"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50"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Occupational Safety and Health Act of 1970, as amended (“OSHA”)</w:t>
      </w:r>
    </w:p>
    <w:p>
      <w:pPr>
        <w:spacing w:after="0" w:line="1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Public Utility Regulatory Policies Act of 1978, As Amended (“PURPA”)</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landfill gas-to-energy facilities are self-certified as “qualifying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Local Regulations</w:t>
      </w:r>
    </w:p>
    <w:p>
      <w:pPr>
        <w:spacing w:after="0" w:line="1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EPA under CERCLA.</w:t>
      </w:r>
    </w:p>
    <w:p>
      <w:pPr>
        <w:spacing w:after="0" w:line="6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5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from time to time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solid waste management facilities within those states that receive a significant portion of waste originating from out-of-state.</w:t>
      </w:r>
    </w:p>
    <w:p>
      <w:pPr>
        <w:spacing w:after="0" w:line="7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6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2020, the Massachusetts Department of Environmental Protection proposed amendments to the state’s waste ban regulations to add mattresses and textiles as materials banned from disposal, and to lower the threshold of the existing commercial organics material waste ban. According to the Massachusetts Department of Environmental Protection, these changes require amendments to the regulations, which will have an effective date of November 1, 2022.</w:t>
      </w:r>
    </w:p>
    <w:p>
      <w:pPr>
        <w:spacing w:after="0" w:line="85" w:lineRule="exact"/>
        <w:rPr>
          <w:sz w:val="20"/>
          <w:szCs w:val="20"/>
          <w:color w:val="auto"/>
        </w:rPr>
      </w:pPr>
    </w:p>
    <w:p>
      <w:pPr>
        <w:jc w:val="both"/>
        <w:ind w:right="60"/>
        <w:spacing w:after="0" w:line="303" w:lineRule="auto"/>
        <w:rPr>
          <w:sz w:val="20"/>
          <w:szCs w:val="20"/>
          <w:color w:val="auto"/>
        </w:rPr>
      </w:pPr>
      <w:r>
        <w:rPr>
          <w:rFonts w:ascii="Arial" w:cs="Arial" w:eastAsia="Arial" w:hAnsi="Arial"/>
          <w:sz w:val="16"/>
          <w:szCs w:val="16"/>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 New York has also enacted the Food Donation and Food Scraps Recycling Law, which requires certain generators to separate and donate or recycle food scraps starting in January 2022.</w:t>
      </w:r>
    </w:p>
    <w:p>
      <w:pPr>
        <w:spacing w:after="0" w:line="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Although there is no federal law governing extended producer responsibility (“EPR”) regulations; many states have implemented or are contemplating EPR regulations for certain products. EPR regulations are intended to place responsibility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In 2021, the Maine Legislature passed EPR legislation for packaging, and rulemaking will commence in 2022. If broad EPR laws or regulations continue to be adopted, and are managed under a manufacturer implemented program, it could have an impact on our business.</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EPA and environmental agencies within individual states in which we operate also consider and promulgate changes to water quality standards, action levels, remediation goals, and other federal or state regulatory standards for individual compounds or classes of compounds. These changes can also include the development of new or more stringent standards for “Emerging Contaminants”, including per- and polyfluoroalkyl substances, pharmaceutical compounds, and a variety of synthetic chemical compounds used in manufacturing and industrial processes. In December 2016, EPA also designated ten chemical substances for risk evaluations under TSCA, and in December 2019, EPA designated an additional 20 chemical substances for risk evaluation, based on the requirements of the </w:t>
      </w:r>
      <w:r>
        <w:rPr>
          <w:rFonts w:ascii="Arial" w:cs="Arial" w:eastAsia="Arial" w:hAnsi="Arial"/>
          <w:sz w:val="18"/>
          <w:szCs w:val="18"/>
          <w:color w:val="212121"/>
        </w:rPr>
        <w:t>June 2016 Frank R. Lautenberg Chemical Safety for the 21</w:t>
      </w:r>
      <w:r>
        <w:rPr>
          <w:rFonts w:ascii="Arial" w:cs="Arial" w:eastAsia="Arial" w:hAnsi="Arial"/>
          <w:sz w:val="23"/>
          <w:szCs w:val="23"/>
          <w:color w:val="212121"/>
          <w:vertAlign w:val="superscript"/>
        </w:rPr>
        <w:t>st</w:t>
      </w:r>
      <w:r>
        <w:rPr>
          <w:rFonts w:ascii="Arial" w:cs="Arial" w:eastAsia="Arial" w:hAnsi="Arial"/>
          <w:sz w:val="18"/>
          <w:szCs w:val="18"/>
          <w:color w:val="auto"/>
        </w:rPr>
        <w:t xml:space="preserve"> </w:t>
      </w:r>
      <w:r>
        <w:rPr>
          <w:rFonts w:ascii="Arial" w:cs="Arial" w:eastAsia="Arial" w:hAnsi="Arial"/>
          <w:sz w:val="18"/>
          <w:szCs w:val="18"/>
          <w:color w:val="212121"/>
        </w:rPr>
        <w:t>Century Act. Changes in regulatory standards for existing or emerging</w:t>
      </w:r>
      <w:r>
        <w:rPr>
          <w:rFonts w:ascii="Arial" w:cs="Arial" w:eastAsia="Arial" w:hAnsi="Arial"/>
          <w:sz w:val="18"/>
          <w:szCs w:val="18"/>
          <w:color w:val="auto"/>
        </w:rPr>
        <w:t xml:space="preserve"> </w:t>
      </w:r>
      <w:r>
        <w:rPr>
          <w:rFonts w:ascii="Arial" w:cs="Arial" w:eastAsia="Arial" w:hAnsi="Arial"/>
          <w:sz w:val="18"/>
          <w:szCs w:val="18"/>
          <w:color w:val="212121"/>
        </w:rPr>
        <w:t>contaminants can result in higher levels of cost and effort associated with the performance of environmental investigations and ongoing compliance at our facilities.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their respective ages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680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Position</w:t>
            </w:r>
          </w:p>
        </w:tc>
      </w:tr>
      <w:tr>
        <w:trPr>
          <w:trHeight w:val="22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W. Casella</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 Chief Executive Officer and Secretary</w:t>
            </w:r>
          </w:p>
        </w:tc>
      </w:tr>
      <w:tr>
        <w:trPr>
          <w:trHeight w:val="225"/>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Edwin D. Johnson</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2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Edmond “Ned” R. Coletta</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5"/>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Christopher B. Heald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2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Shelley E. Sayward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General Counsel</w:t>
            </w:r>
          </w:p>
        </w:tc>
      </w:tr>
    </w:tbl>
    <w:p>
      <w:pPr>
        <w:spacing w:after="0" w:line="18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John W. Casella </w:t>
      </w:r>
      <w:r>
        <w:rPr>
          <w:rFonts w:ascii="Arial" w:cs="Arial" w:eastAsia="Arial" w:hAnsi="Arial"/>
          <w:sz w:val="16"/>
          <w:szCs w:val="16"/>
          <w:color w:val="auto"/>
        </w:rPr>
        <w:t>has served as Chairman of our Board of Directors since July 2001 and as our Chief Executive Officer since 1993. Mr. Casella also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from 1993 to July 2001 and as Chairman of our Board of Directors from 1993 to December 1999. In addition, Mr. Casella has served as Chairman of the Board of Directors of Casella Waste Management, Inc., a wholly 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and local boards and commissions, including the National Recycling Coalition, Board of Directors of the Associated Industries of Vermont, the Association of Vermont Recyclers, the Vermont State Chamber of Commerce, the Rutland Industrial Development Corporation, and the Rutland Regional Medical Center. Mr. Casella has also served on various state task forces, serving in an advisory capacity to the Governors of Vermont and New Hampshire on solid waste issues. Mr. Casella holds an Associate of Science degree in Business Management from Bryant &amp; Stratton College and a Bachelor of Science degree in Business Education from Castleton University.</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Edwin D. Johnson </w:t>
      </w:r>
      <w:r>
        <w:rPr>
          <w:rFonts w:ascii="Arial" w:cs="Arial" w:eastAsia="Arial" w:hAnsi="Arial"/>
          <w:sz w:val="17"/>
          <w:szCs w:val="17"/>
          <w:color w:val="auto"/>
        </w:rPr>
        <w:t>has served as our President and Chief Operating Officer since December 2012. From July 2010 until December 2012, Mr. Johnson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Senior Vice President &amp; Chief Financial Officer. From March 2007 until he joined us in 2010, Mr. Johnson served as the Executive Vice President and Chief Financial Officer and Chief Accounting Officer of Waste Services, Inc. Mr. Johnson has over 35 years of experience as a senior executive, including over two decades in the waste industry. During his career, Mr. Johnson also served on the board of directors of Attwoods, plc, Able Telcom and the College of St Joseph. Mr. Johnson received his MBA from Florida International University, his Bachelor of Science degree in Accounting and Administration from Washington &amp; Lee University and is a Certified Public Accountant in Florida.</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Edmond “Ned” R. Coletta </w:t>
      </w:r>
      <w:r>
        <w:rPr>
          <w:rFonts w:ascii="Arial" w:cs="Arial" w:eastAsia="Arial" w:hAnsi="Arial"/>
          <w:sz w:val="16"/>
          <w:szCs w:val="16"/>
          <w:color w:val="auto"/>
        </w:rPr>
        <w:t>has served as our Senior Vice President, Chief Financial Officer and Treasurer since December 2012. Mr. Coletta joined us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2004 and has served most recently as our Vice President of Finance and Investor Relations from January 2011 to December 2012. Prior to that Mr. Coletta served as our Director of Finance and Investor Relations from August 2005 to January 2011. From 2002 until he joined us, Mr. Coletta served as the Chief Financial Officer and was a member of the Board of Directors of Avedro, Inc. (FKA ThermalVision, Inc.), an early-stage medical device company that he co-founded. From 1997 to 2001, he served as a research and development engineer for Lockheed Martin Michoud Space Systems. Mr. Coletta holds an MBA from the Tuck School of Business at Dartmouth College and a Bachelor of Science degree from Brown University in Materials Science Engineering.</w:t>
      </w:r>
    </w:p>
    <w:p>
      <w:pPr>
        <w:spacing w:after="0" w:line="6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Christopher B. Heald </w:t>
      </w:r>
      <w:r>
        <w:rPr>
          <w:rFonts w:ascii="Arial" w:cs="Arial" w:eastAsia="Arial" w:hAnsi="Arial"/>
          <w:sz w:val="17"/>
          <w:szCs w:val="17"/>
          <w:color w:val="auto"/>
        </w:rPr>
        <w:t>has served as our Vice President of Finance and Chief Accounting Officer since January 2013. Mr. Heald joined us in September 2001</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in positions of increasing responsibility, including as our Director of Financial Reporting and Analysis from July 2010 to January 2013 and as our Accounting Manager from August 2002 to July 2010. Mr. Heald is a Certified Public Accountant and holds a Bachelor of Science degree in Business Administration from the University of Vermont. Effective March 31, 2022, Mr. Heald will retire from his position as Vice President of Finance, Chief Accounting Officer, and transition into the role of Finance Advisor, effective as of April 1, 2022.</w:t>
      </w:r>
    </w:p>
    <w:p>
      <w:pPr>
        <w:spacing w:after="0" w:line="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Shelley E. Sayward </w:t>
      </w:r>
      <w:r>
        <w:rPr>
          <w:rFonts w:ascii="Arial" w:cs="Arial" w:eastAsia="Arial" w:hAnsi="Arial"/>
          <w:sz w:val="16"/>
          <w:szCs w:val="16"/>
          <w:color w:val="auto"/>
        </w:rPr>
        <w:t>has served as our Senior Vice President and General Counsel since January 2021, and prior to that in various roles in our legal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since November 2006. She was previously our Vice President and Assistant General Counsel from September 2014 until January 2021 and was our Associate General Counsel from September 2008 to September 2014. Prior to joining us, Ms. Sayward held sales and marketing roles with GlaxoSmithKline and Abbott Laboratories, as well as a sales and managerial position with First American Financial Corporation. Ms. Sayward holds a Bachelor of Arts degree from Middlebury College, completed a four-year law clerkship program, and is licensed to practice law in the State of Vermont.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right="80"/>
        <w:spacing w:after="0" w:line="335" w:lineRule="auto"/>
        <w:rPr>
          <w:sz w:val="20"/>
          <w:szCs w:val="20"/>
          <w:color w:val="auto"/>
        </w:rPr>
      </w:pPr>
      <w:r>
        <w:rPr>
          <w:rFonts w:ascii="Arial" w:cs="Arial" w:eastAsia="Arial" w:hAnsi="Arial"/>
          <w:sz w:val="14"/>
          <w:szCs w:val="14"/>
          <w:i w:val="1"/>
          <w:iCs w:val="1"/>
          <w:color w:val="auto"/>
        </w:rPr>
        <w:t>The following material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northeastern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3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2" w:lineRule="exact"/>
        <w:rPr>
          <w:sz w:val="20"/>
          <w:szCs w:val="20"/>
          <w:color w:val="auto"/>
        </w:rPr>
      </w:pPr>
    </w:p>
    <w:p>
      <w:pPr>
        <w:ind w:right="340"/>
        <w:spacing w:after="0" w:line="329" w:lineRule="auto"/>
        <w:rPr>
          <w:sz w:val="20"/>
          <w:szCs w:val="20"/>
          <w:color w:val="auto"/>
        </w:rPr>
      </w:pPr>
      <w:r>
        <w:rPr>
          <w:rFonts w:ascii="Arial" w:cs="Arial" w:eastAsia="Arial" w:hAnsi="Arial"/>
          <w:sz w:val="16"/>
          <w:szCs w:val="16"/>
          <w:b w:val="1"/>
          <w:bCs w:val="1"/>
          <w:i w:val="1"/>
          <w:iCs w:val="1"/>
          <w:color w:val="auto"/>
        </w:rPr>
        <w:t>We are subject to general macroeconomic risks in the waste industry, including, but not limited to, the effects of the COVID-19 pandemic, fuel prices, labor supply, and inflation, any of which risks, if realized, may adversely affect our financial performance and results of operations.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varying degrees, our business is sensitive to changes in macroeconomic conditions that impact our operating costs and financial performance including, but not limited to, the COVID-19 pandemic discussed in the following risk factor, inflation, fuel prices, and labor supply. Inflationary increases in costs, including, but not limited to, current inflationary pressures associated with fuel, labor and certain capital items, as our business is capital intensive, can have a material adverse effect on our business and operating results.</w:t>
      </w:r>
    </w:p>
    <w:p>
      <w:pPr>
        <w:spacing w:after="0" w:line="85"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Because fuel is needed to run our fleet of trucks, price escalations for fuel increase our operating expenses. In fiscal year 2021, we used approximately 8.8 million gallons of diesel fuel in our solid waste operations. Although we have an energy and environmental fee program, which includes an energy component that floats on a monthly basis based on diesel fuel prices, contractual restrictions and competitive conditions may impact our opportunity to pass this fee on to our customers in all circumstances.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hiring of drivers and mechanics is necessary to service our customers. We face competition in the hiring of drivers and mechanics and may face labor shortages at these positions. This competition may come from other waste management companies, but it also comes from other employers who hire drivers and maintain fleets, such as companies that provide courier delivery services, including United Parcel Service, Inc. and FedEx Corporation, as well as from a tightening labor market. As a result, certain positions currently experience, have historically experienced, and may experience in the future, high turnover rates or labor shortages, which can lead to increased recruiting, training and retention costs. If we are unable to hire and retain sufficient numbers of drivers to service our collection and disposal routes and mechanics to maintain our trucks, our financial condition and operating results could be materially impacted.</w:t>
      </w:r>
    </w:p>
    <w:p>
      <w:pPr>
        <w:spacing w:after="0" w:line="6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Inflationary pressures have affected, and may continue to affect, our operating margins. Consistent with industry practice, most of our contracts provide for a pass-through of certain costs to our customers, including increases in landfill tipping fees and in some cases fuel costs, intended to mitigate the impact of inflation on our operating results.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5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The COVID-19 pandemic has adversely affected, and may continue to adversely affect, our business, outlook, liquidity and results of operations, and we have experienced and may continue to experience reductions in demand for certain of our services.</w:t>
      </w:r>
    </w:p>
    <w:p>
      <w:pPr>
        <w:spacing w:after="0" w:line="7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COVID-19 pandemic has caused, and may continue to cause, economic disruption across our geographic footprint. As an essential service provider we have continued our operations throughout the COVID-19 pandemic. However, as a result of the COVID-19 pandemic we have experienced increased costs of doing business, including, but not limited to, higher costs associated with providing a safe working environment for our employees (such as increased costs associated with the protection of our employees, including costs for additional safety equipment, hygiene products, testing supplies and enhanced facility cleaning), employee impacts from illness, supporting a remote administrative workforce, community response measures, the inability of customers to continue to pay for services, and temporary facility closures of our customers. We also experienced decreased demand for our services, as revenues declined, primarily in fiscal year 2020, as some of our commercial collection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customers requested service level decreases, construction activity decreased and volumes into our landfills declined on lower economic activity. Demand for services has since improved in fiscal year 2021 as local economies have reopened, as allowed by State Governments, and our collection and disposal volumes, as well as overall operations, have been less impacted by the effects of the COVID-19 pandemic. Furthermore, residual macroeconomic effects associated with the pandemic have negatively impacted the global supply chain, labor markets and distribution networks leading to heightened inflation across labor, select services and goods, and capital investments.</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Due to the uncertain and evolving nature of economic conditions, we are unable to determine or predict the full extent of any possible continuing impact that the COVID-19 pandemic will have on our business going forward. The extent of the effects of the COVID-19 pandemic on our business, results of operations, liquidity, and cash resources will ultimately depend on future developments that are highly uncertain and cannot be predicted with accuracy. These include, but are not limited to, the extent of continuing spread of COVID-19 across our geographic footprint, the administration rates and effectiveness of vaccines, the severity and containment of certain COVID-19 variants; and the pace and extent to which the States in which we operate continue to facilitate a return to normal economic and operations conditions. The COVID-19 pandemic may also materially adversely affect our operating and financial results in a manner that is not currently known to us or that we do not currently consider to present significant risks to our operations. To the extent the COVID-19 pandemic adversely affects our business and financial results, it may also have the effect of heightening many other risks described in this section, any of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materially and adversely affect our business, results of operations and financial condition.</w:t>
      </w:r>
    </w:p>
    <w:p>
      <w:pPr>
        <w:spacing w:after="0" w:line="101"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7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 or revenues.</w:t>
      </w:r>
    </w:p>
    <w:p>
      <w:pPr>
        <w:spacing w:after="0" w:line="73"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8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are also increasingly competing with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w:t>
      </w:r>
    </w:p>
    <w:p>
      <w:pPr>
        <w:spacing w:after="0" w:line="75"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27"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b w:val="1"/>
          <w:bCs w:val="1"/>
          <w:i w:val="1"/>
          <w:iCs w:val="1"/>
          <w:color w:val="auto"/>
        </w:rPr>
        <w:t>Our growth strategy focuses on complementing or expanding our business through the acquisition of companies or assets, or the development of new operations. However, we may be unable to complete these transactions and, if executed, these transactions may not improve our business or may pose significant risks and could have a negative effect on our operations.</w:t>
      </w:r>
    </w:p>
    <w:p>
      <w:pPr>
        <w:spacing w:after="0" w:line="82"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Our growth strategy includes engaging in acquisitions or developing operations or assets with the goal of complementing or expanding our business. We have made, and we may make in the future, acquisitions to densify existing operations, expand service areas and grow services for our customers.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approvals to complete potential acquisitions.</w:t>
      </w:r>
    </w:p>
    <w:p>
      <w:pPr>
        <w:spacing w:after="0" w:line="9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ability to achieve the benefits from acquired businesses,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for the ongoing management of our existing operations. Any operations, properties or facilities that we acquire may be subject to unknown liabilities, such as undisclosed environmental contamination, or other environmental liability, including off-site disposal liability for which we would have no recourse, or only limited recourse, to the former owners of such operations or properties. As a result, if claims for liabilities were asserted against us based upon ownership of an acquired property, we might be required to pay significant sums to settle it, which could adversely affect our financial results and cash flows. For information regarding our business acquisitions, see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waste industry is subject to extensive government regulations, including environmental laws and regulations, and we incur substantial costs to</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comply with such laws and regulations. Failure to comply with environmental or other laws and regulations, as well as enforcement actions and litigation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arising from an actual or perceived breach of such laws and regulations, could subject us to fines, penalties, and judgments, and impose limits on our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operate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 expand.</w:t>
      </w:r>
    </w:p>
    <w:p>
      <w:pPr>
        <w:spacing w:after="0" w:line="10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7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w:t>
      </w:r>
    </w:p>
    <w:p>
      <w:pPr>
        <w:spacing w:after="0" w:line="7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and, therefore, may impact our results or increase our costs or liabilities.</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certain jurisdictions, we are subject to compliance with specific obligations under competition laws due to our competitive position in those jurisdictions. Failure to comply with these requirements or other laws or regulations could subject us to enforcement actions or financial penalties which could have a material adverse effect on our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 xml:space="preserve">For information about legal proceedings and outstanding claims against us and our subsidiaries, and environmental remediation matters, including the recognition of accretion expense in other accrued liabilities and other long-term liabilities, see Note 12,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7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of waste at the landfill not generated within the state provides a substantial public benefit. We may not be successful in obtaining new landfill or transfer station sites, including a landfill under development by us in Dalton, New Hampshire, or expanding the permitted capacity of any of our current landfills and transfer stations. If we are unable to develop additional disposal and transfer station capacity, our ability to achieve economies of scale from the internalization of our waste stream will be limited. If we fail to receive new landfill permits or renew existing permits, we may incur landfill asset impairment and other charges associated with accelerated closure. See Note 12,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for disclosure about legal matters impacting our permitting efforts.</w:t>
      </w:r>
    </w:p>
    <w:p>
      <w:pPr>
        <w:spacing w:after="0" w:line="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Fluctuations in commodity prices and diminished markets for recyclable materials that we sell to customers may adversely affect our results of operations and cash flows.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processing business involves the purchase and sale of recyclable materials, some of which are priced on a commodity basis. Our results of operations and cash flows may be adversely affected by falling purchase or resale prices or market requirements for recyclable materials. The resale and purchase prices of, and market demand for, recyclable materials are subject to changes in economic conditions and numerous other factors beyond our control, which may result in decreased demand of recyclable materials and lower commodity prices. The commodity markets continue to see ongoing variable pricing, although domestic demand for mixed paper in the Northeast started to increase in fiscal year 2021 with a few end user manufacturing mills expanding production lines. Significant price fluctuations may adversely affect our results of operations and cash flows in the form of higher operating costs or lower revenues. Although we have restructured many of our recycling contracts to require the respective municipalities to absorb some of the impact of declining commodity prices, these restructured contracts have had the impact of significantly increasing the costs to municipalities for continuing to offer recycling services to their customers. In the event that the costs of such services become excessive, such municipalities could discontinue their recycling programs altogether, which could materially affect our financial results. See Item 7A, "</w:t>
      </w:r>
      <w:r>
        <w:rPr>
          <w:rFonts w:ascii="Arial" w:cs="Arial" w:eastAsia="Arial" w:hAnsi="Arial"/>
          <w:sz w:val="17"/>
          <w:szCs w:val="17"/>
          <w:i w:val="1"/>
          <w:iCs w:val="1"/>
          <w:color w:val="auto"/>
        </w:rPr>
        <w:t>Quantitative and Qualitative Disclosure About Market Risk</w:t>
      </w:r>
      <w:r>
        <w:rPr>
          <w:rFonts w:ascii="Arial" w:cs="Arial" w:eastAsia="Arial" w:hAnsi="Arial"/>
          <w:sz w:val="17"/>
          <w:szCs w:val="17"/>
          <w:color w:val="auto"/>
        </w:rPr>
        <w:t>" for further discussion over the impacts of commodity prices on our operations.</w:t>
      </w:r>
    </w:p>
    <w:p>
      <w:pPr>
        <w:spacing w:after="0" w:line="8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7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Upgrades to our technology infrastructure are ongoing and include a limited pilot of a new service management system, on-board computers, dynamic route optimization, procurement optimization,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third-party relationships. If we are unable to benefit from new technologies, we may be at a competitive disadvantage to other companies in the waste management industry, in which case our operating results could suffer.</w:t>
      </w:r>
    </w:p>
    <w:p>
      <w:pPr>
        <w:spacing w:after="0" w:line="7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Cybersecurity incidents could negatively impact our business and our relationships with customers, adversely affecting our financial results and exposing us to litigation risk.</w:t>
      </w:r>
    </w:p>
    <w:p>
      <w:pPr>
        <w:spacing w:after="0" w:line="73" w:lineRule="exact"/>
        <w:rPr>
          <w:sz w:val="20"/>
          <w:szCs w:val="20"/>
          <w:color w:val="auto"/>
        </w:rPr>
      </w:pPr>
    </w:p>
    <w:p>
      <w:pPr>
        <w:ind w:right="500"/>
        <w:spacing w:after="0" w:line="290" w:lineRule="auto"/>
        <w:rPr>
          <w:sz w:val="20"/>
          <w:szCs w:val="20"/>
          <w:color w:val="auto"/>
        </w:rPr>
      </w:pPr>
      <w:r>
        <w:rPr>
          <w:rFonts w:ascii="Arial" w:cs="Arial" w:eastAsia="Arial" w:hAnsi="Arial"/>
          <w:sz w:val="16"/>
          <w:szCs w:val="16"/>
          <w:color w:val="auto"/>
        </w:rPr>
        <w:t>We use computer technology, including computer and information networks, in substantially all aspects of our business operations. We also use mobile devices, social networking and other online activities to connect with our customers and our employees to be able to process transactions and provide information that we feel is necessary to manage our business.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 security risks associated with acquisitions and new initiatives, we may become increasingly vulnerable to such risks. Additionally, while we have implemented and continue to implement measures to prevent security breaches and cyber incidents, our preventive or detection measures and incident response efforts may not be entirely effective, especially as cyber 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w:t>
      </w:r>
    </w:p>
    <w:p>
      <w:pPr>
        <w:spacing w:after="0" w:line="7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is therefore subject to regional economic downturns.</w:t>
      </w:r>
    </w:p>
    <w:p>
      <w:pPr>
        <w:spacing w:after="0" w:line="1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operations and customers are concentrated principally in New England, New York, Connecticut and Pennsylvania.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8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85" w:lineRule="exact"/>
        <w:rPr>
          <w:sz w:val="20"/>
          <w:szCs w:val="20"/>
          <w:color w:val="auto"/>
        </w:rPr>
      </w:pPr>
    </w:p>
    <w:p>
      <w:pPr>
        <w:ind w:right="600"/>
        <w:spacing w:after="0" w:line="329" w:lineRule="auto"/>
        <w:rPr>
          <w:sz w:val="20"/>
          <w:szCs w:val="20"/>
          <w:color w:val="auto"/>
        </w:rPr>
      </w:pPr>
      <w:r>
        <w:rPr>
          <w:rFonts w:ascii="Arial" w:cs="Arial" w:eastAsia="Arial" w:hAnsi="Arial"/>
          <w:sz w:val="16"/>
          <w:szCs w:val="16"/>
          <w:color w:val="auto"/>
        </w:rPr>
        <w:t xml:space="preserve">For information regarding our final capping, closure and post-closure obligations, see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w:t>
      </w:r>
    </w:p>
    <w:p>
      <w:pPr>
        <w:spacing w:after="0" w:line="11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 xml:space="preserve">The provision of environmental services, including the operation of landfills,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We carry a range of insurance policies intended to protect our assets and operations, including general liability insurance, property damage and environmental risk insurance. While we endeavor to purchase insurance coverage appropriate to our risk assessment, and seek to minimize our exposure to these risks through maintenance, training and compliance programs,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markets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 See Note 3,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disclosure about our self-insurance liabilities and related costs.</w:t>
      </w:r>
    </w:p>
    <w:p>
      <w:pPr>
        <w:spacing w:after="0" w:line="76"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w:t>
      </w:r>
    </w:p>
    <w:p>
      <w:pPr>
        <w:spacing w:after="0" w:line="8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7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accordance with generally accepted accounting principles in the United States, we capitalize certain expenditures and advances relating to our acquisitions, landfills, cost method investments and development projects. In addition, we have considerable unamortized assets.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landfill or development project, or growth oriented investment that is not expected to be successfully completed or generate a sufficient return on investment; and (3) any goodwill or other intangible assets that are determined to be impaired.</w:t>
      </w:r>
    </w:p>
    <w:p>
      <w:pPr>
        <w:spacing w:after="0" w:line="9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including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Our revenues and our operating income experience seasonal fluctuations, which could adversely affect our operational results in certain quarters and cause our results to fluctuate.</w:t>
      </w:r>
    </w:p>
    <w:p>
      <w:pPr>
        <w:spacing w:after="0" w:line="7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transfer and disposal revenues have historically been higher in the late spring, summer and early fall months, which when combined with operating and other fixed costs that remain constant throughout the fiscal year, results in seasonal fluctuations in our operating performance. This seasonality reflects the lower volume of solid waste during the late fall, winter and early spring months primarily because the volume of waste relating to C&amp;D activities decreases substantially during the winter months in the northeastern United States where we are geographically located.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Adverse weather conditions, including those brought about by climate change, may limit our operations and increase the costs of collection and disposal.</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including as a result of climate change.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 attention and increase our operating expenses.</w:t>
      </w:r>
    </w:p>
    <w:p>
      <w:pPr>
        <w:spacing w:after="0" w:line="11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2022, approximately 6% of our employees were represented by unions.</w:t>
      </w:r>
    </w:p>
    <w:p>
      <w:pPr>
        <w:spacing w:after="0" w:line="8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89" w:lineRule="exact"/>
        <w:rPr>
          <w:sz w:val="20"/>
          <w:szCs w:val="20"/>
          <w:color w:val="auto"/>
        </w:rPr>
      </w:pPr>
    </w:p>
    <w:p>
      <w:pPr>
        <w:ind w:right="80"/>
        <w:spacing w:after="0" w:line="396" w:lineRule="auto"/>
        <w:rPr>
          <w:sz w:val="20"/>
          <w:szCs w:val="20"/>
          <w:color w:val="auto"/>
        </w:rPr>
      </w:pPr>
      <w:r>
        <w:rPr>
          <w:rFonts w:ascii="Arial" w:cs="Arial" w:eastAsia="Arial" w:hAnsi="Arial"/>
          <w:sz w:val="14"/>
          <w:szCs w:val="14"/>
          <w:b w:val="1"/>
          <w:bCs w:val="1"/>
          <w:i w:val="1"/>
          <w:iCs w:val="1"/>
          <w:color w:val="auto"/>
        </w:rPr>
        <w:t>We may be adversely affected by market responses to our environmental, social and governance ("ESG") practices and may not be effective in mitigating the risks associated with ESG expectations and emerging ESG regulations, or in reducing the potential for losses in connection with such risks.</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are subject to risks related to our ESG activities and disclosures that may adversely affect our market outlook, brand and reputation, and financial performance, which may impact our ability to achieve our long-term business objectives. Our ESG practices are designed to bring our actions and impacts into alignment with broader societal goals and environmental limits. Although we have developed a framework and perform a global reporting initiative to identify, measure, monitor, report, and control our ESG practices and related exposure to ESG expectations and regulations, we may not achieve our sustainability goals and commitments, or we may improperly report on our progress toward achieving our sustainability goals and commitments, which could result in negative publicity that could affect our brand and reputation, and accordingly, adversely impact our financial condition and results of operations.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7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of December 31, 2021, we had approximately $562.6 million of outstanding principal indebtedness (excluding approximately $28.1 million of outstanding letters of credit issued under our amended and restated credit agreement term loan A facility and revolving line of credit facility (“Revolving Credit Facility” and, together with the term loan A facility, the "Credit Facility").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included in the Credit Facility. Additionally, if we do not comply with financial and other covenants, we may be required to take actions such as reducing or delaying capital expenditures, selling assets, restructuring or refinancing all or part of our existing Credit Facility or seeking additional equity capital. Our ability to satisfy our obligations and to reduce our total debt depends on our future operating performance and on economic, financial, competitive and other factors, many of which are beyond our control. As of December 31, 2021, we had $271.9 million of unused commitments remain under the Revolving Credit Facility, subject to customary borrowing conditions, and approximately $33.8 million in cash and cash equivalents available for any future payment obligations.</w:t>
      </w:r>
    </w:p>
    <w:p>
      <w:pPr>
        <w:spacing w:after="0" w:line="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w:t>
      </w:r>
    </w:p>
    <w:p>
      <w:pPr>
        <w:spacing w:after="0" w:line="8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have two classes of common stock: Class A common stock, which is entitled to one vote per share, and Class B common stock, all of which are beneficially owned by John W. Casella, our Chairman and Chief Executive Officer, and his brother, Douglas R. Casella, a member of our Board of Directors, and which is entitled to ten votes per share. Except for the election of one of our directors and in certain limited circumstances required by applicable law, holders of Class A common stock and Class B common stock vote together as a single class on all matters to be voted on by our stockholders. As of January 31, 2022, an aggregate of 988,200 shares of our Class B common stock, representing 9,882,000 votes, were outstanding. Based on the number of shares of common stock outstanding as of January 31, 2022, the shares of our Class A common stock and Class B common stock beneficially owned by John W. Casella and Douglas R. Casella represented approximately 16.8%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 if investors attribute value to the superior voting rights of our Class B common stock and the power those rights confer.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headquarters is located at 25 Greens Hill Lane, Rutland, Vermont 05701, where we currently lease approximately 12,000 square feet of office space.</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principal property and equipment consists of land, landfills, buildings, machinery and equipment, rolling stock and containers. At January 31, 2022, we operated eight subtitle D landfills, four of which we own and four of which we lease; one landfill permitted to accept C&amp;D materials that we own; 65 transfer stations, 35 of which we own, ten of which we lease and 20 of which we operate under a contract; 50 solid waste collection facilities, 29 of which we own, 20 of which we lease and one of which we operate under a contract; 23 recycling processing facilities, 13 of which we own, seven of which we lease and three of which we operate under a contract; three landfill gas-to-energy facilities that we own; and 26 corporate office and other administrative facilities, six of which we own and 20 of which we lease (See Item 1,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for property information by operating segment and location). We believe that our property and equipment are adequately maintained and sufficient for our current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The information required by this Item is provided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8"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Class A common stock trades on the Nasdaq Global Select Market (“Nasdaq Stock Market”) under the symbol CWST. There is no established trading market for our Class B common stock. As of January 31, 2022, there were approximately 500 holders of record of our Class A common stock and two holders of record of our Class B common stock.</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No dividends have ever been declared or paid on our common stock and we do not anticipate paying any cash dividends on our common stock in the foreseeable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201(d) of Regulation S-K is included in Part III of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stock performance graph below compares the percentage change in cumulative stockholder return on our Class A common stock for the period from December 31, 2016 through December 31, 2021, with the cumulative total return on the Russell 2000 Index and our Industry Peer Groups ("2020 Peer Group" and "2021 Peer Group"). The stock performance graph assumes the investment on December 31, 2016 of $100.00 in our Class A common stock at the closing price on such date, in the Russell 2000 Index, the 2021 Peer Group and the 2020 Peer Group, and that dividends are reinvested. No dividends have been declared or paid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460375</wp:posOffset>
            </wp:positionV>
            <wp:extent cx="5775325" cy="4795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5325" cy="479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3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Casella Waste Systems,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688.32</w:t>
            </w:r>
          </w:p>
        </w:tc>
      </w:tr>
      <w:tr>
        <w:trPr>
          <w:trHeight w:val="226"/>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176.39</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2020 Peer Group </w:t>
            </w:r>
            <w:r>
              <w:rPr>
                <w:rFonts w:ascii="Arial" w:cs="Arial" w:eastAsia="Arial" w:hAnsi="Arial"/>
                <w:sz w:val="14"/>
                <w:szCs w:val="14"/>
                <w:b w:val="1"/>
                <w:b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 xml:space="preserve">2021 Peer Group </w:t>
            </w:r>
            <w:r>
              <w:rPr>
                <w:rFonts w:ascii="Arial" w:cs="Arial" w:eastAsia="Arial" w:hAnsi="Arial"/>
                <w:sz w:val="14"/>
                <w:szCs w:val="14"/>
                <w:b w:val="1"/>
                <w:bCs w:val="1"/>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259.70</w:t>
            </w:r>
          </w:p>
        </w:tc>
      </w:tr>
    </w:tbl>
    <w:p>
      <w:pPr>
        <w:spacing w:after="0" w:line="200" w:lineRule="exact"/>
        <w:rPr>
          <w:sz w:val="20"/>
          <w:szCs w:val="20"/>
          <w:color w:val="auto"/>
        </w:rPr>
      </w:pPr>
    </w:p>
    <w:p>
      <w:pPr>
        <w:spacing w:after="0" w:line="216" w:lineRule="exact"/>
        <w:rPr>
          <w:sz w:val="20"/>
          <w:szCs w:val="20"/>
          <w:color w:val="auto"/>
        </w:rPr>
      </w:pPr>
    </w:p>
    <w:p>
      <w:pPr>
        <w:ind w:left="480" w:hanging="314"/>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2020 Peer Group is comprised of Waste Connections Inc., Covanta Holding Corp., Waste Management, Inc. and Republic Services, Inc.</w:t>
      </w:r>
    </w:p>
    <w:p>
      <w:pPr>
        <w:spacing w:after="0" w:line="104" w:lineRule="exact"/>
        <w:rPr>
          <w:rFonts w:ascii="Arial" w:cs="Arial" w:eastAsia="Arial" w:hAnsi="Arial"/>
          <w:sz w:val="14"/>
          <w:szCs w:val="14"/>
          <w:color w:val="auto"/>
        </w:rPr>
      </w:pPr>
    </w:p>
    <w:p>
      <w:pPr>
        <w:ind w:left="480" w:right="40" w:hanging="314"/>
        <w:spacing w:after="0" w:line="252" w:lineRule="auto"/>
        <w:tabs>
          <w:tab w:leader="none" w:pos="472"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2021 Peer Group is comprised of GFL Environmental, Inc., Waste Connections Inc., Waste Management, Inc. and Republic Services, Inc. In fiscal year 2021, Covanta Holding Corp., which had been included in the historical Peer Group in the prior year, was acquired and the stock for Covanta Holding Corp., ceased trading. We replaced Covanta Holding Corp. with GFL Environmental, Inc. in our new Peer Group.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8"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Discussion and analysis of the fiscal year ended December 31, 2020 ("fiscal year 2020") compared to the fiscal year ended December 31, 2019 is included under the heading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our Annual Report on Form 10-K for the fiscal year ended December 31, 2020 as filed with the Securities and Exchange Commission on February 19,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Effective January 1, 2021, we realigned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We realigned the Resource Solutions operating segment to leverage our core competencies in materials processing, industrial recycling, organics and resource management service offerings to deliver a comprehensive solution for our larger commercial, municipal, institutional and industrial customers that have more diverse waste and recycling needs. Processing services consist of the receipt of recycled, sludge or other organic materials at one of our materials recovery, processing or disposal facilities, where it is then sorted, mixed and/or processed, and then disposed of or sold. Non-processing services consist of brokerage services and overall resource management services, which provide a wide range of environmental services and zero waste solutions to large and complex organizations, as well as traditional collection, disposal and recycling services provided to large account multi-site customers.</w:t>
      </w:r>
    </w:p>
    <w:p>
      <w:pPr>
        <w:spacing w:after="0" w:line="6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As of January 31, 2022, we owned and/or operated 50 solid waste collection operations, 65 transfer stations, 23 recycling facilities, eight Subtitle D landfills, three landfill gas-to-energy facilities and one landfill permitted to accept construction and demolition (“C&amp;D”)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2"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color w:val="auto"/>
        </w:rPr>
        <w:t>We have a business development team that identifies acquisition candidates, categorizes the opportunity by strategic fit and perceived level of financial accretion, establishes contact with the appropriate representative of the acquisition candidate and gathers further information on the acquisition candidate.</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made in the past, and we may make in the future, acquisitions to densify existing operations, expand service areas, and grow services for our customers.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in New England, New York and Connecticut help to offset this factor.</w:t>
      </w:r>
    </w:p>
    <w:p>
      <w:pPr>
        <w:spacing w:after="0" w:line="8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fiscal year 2021, we acquired ten businesses: a residential, commercial and roll-off collection business in eastern Connecticut that operates a rail-served C&amp;D processing and waste transfer facility, a waste transfer station, a single-stream recycling facility, and several other recycling operations whose assets and liabilities are allocated between our Eastern region and Resource Solutions operating segments; a solid-waste collection business that operates a waste transfer station, a septic and portable toilet business, and two tuck-in solid-waste collection businesses in our Eastern region; and a solid-waste transfer station business, a waste composting and food-scrap hauling business, a solid-waste collection business that operates a waste transfer station, and two tuck-in solid-waste collection businesses in our Western region for total consideration of $171.7 million, including $166.5 million in cash and $5.2 million in holdbacks to sellers and contingent consideration.</w:t>
      </w:r>
    </w:p>
    <w:p>
      <w:pPr>
        <w:spacing w:after="0" w:line="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fiscal year 2020, we acquired ten businesses: seven tuck-in solid waste collection businesses and a solid waste collection business in our Western region, a transportation business in our Eastern region, and one recycling operation in our Resource Solutions operating segment for total consideration of $33.5 million, including $29.0 million in cash and $4.5 million in holdbacks to sellers.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including landfill, transfer and transportation,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and non-processing services. Revenues from processing services are derived from municipalities and customers in the form of processing fees, tipping fees, and commodity sales, primarily comprised of newspaper, corrugated containers, plastics, ferrous and aluminum, and organic materials such as our earthlife® soils products including fertilizers, composts and mulches. Revenues from non-processing services are derived from brokerage services and overall resource management services providing a wide range of environmental services and zero waste solutions to large and complex organizations, as well as traditional collection, disposal and recycling services provided to large account multi-site customers.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 attributable to services provided (in millions) for the following periods: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Collection</w:t>
            </w:r>
          </w:p>
        </w:tc>
        <w:tc>
          <w:tcPr>
            <w:tcW w:w="3580" w:type="dxa"/>
            <w:vAlign w:val="bottom"/>
            <w:gridSpan w:val="2"/>
            <w:shd w:val="clear" w:color="auto" w:fill="CCEEFF"/>
          </w:tcPr>
          <w:p>
            <w:pPr>
              <w:jc w:val="right"/>
              <w:ind w:right="72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Pr>
          <w:p>
            <w:pPr>
              <w:ind w:left="20"/>
              <w:spacing w:after="0"/>
              <w:rPr>
                <w:sz w:val="20"/>
                <w:szCs w:val="20"/>
                <w:color w:val="auto"/>
              </w:rPr>
            </w:pPr>
            <w:r>
              <w:rPr>
                <w:rFonts w:ascii="Arial" w:cs="Arial" w:eastAsia="Arial" w:hAnsi="Arial"/>
                <w:sz w:val="18"/>
                <w:szCs w:val="18"/>
                <w:color w:val="auto"/>
              </w:rPr>
              <w:t>Disposal</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197.0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2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26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Solid waste operations</w:t>
            </w:r>
          </w:p>
        </w:tc>
        <w:tc>
          <w:tcPr>
            <w:tcW w:w="2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6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ind w:left="340"/>
              <w:spacing w:after="0" w:line="205" w:lineRule="exact"/>
              <w:rPr>
                <w:sz w:val="20"/>
                <w:szCs w:val="20"/>
                <w:color w:val="auto"/>
              </w:rPr>
            </w:pPr>
            <w:r>
              <w:rPr>
                <w:rFonts w:ascii="Arial" w:cs="Arial" w:eastAsia="Arial" w:hAnsi="Arial"/>
                <w:sz w:val="18"/>
                <w:szCs w:val="18"/>
                <w:color w:val="auto"/>
              </w:rPr>
              <w:t>Resource Solutions operations</w:t>
            </w:r>
          </w:p>
        </w:tc>
        <w:tc>
          <w:tcPr>
            <w:tcW w:w="26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235.1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revenues</w:t>
            </w:r>
          </w:p>
        </w:tc>
        <w:tc>
          <w:tcPr>
            <w:tcW w:w="3580" w:type="dxa"/>
            <w:vAlign w:val="bottom"/>
            <w:gridSpan w:val="2"/>
            <w:shd w:val="clear" w:color="auto" w:fill="CCEEFF"/>
          </w:tcPr>
          <w:p>
            <w:pPr>
              <w:jc w:val="right"/>
              <w:ind w:right="72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889.2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891"/>
              <w:spacing w:after="0"/>
              <w:rPr>
                <w:sz w:val="20"/>
                <w:szCs w:val="20"/>
                <w:color w:val="auto"/>
              </w:rPr>
            </w:pPr>
            <w:r>
              <w:rPr>
                <w:rFonts w:ascii="Arial" w:cs="Arial" w:eastAsia="Arial" w:hAnsi="Arial"/>
                <w:sz w:val="18"/>
                <w:szCs w:val="18"/>
                <w:color w:val="auto"/>
              </w:rPr>
              <w:t>33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35"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Period-to-Period Change For</w:t>
      </w:r>
    </w:p>
    <w:p>
      <w:pPr>
        <w:jc w:val="center"/>
        <w:ind w:left="8080"/>
        <w:spacing w:after="0"/>
        <w:rPr>
          <w:sz w:val="20"/>
          <w:szCs w:val="20"/>
          <w:color w:val="auto"/>
        </w:rPr>
      </w:pPr>
      <w:r>
        <w:rPr>
          <w:rFonts w:ascii="Arial" w:cs="Arial" w:eastAsia="Arial" w:hAnsi="Arial"/>
          <w:sz w:val="14"/>
          <w:szCs w:val="14"/>
          <w:b w:val="1"/>
          <w:bCs w:val="1"/>
          <w:color w:val="auto"/>
        </w:rPr>
        <w:t>Fiscal Year 2021 vs Fiscal Year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Growth</w:t>
            </w:r>
          </w:p>
        </w:tc>
      </w:tr>
      <w:tr>
        <w:trPr>
          <w:trHeight w:val="220"/>
        </w:trPr>
        <w:tc>
          <w:tcPr>
            <w:tcW w:w="8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Price</w:t>
            </w: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12.9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Closed operations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4"/>
        </w:trPr>
        <w:tc>
          <w:tcPr>
            <w:tcW w:w="812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Solid waste revenues</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2021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$16.8 million from favorable collection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$6.0 million from favorable disposal pricing associated with our landfills and transfer stations.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2021 solid waste revenues growth from the prior year is a result of the following:</w:t>
      </w:r>
    </w:p>
    <w:p>
      <w:pPr>
        <w:spacing w:after="0" w:line="59" w:lineRule="exact"/>
        <w:rPr>
          <w:sz w:val="20"/>
          <w:szCs w:val="20"/>
          <w:color w:val="auto"/>
        </w:rPr>
      </w:pPr>
    </w:p>
    <w:p>
      <w:pPr>
        <w:ind w:left="480" w:right="140" w:hanging="314"/>
        <w:spacing w:after="0" w:line="278" w:lineRule="auto"/>
        <w:tabs>
          <w:tab w:leader="none" w:pos="4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$7.4 million from higher disposal volumes (of which $4.1 million relates to higher transfer station volumes and $3.1 million relates to higher third-party landfill volumes as a result of increased activity and an increased demand for services due to economic recovery from the prior year, which was negatively impacted by the COVID-19 pandemic, and $0.2 million relates to higher transportation volumes);</w:t>
      </w:r>
    </w:p>
    <w:p>
      <w:pPr>
        <w:spacing w:after="0" w:line="12" w:lineRule="exact"/>
        <w:rPr>
          <w:rFonts w:ascii="Arial" w:cs="Arial" w:eastAsia="Arial" w:hAnsi="Arial"/>
          <w:sz w:val="17"/>
          <w:szCs w:val="17"/>
          <w:color w:val="auto"/>
        </w:rPr>
      </w:pPr>
    </w:p>
    <w:p>
      <w:pPr>
        <w:ind w:left="480" w:right="580" w:hanging="314"/>
        <w:spacing w:after="0" w:line="266" w:lineRule="auto"/>
        <w:tabs>
          <w:tab w:leader="none" w:pos="4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$4.8 million from higher collection volumes as a result of increased activity, new customer growth and an increased demand for services due to economic recovery from the prior year, which was negatively impacted by the COVID-19 pandemic; and</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$0.7 million from higher processing volumes.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surcharges and other fees change component in fiscal year 2021 solid waste revenues growth from the prior year is associated with the sustainability recycling adjustment fee ("SRA Fee") and the energy component of the energy and environmental fee. The SRA Fee floats on a monthly basis conversely with recycled commodity prices, which were higher as compared to the prior year periods, resulting in lower SRA Fee revenues. This was partially offset by the impact of the energy component of the energy and environmental fee, which floats on a monthly basis in conjunction with diesel fuel prices, which were higher as compared to the prior year, resulting in higher energy fee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fiscal year 2021 solid waste revenues growth from the prior year is a result of the following:</w:t>
      </w:r>
    </w:p>
    <w:p>
      <w:pPr>
        <w:spacing w:after="0" w:line="70" w:lineRule="exact"/>
        <w:rPr>
          <w:sz w:val="20"/>
          <w:szCs w:val="20"/>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 million from favorable commodity and energy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due primarily to higher commodity processing volumes.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The acquisitions change component in fiscal year 2021 solid waste revenues growth is a result of increased acquisition activity in line with our growth strategy, including the following:</w:t>
      </w:r>
    </w:p>
    <w:p>
      <w:pPr>
        <w:spacing w:after="0" w:line="20" w:lineRule="exact"/>
        <w:rPr>
          <w:sz w:val="20"/>
          <w:szCs w:val="20"/>
          <w:color w:val="auto"/>
        </w:rPr>
      </w:pPr>
    </w:p>
    <w:p>
      <w:pPr>
        <w:ind w:left="480" w:right="20" w:hanging="314"/>
        <w:spacing w:after="0" w:line="287"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acquisition of ten businesses in fiscal year 2021: a residential, commercial and roll-off collection business in eastern Connecticut that operates a rail-served C&amp;D processing and waste transfer facility, a waste transfer station, a single-stream recycling facility, and several other recycling operations whose assets and liabilities are allocated between our Eastern region and Resource Solutions operating segments; a solid-waste collection business that operates a waste transfer station, a septic and portable toilet business, and two tuck-in solid-waste collection businesses in our Eastern region; and a solid-waste transfer station business, a waste composting and food-scrap hauling business, a solid-waste collection business that operates a waste transfer station, and two tuck-in solid-waste collection businesses in our Western region; and</w:t>
      </w:r>
    </w:p>
    <w:p>
      <w:pPr>
        <w:spacing w:after="0" w:line="9" w:lineRule="exact"/>
        <w:rPr>
          <w:rFonts w:ascii="Arial" w:cs="Arial" w:eastAsia="Arial" w:hAnsi="Arial"/>
          <w:sz w:val="16"/>
          <w:szCs w:val="16"/>
          <w:color w:val="auto"/>
        </w:rPr>
      </w:pPr>
    </w:p>
    <w:p>
      <w:pPr>
        <w:ind w:left="480" w:right="60" w:hanging="314"/>
        <w:spacing w:after="0" w:line="329"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acquisition of ten businesses in fiscal year 2020: seven tuck-in solid waste collection businesses and a solid waste collection business in our Western region, a transportation business in our Eastern region, and one recycling operation in our Resource Solutions operating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change component in fiscal year 2021 resource solutions revenues growth of $38.8 million from the prior year period is the result of the following:</w:t>
      </w:r>
    </w:p>
    <w:p>
      <w:pPr>
        <w:spacing w:after="0" w:line="70" w:lineRule="exact"/>
        <w:rPr>
          <w:sz w:val="20"/>
          <w:szCs w:val="20"/>
          <w:color w:val="auto"/>
        </w:rPr>
      </w:pPr>
    </w:p>
    <w:p>
      <w:pPr>
        <w:ind w:left="480" w:right="300" w:hanging="314"/>
        <w:spacing w:after="0" w:line="266" w:lineRule="auto"/>
        <w:tabs>
          <w:tab w:leader="none" w:pos="4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$17.0 million from the favorable impact of commodity pricing in the marketplace (not including the negative impact of lower intercompany tipping fees that were reduced due to higher commodity pricing);</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$9.6 million from acquisition activity;</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$8.0 million from higher non-processing revenues due to higher volumes;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$4.2 million from higher processing volumes driven by higher recycling commodity volumes and other processing volumes.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A summary of our cost of operations, general and administration and depreciation and amortization expenses is as follows (dollars in millions and as a percentage of total revenues):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w w:val="98"/>
              </w:rPr>
              <w:t>Fiscal Years Ended December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78"/>
              <w:spacing w:after="0"/>
              <w:rPr>
                <w:sz w:val="20"/>
                <w:szCs w:val="20"/>
                <w:color w:val="auto"/>
              </w:rPr>
            </w:pPr>
            <w:r>
              <w:rPr>
                <w:rFonts w:ascii="Arial" w:cs="Arial" w:eastAsia="Arial" w:hAnsi="Arial"/>
                <w:sz w:val="14"/>
                <w:szCs w:val="14"/>
                <w:b w:val="1"/>
                <w:bCs w:val="1"/>
                <w:color w:val="auto"/>
              </w:rPr>
              <w:t>$</w:t>
            </w:r>
          </w:p>
        </w:tc>
      </w:tr>
      <w:tr>
        <w:trPr>
          <w:trHeight w:val="197"/>
        </w:trPr>
        <w:tc>
          <w:tcPr>
            <w:tcW w:w="36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Change</w:t>
            </w:r>
          </w:p>
        </w:tc>
      </w:tr>
      <w:tr>
        <w:trPr>
          <w:trHeight w:val="180"/>
        </w:trPr>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582.4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515.6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76"/>
              <w:spacing w:after="0"/>
              <w:rPr>
                <w:sz w:val="20"/>
                <w:szCs w:val="20"/>
                <w:color w:val="auto"/>
              </w:rPr>
            </w:pPr>
            <w:r>
              <w:rPr>
                <w:rFonts w:ascii="Arial" w:cs="Arial" w:eastAsia="Arial" w:hAnsi="Arial"/>
                <w:sz w:val="18"/>
                <w:szCs w:val="18"/>
                <w:color w:val="auto"/>
              </w:rPr>
              <w:t>118.8</w:t>
            </w:r>
          </w:p>
        </w:tc>
        <w:tc>
          <w:tcPr>
            <w:tcW w:w="116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676"/>
              <w:spacing w:after="0"/>
              <w:rPr>
                <w:sz w:val="20"/>
                <w:szCs w:val="20"/>
                <w:color w:val="auto"/>
              </w:rPr>
            </w:pPr>
            <w:r>
              <w:rPr>
                <w:rFonts w:ascii="Arial" w:cs="Arial" w:eastAsia="Arial" w:hAnsi="Arial"/>
                <w:sz w:val="18"/>
                <w:szCs w:val="18"/>
                <w:color w:val="auto"/>
              </w:rPr>
              <w:t>102.4</w:t>
            </w:r>
          </w:p>
        </w:tc>
        <w:tc>
          <w:tcPr>
            <w:tcW w:w="960" w:type="dxa"/>
            <w:vAlign w:val="bottom"/>
          </w:tcPr>
          <w:p>
            <w:pPr>
              <w:jc w:val="right"/>
              <w:spacing w:after="0"/>
              <w:rPr>
                <w:sz w:val="20"/>
                <w:szCs w:val="20"/>
                <w:color w:val="auto"/>
              </w:rPr>
            </w:pPr>
            <w:r>
              <w:rPr>
                <w:rFonts w:ascii="Arial" w:cs="Arial" w:eastAsia="Arial" w:hAnsi="Arial"/>
                <w:sz w:val="18"/>
                <w:szCs w:val="18"/>
                <w:color w:val="auto"/>
              </w:rPr>
              <w:t>13.2 %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103.6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90.8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Third-party direct costs in fiscal year 2021 increased $22.7 million from the prior year, while decreasing approximately (80) basis points as a percentage of revenues, due to the following:</w:t>
      </w:r>
    </w:p>
    <w:p>
      <w:pPr>
        <w:spacing w:after="0" w:line="20" w:lineRule="exact"/>
        <w:rPr>
          <w:sz w:val="20"/>
          <w:szCs w:val="20"/>
          <w:color w:val="auto"/>
        </w:rPr>
      </w:pPr>
    </w:p>
    <w:p>
      <w:pPr>
        <w:ind w:left="480" w:hanging="31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third-party disposal costs associated with increased solid waste volumes on organic growth and acquisition activity; and</w:t>
      </w:r>
    </w:p>
    <w:p>
      <w:pPr>
        <w:spacing w:after="0" w:line="58" w:lineRule="exact"/>
        <w:rPr>
          <w:rFonts w:ascii="Arial" w:cs="Arial" w:eastAsia="Arial" w:hAnsi="Arial"/>
          <w:sz w:val="18"/>
          <w:szCs w:val="18"/>
          <w:color w:val="auto"/>
        </w:rPr>
      </w:pPr>
    </w:p>
    <w:p>
      <w:pPr>
        <w:ind w:left="480" w:right="280" w:hanging="314"/>
        <w:spacing w:after="0" w:line="266" w:lineRule="auto"/>
        <w:tabs>
          <w:tab w:leader="none" w:pos="4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increased solid waste volumes on organic growth and acquisition activity; higher non-processing and higher commodity and other processing volumes in our Resource Solutions operating segment.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Maintenance and repair costs in fiscal year 2021 increased $17.7 million from the prior year, while increasing approximately 10 basis points as a percentage of revenues, due primarily to: higher overall fleet maintenance costs and higher facility maintenance costs in our Resource Solutions operating segment, and to a lesser extent the Eastern and Western regions, acquisition activity and an increased demand for services.</w:t>
      </w:r>
    </w:p>
    <w:p>
      <w:pPr>
        <w:spacing w:after="0" w:line="65"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Direct labor costs in fiscal year 2021 increased $17.1 million from the prior year, while increasing approximately 20 basis points as a percentage of revenues, due primarily to: higher labor and benefit costs on wage inflation in our markets and increased overtime on higher solid waste volumes associated with an increased demand for services and acquisition activity; higher health insurance costs; and higher workers compensation costs on claim activity.</w:t>
      </w:r>
    </w:p>
    <w:p>
      <w:pPr>
        <w:spacing w:after="0" w:line="4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Fuel costs in fiscal year 2021 increased $5.5 million from the prior year, while increasing approximately 30 basis points as a percentage of revenues, due to higher volumes driven by acquisition activity, along with higher fuel prices.</w:t>
      </w:r>
    </w:p>
    <w:p>
      <w:pPr>
        <w:spacing w:after="0" w:line="7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Direct operational costs in fiscal year 2021 increased $3.7 million from the prior year, while decreasing approximately (90) basis points as a percentage of revenues, due primarily to: higher landfill operating costs, including higher leachate costs and higher host community and royalty fees, and higher variable operating costs on increased activity; partially offset by lower equipment operating lease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General and administration expenses include management, clerical and administrative compensation and overhead, professional services and costs associated with marketing, sales force and community relations efforts.</w:t>
      </w:r>
    </w:p>
    <w:p>
      <w:pPr>
        <w:spacing w:after="0" w:line="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period-to-period change in general and administration expense can be primarily attributed to: increased overhead costs associated with wage inflation, human resources costs to attract, train and retain employees, and business growth; and higher equity compensation costs and accrued incentive compensation on improved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2"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Fiscal Year Ended December 31,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57"/>
              <w:spacing w:after="0"/>
              <w:rPr>
                <w:sz w:val="20"/>
                <w:szCs w:val="20"/>
                <w:color w:val="auto"/>
              </w:rPr>
            </w:pPr>
            <w:r>
              <w:rPr>
                <w:rFonts w:ascii="Arial" w:cs="Arial" w:eastAsia="Arial" w:hAnsi="Arial"/>
                <w:sz w:val="14"/>
                <w:szCs w:val="14"/>
                <w:b w:val="1"/>
                <w:bCs w:val="1"/>
                <w:color w:val="auto"/>
              </w:rPr>
              <w:t>$</w:t>
            </w:r>
          </w:p>
        </w:tc>
      </w:tr>
      <w:tr>
        <w:trPr>
          <w:trHeight w:val="197"/>
        </w:trPr>
        <w:tc>
          <w:tcPr>
            <w:tcW w:w="37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w:t>
            </w:r>
          </w:p>
        </w:tc>
      </w:tr>
      <w:tr>
        <w:trPr>
          <w:trHeight w:val="220"/>
        </w:trPr>
        <w:tc>
          <w:tcPr>
            <w:tcW w:w="37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Depreciation expense</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Landfill amortization expense</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 expense</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376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90.8</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3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period-to-period change in depreciation and other amortization expense can be primarily attributed to increased investments in our fleet and acquisition activity. Landfill amortization expense increased primarily due to higher third-party and overall landfill volumes and changes to cost estimates and other assumptions from prior year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the fiscal years 2021 and 2020, we recorded charges of $5.3 million and $1.9 million, respectively, comprised primarily of legal, consulting and other similar costs associated with the acquisition and integration of acquired businesses or select development projects.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disclosure regarding acquisition activity.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 Charge</w:t>
      </w:r>
    </w:p>
    <w:p>
      <w:pPr>
        <w:spacing w:after="0" w:line="11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In the fiscal year 2021, we recorded an environmental remediation charge of $0.9 million associated with a settlement agreement to conduct restoration of a stream bed on lands adjoining our North Country Environmental Services landfill located in Bethlehem, New Hampshire. See Note 12,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further disclosure regarding the matter.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 Net</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fiscal year ended December 31, 2017, we initiated the plan to cease operations of our landfill located in Southbridge, Massachusetts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2021 and 2020, we recorded charges associated with the closure of our Southbridge Landfill (in millions) as follows:</w:t>
      </w:r>
    </w:p>
    <w:p>
      <w:pPr>
        <w:ind w:left="9160"/>
        <w:spacing w:after="0" w:line="230" w:lineRule="auto"/>
        <w:rPr>
          <w:sz w:val="20"/>
          <w:szCs w:val="20"/>
          <w:color w:val="auto"/>
        </w:rPr>
      </w:pPr>
      <w:r>
        <w:rPr>
          <w:rFonts w:ascii="Arial" w:cs="Arial" w:eastAsia="Arial" w:hAnsi="Arial"/>
          <w:sz w:val="14"/>
          <w:szCs w:val="14"/>
          <w:b w:val="1"/>
          <w:bCs w:val="1"/>
          <w:color w:val="auto"/>
        </w:rPr>
        <w:t>Fiscal Year Ended</w:t>
      </w:r>
    </w:p>
    <w:p>
      <w:pPr>
        <w:ind w:left="93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0"/>
        </w:trPr>
        <w:tc>
          <w:tcPr>
            <w:tcW w:w="82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(1)</w:t>
            </w:r>
          </w:p>
        </w:tc>
        <w:tc>
          <w:tcPr>
            <w:tcW w:w="98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Landfill closure project (credit) charge </w:t>
            </w:r>
            <w:r>
              <w:rPr>
                <w:rFonts w:ascii="Arial" w:cs="Arial" w:eastAsia="Arial" w:hAnsi="Arial"/>
                <w:sz w:val="14"/>
                <w:szCs w:val="14"/>
                <w:color w:val="auto"/>
              </w:rPr>
              <w:t>(3)</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8220" w:type="dxa"/>
            <w:vAlign w:val="bottom"/>
          </w:tcPr>
          <w:p>
            <w:pPr>
              <w:ind w:left="20"/>
              <w:spacing w:after="0"/>
              <w:rPr>
                <w:sz w:val="20"/>
                <w:szCs w:val="20"/>
                <w:color w:val="auto"/>
              </w:rPr>
            </w:pPr>
            <w:r>
              <w:rPr>
                <w:rFonts w:ascii="Arial" w:cs="Arial" w:eastAsia="Arial" w:hAnsi="Arial"/>
                <w:sz w:val="18"/>
                <w:szCs w:val="18"/>
                <w:color w:val="auto"/>
              </w:rPr>
              <w:t xml:space="preserve">Legal settlement charge </w:t>
            </w:r>
            <w:r>
              <w:rPr>
                <w:rFonts w:ascii="Arial" w:cs="Arial" w:eastAsia="Arial" w:hAnsi="Arial"/>
                <w:sz w:val="14"/>
                <w:szCs w:val="14"/>
                <w:color w:val="auto"/>
              </w:rPr>
              <w:t>(4)</w:t>
            </w:r>
          </w:p>
        </w:tc>
        <w:tc>
          <w:tcPr>
            <w:tcW w:w="9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Environmental remediation charge </w:t>
            </w:r>
            <w:r>
              <w:rPr>
                <w:rFonts w:ascii="Arial" w:cs="Arial" w:eastAsia="Arial" w:hAnsi="Arial"/>
                <w:sz w:val="14"/>
                <w:szCs w:val="14"/>
                <w:color w:val="auto"/>
              </w:rPr>
              <w:t>(5)</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8220" w:type="dxa"/>
            <w:vAlign w:val="bottom"/>
          </w:tcPr>
          <w:p>
            <w:pPr>
              <w:ind w:left="20"/>
              <w:spacing w:after="0" w:line="205" w:lineRule="exact"/>
              <w:rPr>
                <w:sz w:val="20"/>
                <w:szCs w:val="20"/>
                <w:color w:val="auto"/>
              </w:rPr>
            </w:pPr>
            <w:r>
              <w:rPr>
                <w:rFonts w:ascii="Arial" w:cs="Arial" w:eastAsia="Arial" w:hAnsi="Arial"/>
                <w:sz w:val="18"/>
                <w:szCs w:val="18"/>
                <w:color w:val="auto"/>
              </w:rPr>
              <w:t>Southbridge Landfill closure charge, net</w:t>
            </w:r>
          </w:p>
        </w:tc>
        <w:tc>
          <w:tcPr>
            <w:tcW w:w="98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80" w:hanging="31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incurred legal costs as well as other transaction costs associated with various matters as part of the Southbridge Landfill closure.</w:t>
      </w:r>
    </w:p>
    <w:p>
      <w:pPr>
        <w:spacing w:after="0" w:line="58" w:lineRule="exact"/>
        <w:rPr>
          <w:rFonts w:ascii="Arial" w:cs="Arial" w:eastAsia="Arial" w:hAnsi="Arial"/>
          <w:sz w:val="18"/>
          <w:szCs w:val="18"/>
          <w:color w:val="auto"/>
        </w:rPr>
      </w:pPr>
    </w:p>
    <w:p>
      <w:pPr>
        <w:ind w:left="480" w:right="200" w:hanging="314"/>
        <w:spacing w:after="0" w:line="293" w:lineRule="auto"/>
        <w:tabs>
          <w:tab w:leader="none" w:pos="474"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updated the cost estimates associated with a contract settlement charge associated with the Southbridge Landfill closure and the remaining future obligations due to the Town of Southbridge under the landfill operating agreement with the Town of Southbridge.</w:t>
      </w:r>
    </w:p>
    <w:p>
      <w:pPr>
        <w:spacing w:after="0" w:line="1" w:lineRule="exact"/>
        <w:rPr>
          <w:rFonts w:ascii="Arial" w:cs="Arial" w:eastAsia="Arial" w:hAnsi="Arial"/>
          <w:sz w:val="17"/>
          <w:szCs w:val="17"/>
          <w:color w:val="auto"/>
        </w:rPr>
      </w:pPr>
    </w:p>
    <w:p>
      <w:pPr>
        <w:ind w:left="480" w:hanging="31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recorded a landfill closure project (credit) charge associated with revised costs under the closure plan at Southbridge Landfill.</w:t>
      </w:r>
    </w:p>
    <w:p>
      <w:pPr>
        <w:spacing w:after="0" w:line="58" w:lineRule="exact"/>
        <w:rPr>
          <w:rFonts w:ascii="Arial" w:cs="Arial" w:eastAsia="Arial" w:hAnsi="Arial"/>
          <w:sz w:val="18"/>
          <w:szCs w:val="18"/>
          <w:color w:val="auto"/>
        </w:rPr>
      </w:pPr>
    </w:p>
    <w:p>
      <w:pPr>
        <w:ind w:left="480" w:right="380" w:hanging="314"/>
        <w:spacing w:after="0" w:line="266" w:lineRule="auto"/>
        <w:tabs>
          <w:tab w:leader="none" w:pos="4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established reserves and made payments associated with legal settlements associated with claims against us as part of the Southbridge Landfill closure.</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recorded an environmental remediation reversal associated with the completion of environmental remediation at the Southbridge Landfill.</w:t>
      </w:r>
    </w:p>
    <w:p>
      <w:pPr>
        <w:spacing w:after="0" w:line="12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 of this Annual Report on Form 10-K for further disclosure regarding the environmental remediation charge associated with the Southbridge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Our interest expense, net decreased $(1.1) million in fiscal year 2021 due primarily to lower average interest rates on our debt associated with changes in London Inter-Bank Offered Rate ("LIBOR").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provision (benefit) for income taxes was $16.9 million in fiscal year 2021 and $(52.8) million in fiscal year 2020. The provision for income taxes in fiscal year 2021 includes $1.8 million of current income taxes and $15.1 million of deferred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income taxes. For fiscal year 2020, the benefit for income taxes includes $(0.5) million of current income taxes and $(52.3) million of deferred income taxes. The effective rate for the fiscal year 2021 is 29% and is computed based on the statutory rate of 21% adjusted primarily for state taxes and nondeductible officer compensation.</w:t>
      </w:r>
    </w:p>
    <w:p>
      <w:pPr>
        <w:spacing w:after="0" w:line="8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significant increase in the year-to-date deferred tax provision between the periods relates primarily to the $61.3 million tax benefit recognized in fiscal year 2020 for the release of our valuation allowance. On a periodic basis, we reassess the valuation allowance on our deferred income tax assets, weighing positive and negative evidence to assess the recoverability of the deferred tax assets. In the quarter ended December 31,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 million. Following reassessment in fiscal year 2021, our judgement with regard to the realizability of our deferred tax assets remains consistent. We continue to maintain a valuation allowance related to deferred tax assets that would generate capital losses when realized and deferred tax assets related to certain state jurisdictions.</w:t>
      </w:r>
    </w:p>
    <w:p>
      <w:pPr>
        <w:spacing w:after="0" w:line="81"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color w:val="auto"/>
        </w:rPr>
        <w:t>On March 27, 2020, the Coronavirus Aid, Relief, and Economic Security Act (the “CARES Act”) was enacted which, among other things, allowed the carryback of remaining minimum tax credit carryforwards to tax year 2018. Prior to the CARES Act, the minimum tax credit carryforwards were fully refundable through tax year 2021, if not otherwise used to offset tax liabilities. A current income tax benefit of $(1.0) million, offset by a $1.0 million deferred tax provision, was recognized in the three months ended March 31, 2020 for the remaining minimum tax credit carried back to tax year 2018.</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22, 2017, the Tax Cuts and Jobs Act (the “TCJ Act”) was enacted. The TCJ Act significantly changed U.S. corporate income tax laws by, among other things, changing carryforward rules for net operating losses. Our $52.4 million in federal net operating loss carryforwards generated as of the end of tax year 2017 continue to be carried forward for 20 years and are expected to be available to fully offset taxable income earned in tax year 2022 and future tax years. Federal net operating losses generated after tax year 2017, totaling $46.5 million carried forward to tax year 2022, will be carried forward indefinitely, but generally may only offset up to 80% of taxable income earned in a tax year. In addition, the TCJ Act added limitations on the deductibility of interest expense that become more restrictive beginning in tax year 2022 and potentially could limit the deductibility of some of our interest expense. Any interest expense limited may be carried forward indefinitely and utilized in later years subject to the limitation.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Effective January 1, 2021, we realigned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We realigned the Resource Solutions operating segment to leverage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from processing services are derived from municipalities and customers in the form of processing fees, tipping fees, commodity sales, and organic material sales. Revenues from non-processing services are derived from brokerage services and overall resource management services providing a wide range of environmental services and zero waste solutions to large and complex organizations, as well as traditional collection, disposal and recycling services provided to large account multi-site customers.Legal,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7"/>
              <w:spacing w:after="0"/>
              <w:rPr>
                <w:sz w:val="20"/>
                <w:szCs w:val="20"/>
                <w:color w:val="auto"/>
              </w:rPr>
            </w:pPr>
            <w:r>
              <w:rPr>
                <w:rFonts w:ascii="Arial" w:cs="Arial" w:eastAsia="Arial" w:hAnsi="Arial"/>
                <w:sz w:val="14"/>
                <w:szCs w:val="14"/>
                <w:b w:val="1"/>
                <w:bCs w:val="1"/>
                <w:color w:val="auto"/>
              </w:rPr>
              <w:t>$</w:t>
            </w:r>
          </w:p>
        </w:tc>
      </w:tr>
      <w:tr>
        <w:trPr>
          <w:trHeight w:val="197"/>
        </w:trPr>
        <w:tc>
          <w:tcPr>
            <w:tcW w:w="67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2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Western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389.5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889.2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p>
      <w:pPr>
        <w:ind w:left="8780"/>
        <w:spacing w:after="0" w:line="224" w:lineRule="auto"/>
        <w:rPr>
          <w:sz w:val="20"/>
          <w:szCs w:val="20"/>
          <w:color w:val="auto"/>
        </w:rPr>
      </w:pPr>
      <w:r>
        <w:rPr>
          <w:rFonts w:ascii="Arial" w:cs="Arial" w:eastAsia="Arial" w:hAnsi="Arial"/>
          <w:sz w:val="14"/>
          <w:szCs w:val="14"/>
          <w:b w:val="1"/>
          <w:bCs w:val="1"/>
          <w:color w:val="auto"/>
        </w:rPr>
        <w:t>Period-to-Period Change For</w:t>
      </w:r>
    </w:p>
    <w:p>
      <w:pPr>
        <w:ind w:left="8600"/>
        <w:spacing w:after="0"/>
        <w:rPr>
          <w:sz w:val="20"/>
          <w:szCs w:val="20"/>
          <w:color w:val="auto"/>
        </w:rPr>
      </w:pPr>
      <w:r>
        <w:rPr>
          <w:rFonts w:ascii="Arial" w:cs="Arial" w:eastAsia="Arial" w:hAnsi="Arial"/>
          <w:sz w:val="14"/>
          <w:szCs w:val="14"/>
          <w:b w:val="1"/>
          <w:bCs w:val="1"/>
          <w:color w:val="auto"/>
        </w:rPr>
        <w:t>Fiscal Year 2021 vs Fiscal Year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Growth</w:t>
            </w: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2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Closed operations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5"/>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revenues</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2021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$6.2 million from favorable collection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$2.8 million from favorable disposal pricing related to transfer stations and landfills.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2021 solid waste revenues growth from the prior year is a result of the following:</w:t>
      </w:r>
    </w:p>
    <w:p>
      <w:pPr>
        <w:spacing w:after="0" w:line="59" w:lineRule="exact"/>
        <w:rPr>
          <w:sz w:val="20"/>
          <w:szCs w:val="20"/>
          <w:color w:val="auto"/>
        </w:rPr>
      </w:pPr>
    </w:p>
    <w:p>
      <w:pPr>
        <w:ind w:left="480" w:right="620" w:hanging="314"/>
        <w:spacing w:after="0" w:line="293" w:lineRule="auto"/>
        <w:tabs>
          <w:tab w:leader="none" w:pos="4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$6.2 million from higher disposal volumes related to transfer stations and landfills as a result of increased activity and an increased demand for services due to economic recovery from the prior year, which was negatively impacted by the COVID-19 pandemic; and</w:t>
      </w:r>
    </w:p>
    <w:p>
      <w:pPr>
        <w:spacing w:after="0" w:line="1" w:lineRule="exact"/>
        <w:rPr>
          <w:rFonts w:ascii="Arial" w:cs="Arial" w:eastAsia="Arial" w:hAnsi="Arial"/>
          <w:sz w:val="17"/>
          <w:szCs w:val="17"/>
          <w:color w:val="auto"/>
        </w:rPr>
      </w:pPr>
    </w:p>
    <w:p>
      <w:pPr>
        <w:ind w:left="480" w:right="600" w:hanging="314"/>
        <w:spacing w:after="0" w:line="266" w:lineRule="auto"/>
        <w:tabs>
          <w:tab w:leader="none" w:pos="4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 million from higher collection volumes as a result of increased activity, new customer growth and an increased demand for services due to economic recovery from the prior year, which was negatively impacted by the COVID-19 pandemic; and</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$0.8 million from higher processing volumes.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surcharges and other fees change component in fiscal year 2021 solid waste revenues growth from the prior year is associated with the SRA Fee and the energy component of the energy and environmental fee. The SRA Fee floats on a monthly basis conversely with recycled commodity prices, which were higher as compared to the prior year periods, resulting in lower SRA Fee revenues. This was partially offset by the impact of the energy component of the energy and environmental fee, which floats on a monthly basis in conjunction with diesel fuel prices, which were higher as compared to the prior year, resulting in higher energy fee revenues.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The acquisitions change component in fiscal year 2021 solid waste revenues growth is a result of increased acquisition activity in line with our growth strategy, including the following: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right="40" w:hanging="314"/>
        <w:spacing w:after="0" w:line="300" w:lineRule="auto"/>
        <w:tabs>
          <w:tab w:leader="none" w:pos="4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acquisition of a residential, commercial and roll-off collection business in eastern Connecticut that operates a rail-served C&amp;D processing and waste transfer facility and a waste transfer station whose assets and liabilities are partially allocated to our Eastern region; a solid-waste collection business that operates a waste transfer station; a septic and portable toilet business; and two tuck-in solid-waste collection business; and</w:t>
      </w:r>
    </w:p>
    <w:p>
      <w:pPr>
        <w:spacing w:after="0" w:line="1" w:lineRule="exact"/>
        <w:rPr>
          <w:rFonts w:ascii="Arial" w:cs="Arial" w:eastAsia="Arial" w:hAnsi="Arial"/>
          <w:sz w:val="16"/>
          <w:szCs w:val="16"/>
          <w:color w:val="auto"/>
        </w:rPr>
      </w:pPr>
    </w:p>
    <w:p>
      <w:pPr>
        <w:ind w:left="480" w:hanging="314"/>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acquisition of a transportation business in the prior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p>
      <w:pPr>
        <w:ind w:left="8780"/>
        <w:spacing w:after="0" w:line="224" w:lineRule="auto"/>
        <w:rPr>
          <w:sz w:val="20"/>
          <w:szCs w:val="20"/>
          <w:color w:val="auto"/>
        </w:rPr>
      </w:pPr>
      <w:r>
        <w:rPr>
          <w:rFonts w:ascii="Arial" w:cs="Arial" w:eastAsia="Arial" w:hAnsi="Arial"/>
          <w:sz w:val="14"/>
          <w:szCs w:val="14"/>
          <w:b w:val="1"/>
          <w:bCs w:val="1"/>
          <w:color w:val="auto"/>
        </w:rPr>
        <w:t>Period-to-Period Change For</w:t>
      </w:r>
    </w:p>
    <w:p>
      <w:pPr>
        <w:ind w:left="8600"/>
        <w:spacing w:after="0"/>
        <w:rPr>
          <w:sz w:val="20"/>
          <w:szCs w:val="20"/>
          <w:color w:val="auto"/>
        </w:rPr>
      </w:pPr>
      <w:r>
        <w:rPr>
          <w:rFonts w:ascii="Arial" w:cs="Arial" w:eastAsia="Arial" w:hAnsi="Arial"/>
          <w:sz w:val="14"/>
          <w:szCs w:val="14"/>
          <w:b w:val="1"/>
          <w:bCs w:val="1"/>
          <w:color w:val="auto"/>
        </w:rPr>
        <w:t>Fiscal Year 2021 vs Fiscal Year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Growth</w:t>
            </w: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0"/>
        </w:trPr>
        <w:tc>
          <w:tcPr>
            <w:tcW w:w="8140" w:type="dxa"/>
            <w:vAlign w:val="bottom"/>
          </w:tcPr>
          <w:p>
            <w:pPr>
              <w:ind w:left="340"/>
              <w:spacing w:after="0"/>
              <w:rPr>
                <w:sz w:val="20"/>
                <w:szCs w:val="20"/>
                <w:color w:val="auto"/>
              </w:rPr>
            </w:pPr>
            <w:r>
              <w:rPr>
                <w:rFonts w:ascii="Arial" w:cs="Arial" w:eastAsia="Arial" w:hAnsi="Arial"/>
                <w:sz w:val="18"/>
                <w:szCs w:val="18"/>
                <w:color w:val="auto"/>
              </w:rPr>
              <w:t>Solid waste revenues</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31.5</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2021 solid waste revenues growth from the prior year is a result of the following:</w:t>
      </w:r>
    </w:p>
    <w:p>
      <w:pPr>
        <w:spacing w:after="0" w:line="59" w:lineRule="exact"/>
        <w:rPr>
          <w:sz w:val="20"/>
          <w:szCs w:val="20"/>
          <w:color w:val="auto"/>
        </w:rPr>
      </w:pPr>
    </w:p>
    <w:p>
      <w:pPr>
        <w:ind w:left="480" w:hanging="31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$10.5 million from favorable collection pricing;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$3.2 million from favorable disposal pricing related to landfills and transfer stations.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2021 solid waste revenues growth from the prior year is a result of the following:</w:t>
      </w:r>
    </w:p>
    <w:p>
      <w:pPr>
        <w:spacing w:after="0" w:line="59" w:lineRule="exact"/>
        <w:rPr>
          <w:sz w:val="20"/>
          <w:szCs w:val="20"/>
          <w:color w:val="auto"/>
        </w:rPr>
      </w:pPr>
    </w:p>
    <w:p>
      <w:pPr>
        <w:ind w:left="480" w:right="320" w:hanging="314"/>
        <w:spacing w:after="0" w:line="266" w:lineRule="auto"/>
        <w:tabs>
          <w:tab w:leader="none" w:pos="4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 million from higher collection volumes as a result of increased activity, new customer acquisition and an increased demand for services due to economic recovery from the prior year, which was negatively impacted by the COVID-19 pandemic; and</w:t>
      </w:r>
    </w:p>
    <w:p>
      <w:pPr>
        <w:spacing w:after="0" w:line="19" w:lineRule="exact"/>
        <w:rPr>
          <w:rFonts w:ascii="Arial" w:cs="Arial" w:eastAsia="Arial" w:hAnsi="Arial"/>
          <w:sz w:val="18"/>
          <w:szCs w:val="18"/>
          <w:color w:val="auto"/>
        </w:rPr>
      </w:pPr>
    </w:p>
    <w:p>
      <w:pPr>
        <w:ind w:left="480" w:right="400" w:hanging="314"/>
        <w:spacing w:after="0" w:line="296" w:lineRule="auto"/>
        <w:tabs>
          <w:tab w:leader="none" w:pos="4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$1.2 million from higher disposal volumes related mainly to transfer stations and, to a lesser extent transportation, due to an increased demand for services due to economic recovery from the prior year, which was negatively impacted by the COVID-19 pandemic.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surcharges and other fees change component in fiscal year 2021 solid waste revenues growth from the prior year is associated with the SRA Fee and the energy component of the energy and environmental fee. The SRA Fee floats on a monthly basis conversely with recycled commodity prices, which were higher as compared to the prior year periods, resulting in lower SRA Fee revenues. This was partially offset by the impact of the energy component of the energy and environmental fee, which floats on a monthly basis in conjunction with diesel fuel prices, which were higher as compared to the prior year, resulting in higher energy fee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commodity price and volume change component in fiscal year 2021 solid waste revenues growth from the prior year is the result of favorable energy and commodity pricing and higher commodity processing volumes.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2"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acquisitions change component in fiscal year 2021 solid waste revenues solid waste growth is a result of increased acquisition activity in line with our growth strategy, including the following:</w:t>
      </w:r>
    </w:p>
    <w:p>
      <w:pPr>
        <w:spacing w:after="0" w:line="20" w:lineRule="exact"/>
        <w:rPr>
          <w:sz w:val="20"/>
          <w:szCs w:val="20"/>
          <w:color w:val="auto"/>
        </w:rPr>
      </w:pPr>
    </w:p>
    <w:p>
      <w:pPr>
        <w:ind w:left="480" w:right="420" w:hanging="314"/>
        <w:spacing w:after="0" w:line="266" w:lineRule="auto"/>
        <w:tabs>
          <w:tab w:leader="none" w:pos="4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acquisition of a solid-waste transfer station business, a waste composting and food-scrap hauling business, a solid-waste collection business that operates a waste transfer station, and two tuck-in solid-waste collection businesses;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right="260" w:hanging="314"/>
        <w:spacing w:after="0" w:line="266" w:lineRule="auto"/>
        <w:tabs>
          <w:tab w:leader="none" w:pos="4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acquisition of seven tuck-in solid waste collection businesses and a solid waste collection business in our Western region in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segments (in millions)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r>
      <w:tr>
        <w:trPr>
          <w:trHeight w:val="197"/>
        </w:trPr>
        <w:tc>
          <w:tcPr>
            <w:tcW w:w="6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20"/>
        </w:trPr>
        <w:tc>
          <w:tcPr>
            <w:tcW w:w="6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Eastern</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6120" w:type="dxa"/>
            <w:vAlign w:val="bottom"/>
          </w:tcPr>
          <w:p>
            <w:pPr>
              <w:ind w:left="20"/>
              <w:spacing w:after="0"/>
              <w:rPr>
                <w:sz w:val="20"/>
                <w:szCs w:val="20"/>
                <w:color w:val="auto"/>
              </w:rPr>
            </w:pPr>
            <w:r>
              <w:rPr>
                <w:rFonts w:ascii="Arial" w:cs="Arial" w:eastAsia="Arial" w:hAnsi="Arial"/>
                <w:sz w:val="18"/>
                <w:szCs w:val="18"/>
                <w:color w:val="auto"/>
              </w:rPr>
              <w:t>Western</w:t>
            </w:r>
          </w:p>
        </w:tc>
        <w:tc>
          <w:tcPr>
            <w:tcW w:w="96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4"/>
        </w:trPr>
        <w:tc>
          <w:tcPr>
            <w:tcW w:w="612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Region</w:t>
      </w:r>
    </w:p>
    <w:p>
      <w:pPr>
        <w:spacing w:after="0" w:line="11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Eastern region operating income increased $1.3 million in fiscal year 2021 from the prior year. Excluding the impact of the Southbridge Landfill closure charge, environmental remediation charge and the expense from acquisition activities, our operating performance in fiscal year 2021 improved as a result of revenue growth, inclusive of inter-company revenues, more than offsetting the following cost impacts discussed below.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$41.9 million in fiscal year 2021 from the prior year due to:</w:t>
      </w:r>
    </w:p>
    <w:p>
      <w:pPr>
        <w:spacing w:after="0" w:line="59" w:lineRule="exact"/>
        <w:rPr>
          <w:sz w:val="20"/>
          <w:szCs w:val="20"/>
          <w:color w:val="auto"/>
        </w:rPr>
      </w:pPr>
    </w:p>
    <w:p>
      <w:pPr>
        <w:ind w:left="480" w:right="500" w:hanging="314"/>
        <w:spacing w:after="0" w:line="296" w:lineRule="auto"/>
        <w:tabs>
          <w:tab w:leader="none" w:pos="4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higher disposal, hauling and transportation costs associated with increased solid waste volumes on acquisition activity as well as organic growth associated with increased demand for services due to increased activity associated with the economic recovery;</w:t>
      </w:r>
    </w:p>
    <w:p>
      <w:pPr>
        <w:spacing w:after="0" w:line="36" w:lineRule="exact"/>
        <w:rPr>
          <w:rFonts w:ascii="Arial" w:cs="Arial" w:eastAsia="Arial" w:hAnsi="Arial"/>
          <w:sz w:val="17"/>
          <w:szCs w:val="17"/>
          <w:color w:val="auto"/>
        </w:rPr>
      </w:pPr>
    </w:p>
    <w:p>
      <w:pPr>
        <w:ind w:left="480" w:hanging="314"/>
        <w:spacing w:after="0" w:line="233" w:lineRule="auto"/>
        <w:tabs>
          <w:tab w:leader="none" w:pos="475" w:val="left"/>
        </w:tabs>
        <w:numPr>
          <w:ilvl w:val="0"/>
          <w:numId w:val="24"/>
        </w:numPr>
        <w:rPr>
          <w:rFonts w:ascii="Arial" w:cs="Arial" w:eastAsia="Arial" w:hAnsi="Arial"/>
          <w:sz w:val="21"/>
          <w:szCs w:val="21"/>
          <w:color w:val="auto"/>
        </w:rPr>
      </w:pPr>
      <w:r>
        <w:rPr>
          <w:rFonts w:ascii="Arial" w:cs="Arial" w:eastAsia="Arial" w:hAnsi="Arial"/>
          <w:sz w:val="18"/>
          <w:szCs w:val="18"/>
          <w:color w:val="auto"/>
        </w:rPr>
        <w:t>higher direct labor costs due to wage inflation in our markets, increased overtime on business growth, higher health insurance costs and higher workers compensation costs on claims activity;</w:t>
      </w:r>
    </w:p>
    <w:p>
      <w:pPr>
        <w:spacing w:after="0" w:line="43" w:lineRule="exact"/>
        <w:rPr>
          <w:rFonts w:ascii="Arial" w:cs="Arial" w:eastAsia="Arial" w:hAnsi="Arial"/>
          <w:sz w:val="21"/>
          <w:szCs w:val="21"/>
          <w:color w:val="auto"/>
        </w:rPr>
      </w:pPr>
    </w:p>
    <w:p>
      <w:pPr>
        <w:ind w:left="480" w:hanging="314"/>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higher direct operational costs due to increased landfill operating costs on volume growth, partially offset by lower equipment operating lease expense;</w:t>
      </w:r>
    </w:p>
    <w:p>
      <w:pPr>
        <w:spacing w:after="0" w:line="81" w:lineRule="exact"/>
        <w:rPr>
          <w:rFonts w:ascii="Arial" w:cs="Arial" w:eastAsia="Arial" w:hAnsi="Arial"/>
          <w:sz w:val="16"/>
          <w:szCs w:val="16"/>
          <w:color w:val="auto"/>
        </w:rPr>
      </w:pPr>
    </w:p>
    <w:p>
      <w:pPr>
        <w:ind w:left="480" w:hanging="31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fleet and facility maintenance costs, including operational support costs, on increased demand and acquisition activity;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fuel costs on higher volumes and higher fuel prices.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$6.7 million in fiscal year 2021 due to increased overhead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wage inflation, human resources costs to attract, train and retain employees and business growth, and higher equity compensation costs and accrued incentive compensation on improved performance.</w:t>
      </w:r>
    </w:p>
    <w:p>
      <w:pPr>
        <w:spacing w:after="0" w:line="8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$7.9 million in fiscal year 2021 due to increased investments in our fleet</w:t>
      </w:r>
      <w:r>
        <w:rPr>
          <w:rFonts w:ascii="Arial" w:cs="Arial" w:eastAsia="Arial" w:hAnsi="Arial"/>
          <w:sz w:val="18"/>
          <w:szCs w:val="18"/>
          <w:i w:val="1"/>
          <w:iCs w:val="1"/>
          <w:color w:val="auto"/>
        </w:rPr>
        <w:t xml:space="preserve"> </w:t>
      </w:r>
      <w:r>
        <w:rPr>
          <w:rFonts w:ascii="Arial" w:cs="Arial" w:eastAsia="Arial" w:hAnsi="Arial"/>
          <w:sz w:val="18"/>
          <w:szCs w:val="18"/>
          <w:color w:val="auto"/>
        </w:rPr>
        <w:t>and acquisition activity, and higher landfill amortization expense primarily on higher landfill volumes and changes to cost estimates and other assumptions from prior year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Region</w:t>
      </w:r>
    </w:p>
    <w:p>
      <w:pPr>
        <w:spacing w:after="0" w:line="1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Western region operating income increased $6.3 million in fiscal year 2021 from the prior year. Excluding the impact of expense from acquisition activities, our operating performance in fiscal year 2021 improved as a result of revenue growth, inclusive of inter-company revenues, more than offsetting the following cost impacts discussed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$29.2 million in fiscal year 2021 from the prior year as a result of the following:</w:t>
      </w:r>
    </w:p>
    <w:p>
      <w:pPr>
        <w:spacing w:after="0" w:line="59" w:lineRule="exact"/>
        <w:rPr>
          <w:sz w:val="20"/>
          <w:szCs w:val="20"/>
          <w:color w:val="auto"/>
        </w:rPr>
      </w:pPr>
    </w:p>
    <w:p>
      <w:pPr>
        <w:ind w:left="480" w:right="500" w:hanging="314"/>
        <w:spacing w:after="0" w:line="293" w:lineRule="auto"/>
        <w:tabs>
          <w:tab w:leader="none" w:pos="4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higher disposal, hauling and transportation costs associated with increased solid waste volumes on acquisition activity as well as organic growth associated with increased demand for services due to increased activity associated with the economic recovery;</w:t>
      </w:r>
    </w:p>
    <w:p>
      <w:pPr>
        <w:spacing w:after="0" w:line="1" w:lineRule="exact"/>
        <w:rPr>
          <w:rFonts w:ascii="Arial" w:cs="Arial" w:eastAsia="Arial" w:hAnsi="Arial"/>
          <w:sz w:val="17"/>
          <w:szCs w:val="17"/>
          <w:color w:val="auto"/>
        </w:rPr>
      </w:pPr>
    </w:p>
    <w:p>
      <w:pPr>
        <w:ind w:left="480" w:hanging="314"/>
        <w:spacing w:after="0" w:line="266" w:lineRule="auto"/>
        <w:tabs>
          <w:tab w:leader="none" w:pos="4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direct labor costs due to wage inflation in our markets, increased overtime on business growth, higher health insurance costs and higher workers compensation costs on claims activity;</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fleet and facility maintenance costs, including operational support costs, on increased demand and acquisition activity;</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right="20" w:hanging="314"/>
        <w:spacing w:after="0" w:line="266" w:lineRule="auto"/>
        <w:tabs>
          <w:tab w:leader="none" w:pos="4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direct operational costs due to increased landfill operating costs, including host community and royalty fees, partially offset by lower equipment operating lease expense; and</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fuel costs on higher volumes and higher fuel prices.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$8.2 million in fiscal year 2021 due to increased overhead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wage inflation, human resources costs to attract, train and retain employees and business growth, and higher equity compensation costs and accrued incentive compensation on improved performance.</w:t>
      </w:r>
    </w:p>
    <w:p>
      <w:pPr>
        <w:spacing w:after="0" w:line="8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$4.6 million in fiscal year 2021 due to higher depreciation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increased investments in our fleet and acquisition activity, and higher landfill amortization expense on higher landfill volumes at certain of our landfills and changes to cost estimates and other assumptions from prior year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w:t>
      </w:r>
    </w:p>
    <w:p>
      <w:pPr>
        <w:spacing w:after="0" w:line="112"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Operating income increased $10.2 million in fiscal year 2021 driven by revenue growth, inclusive of inter-company revenues, more than offsetting the following cost changes: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Cost of operations: </w:t>
      </w:r>
      <w:r>
        <w:rPr>
          <w:rFonts w:ascii="Arial" w:cs="Arial" w:eastAsia="Arial" w:hAnsi="Arial"/>
          <w:sz w:val="18"/>
          <w:szCs w:val="18"/>
          <w:color w:val="auto"/>
        </w:rPr>
        <w:t>Cost of operations increased $17.3 million in fiscal year 2021 due to: increased hauling, disposal and transportation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 higher commodity and other processing volumes, higher non-processing volumes associated with our brokerage operations with high pass through of direct costs; and higher facility operation support costs; partially offset by lower third-party disposal costs on the internalization of more non-processing volumes.</w:t>
      </w:r>
    </w:p>
    <w:p>
      <w:pPr>
        <w:spacing w:after="0" w:line="85"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General and administration: </w:t>
      </w:r>
      <w:r>
        <w:rPr>
          <w:rFonts w:ascii="Arial" w:cs="Arial" w:eastAsia="Arial" w:hAnsi="Arial"/>
          <w:sz w:val="18"/>
          <w:szCs w:val="18"/>
          <w:color w:val="auto"/>
        </w:rPr>
        <w:t>General and administration increased $1.5 million due to higher accrued incentive compensation costs on improved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higher labor, benefit and other service costs on business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December 22, 2021, we entered into an amended and restated credit agreement ("Amended and Restated Credit Agreement") which provides for a $350.0 million aggregate principal amount term loan A facility ("Term Loan Facility") and a $300.0 million revolving line of credit facility, with a $75.0 million sublimit for letters of credit ("Revolving Credit Facility" and, together with the Term Loan Facility, the "Credit Facility"). We have $271.9 million of undrawn capacity from our Revolving Credit Facility") and $33.8 million of cash and cash equivalents as of December 31, 2021 to help meet our short-term and long-term liquidity needs.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shd w:val="clear" w:color="auto" w:fill="CCEEFF"/>
          </w:tcPr>
          <w:p>
            <w:pPr>
              <w:ind w:left="340"/>
              <w:spacing w:after="0" w:line="200" w:lineRule="exact"/>
              <w:rPr>
                <w:sz w:val="20"/>
                <w:szCs w:val="20"/>
                <w:color w:val="auto"/>
              </w:rPr>
            </w:pPr>
            <w:r>
              <w:rPr>
                <w:rFonts w:ascii="Arial" w:cs="Arial" w:eastAsia="Arial" w:hAnsi="Arial"/>
                <w:sz w:val="18"/>
                <w:szCs w:val="18"/>
                <w:color w:val="auto"/>
              </w:rPr>
              <w:t>Restricted investments securities - landfill closure</w:t>
            </w:r>
          </w:p>
        </w:tc>
        <w:tc>
          <w:tcPr>
            <w:tcW w:w="8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5"/>
              <w:spacing w:after="0" w:line="200"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1"/>
              <w:spacing w:after="0" w:line="200"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Non-current portion</w:t>
            </w:r>
          </w:p>
        </w:tc>
        <w:tc>
          <w:tcPr>
            <w:tcW w:w="8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 debt</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7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72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4"/>
              </w:rPr>
              <w:t>Fiscal Year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cash provided by operating activities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(293.2)</w:t>
            </w:r>
          </w:p>
        </w:tc>
        <w:tc>
          <w:tcPr>
            <w:tcW w:w="100" w:type="dxa"/>
            <w:vAlign w:val="bottom"/>
          </w:tcPr>
          <w:p>
            <w:pPr>
              <w:spacing w:after="0"/>
              <w:rPr>
                <w:sz w:val="19"/>
                <w:szCs w:val="19"/>
                <w:color w:val="auto"/>
              </w:rPr>
            </w:pP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(140.0)</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23"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Fiscal Year Ended</w:t>
      </w: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0"/>
        </w:trPr>
        <w:tc>
          <w:tcPr>
            <w:tcW w:w="8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Loss on sale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Southbridge Landfill non-cash closure (credit) charge,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8260" w:type="dxa"/>
            <w:vAlign w:val="bottom"/>
          </w:tcPr>
          <w:p>
            <w:pPr>
              <w:ind w:left="340"/>
              <w:spacing w:after="0"/>
              <w:rPr>
                <w:sz w:val="20"/>
                <w:szCs w:val="20"/>
                <w:color w:val="auto"/>
              </w:rPr>
            </w:pPr>
            <w:r>
              <w:rPr>
                <w:rFonts w:ascii="Arial" w:cs="Arial" w:eastAsia="Arial" w:hAnsi="Arial"/>
                <w:sz w:val="18"/>
                <w:szCs w:val="18"/>
                <w:color w:val="auto"/>
              </w:rPr>
              <w:t>Non-cash expense from acquisition activities and other items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 charge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20"/>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44"/>
        </w:trPr>
        <w:tc>
          <w:tcPr>
            <w:tcW w:w="826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 xml:space="preserve">Net cash provided by operating activities increased $42.8 million in fiscal year 2021 as compared to fiscal year 2020. This was the result of improved operational performance combined with the favorable cash flow impact associated with the changes in our assets and liabilities, net of effects of acquisitions and divestitures. For discussion of our improved operational performance in fiscal year 2021 as compared to fiscal year 2020, see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included in this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The favorable cash flow impact associated with the changes in our assets and liabilities, net of effects of acquisitions and divestitures, which are affected by both cost changes and the timing of payments, in fiscal year 2021 as compared to fiscal year 2020 was due primarily to the following:</w:t>
      </w:r>
    </w:p>
    <w:p>
      <w:pPr>
        <w:spacing w:after="0" w:line="20" w:lineRule="exact"/>
        <w:rPr>
          <w:sz w:val="20"/>
          <w:szCs w:val="20"/>
          <w:color w:val="auto"/>
        </w:rPr>
      </w:pPr>
    </w:p>
    <w:p>
      <w:pPr>
        <w:ind w:left="480" w:right="460" w:hanging="314"/>
        <w:spacing w:after="0" w:line="296" w:lineRule="auto"/>
        <w:tabs>
          <w:tab w:leader="none" w:pos="4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$29.1 million favorable impact to operating cash flows associated with the change in accounts payable based on increased activity, primarily on acquisitions, differences in the timing of payments and a slightly higher days payable outstanding; partially offset by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hanging="314"/>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$(13.2) million unfavorable impact to operating cash flows associated with the change in accounts receivable; and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$(5.1) million unfavorable impact to operating cash flows associated with the change in prepaid expenses, inventories and other assets.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2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Fiscal Year Ended</w:t>
      </w: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0"/>
        </w:trPr>
        <w:tc>
          <w:tcPr>
            <w:tcW w:w="8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9"/>
        </w:trPr>
        <w:tc>
          <w:tcPr>
            <w:tcW w:w="8260" w:type="dxa"/>
            <w:vAlign w:val="bottom"/>
          </w:tcPr>
          <w:p>
            <w:pPr>
              <w:ind w:left="20"/>
              <w:spacing w:after="0" w:line="205" w:lineRule="exact"/>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In fiscal year 2021, we acquired ten businesses for total consideration of $171.7 million, including $166.5 million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$1.3 million in cash held in escrow accounts as holdbacks to sellers, and paid $2.9 million in holdback payments on businesses previously acquired, as compared to fiscal year 2020, during which we acquired ten businesses for total consideration of $33.5 million, including $29.0 million in cash, and paid $3.5 million in holdback payments on businesses previously acquired.</w:t>
      </w:r>
    </w:p>
    <w:p>
      <w:pPr>
        <w:spacing w:after="0" w:line="8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$15.3 million higher in fiscal year 2021 as compared to fiscal year 2020 primarily due to timing differences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following items:</w:t>
      </w:r>
    </w:p>
    <w:p>
      <w:pPr>
        <w:spacing w:after="0" w:line="73" w:lineRule="exact"/>
        <w:rPr>
          <w:sz w:val="20"/>
          <w:szCs w:val="20"/>
          <w:color w:val="auto"/>
        </w:rPr>
      </w:pPr>
    </w:p>
    <w:p>
      <w:pPr>
        <w:ind w:left="480" w:hanging="314"/>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$9.1 million in higher growth capital expenditures related primarily to investments to support business growth;</w:t>
      </w:r>
    </w:p>
    <w:p>
      <w:pPr>
        <w:spacing w:after="0" w:line="112" w:lineRule="exact"/>
        <w:rPr>
          <w:rFonts w:ascii="Arial" w:cs="Arial" w:eastAsia="Arial" w:hAnsi="Arial"/>
          <w:sz w:val="18"/>
          <w:szCs w:val="18"/>
          <w:color w:val="auto"/>
        </w:rPr>
      </w:pPr>
    </w:p>
    <w:p>
      <w:pPr>
        <w:ind w:left="480" w:right="140" w:hanging="314"/>
        <w:spacing w:after="0" w:line="266" w:lineRule="auto"/>
        <w:tabs>
          <w:tab w:leader="none" w:pos="4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$8.8 million in higher replacement capital expenditures as additional capital spend on vehicles, machinery, equipment and containers more than offset lower capital spend on landfill development; and</w:t>
      </w:r>
    </w:p>
    <w:p>
      <w:pPr>
        <w:spacing w:after="0" w:line="73" w:lineRule="exact"/>
        <w:rPr>
          <w:rFonts w:ascii="Arial" w:cs="Arial" w:eastAsia="Arial" w:hAnsi="Arial"/>
          <w:sz w:val="18"/>
          <w:szCs w:val="18"/>
          <w:color w:val="auto"/>
        </w:rPr>
      </w:pPr>
    </w:p>
    <w:p>
      <w:pPr>
        <w:ind w:left="480" w:right="120" w:hanging="314"/>
        <w:spacing w:after="0" w:line="256" w:lineRule="auto"/>
        <w:tabs>
          <w:tab w:leader="none" w:pos="4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$2.8 million in higher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 partially offset by</w:t>
      </w:r>
    </w:p>
    <w:p>
      <w:pPr>
        <w:spacing w:after="0" w:line="82" w:lineRule="exact"/>
        <w:rPr>
          <w:rFonts w:ascii="Arial" w:cs="Arial" w:eastAsia="Arial" w:hAnsi="Arial"/>
          <w:sz w:val="18"/>
          <w:szCs w:val="18"/>
          <w:color w:val="auto"/>
        </w:rPr>
      </w:pPr>
    </w:p>
    <w:p>
      <w:pPr>
        <w:ind w:left="480" w:right="140" w:hanging="314"/>
        <w:spacing w:after="0" w:line="296" w:lineRule="auto"/>
        <w:tabs>
          <w:tab w:leader="none" w:pos="4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$(5.5) million in lower capital expenditures associated with the integration of newly acquired operations, which includes planned capital expenditures following an acquisition, as well as non-routine development investments that are expected to provide long-term returns.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23"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Fiscal Year Ended</w:t>
      </w: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07"/>
        </w:trPr>
        <w:tc>
          <w:tcPr>
            <w:tcW w:w="8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Proceeds from debt borrowings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the exercise of share-based awards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public offering of Class A Common Stock</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r>
      <w:tr>
        <w:trPr>
          <w:trHeight w:val="205"/>
        </w:trPr>
        <w:tc>
          <w:tcPr>
            <w:tcW w:w="8260" w:type="dxa"/>
            <w:vAlign w:val="bottom"/>
          </w:tcPr>
          <w:p>
            <w:pPr>
              <w:ind w:left="20"/>
              <w:spacing w:after="0" w:line="205" w:lineRule="exact"/>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151.0</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59" w:lineRule="exact"/>
        <w:rPr>
          <w:sz w:val="20"/>
          <w:szCs w:val="20"/>
          <w:color w:val="auto"/>
        </w:rPr>
      </w:pPr>
    </w:p>
    <w:p>
      <w:pPr>
        <w:jc w:val="both"/>
        <w:ind w:right="320"/>
        <w:spacing w:after="0" w:line="303" w:lineRule="auto"/>
        <w:rPr>
          <w:sz w:val="20"/>
          <w:szCs w:val="20"/>
          <w:color w:val="auto"/>
        </w:rPr>
      </w:pPr>
      <w:r>
        <w:rPr>
          <w:rFonts w:ascii="Arial" w:cs="Arial" w:eastAsia="Arial" w:hAnsi="Arial"/>
          <w:sz w:val="16"/>
          <w:szCs w:val="16"/>
          <w:i w:val="1"/>
          <w:iCs w:val="1"/>
          <w:color w:val="auto"/>
        </w:rPr>
        <w:t>Debt activity</w:t>
      </w:r>
      <w:r>
        <w:rPr>
          <w:rFonts w:ascii="Arial" w:cs="Arial" w:eastAsia="Arial" w:hAnsi="Arial"/>
          <w:sz w:val="16"/>
          <w:szCs w:val="16"/>
          <w:color w:val="auto"/>
        </w:rPr>
        <w:t>. Net cash associated with debt activity decreased $(14.2) million in fiscal year 2021 compared to fiscal year 2020. The decrease in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is related to our strong cash position in fiscal year 2021, combined with the issuance of New York State Environmental Facilities Corporation Solid Waste Disposal Revenue Bonds Series 2020 ("New York Bonds 2020") and the pay down of our revolving credit facility in fiscal year 2020.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i w:val="1"/>
          <w:iCs w:val="1"/>
          <w:color w:val="auto"/>
        </w:rPr>
        <w:t xml:space="preserve">Payments of debt issuance costs. </w:t>
      </w:r>
      <w:r>
        <w:rPr>
          <w:rFonts w:ascii="Arial" w:cs="Arial" w:eastAsia="Arial" w:hAnsi="Arial"/>
          <w:sz w:val="17"/>
          <w:szCs w:val="17"/>
          <w:color w:val="auto"/>
        </w:rPr>
        <w:t>We paid $3.7 million of debt issuance costs in fiscal year 2021 related to the refinancing of our credit facility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$1.5 million in fiscal year 2020 related to the issuance of $40.0 million aggregate principal amount of New York Bonds 2020.</w:t>
      </w:r>
    </w:p>
    <w:p>
      <w:pPr>
        <w:spacing w:after="0" w:line="5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Proceeds from the public offering of Class A Common Stock. </w:t>
      </w:r>
      <w:r>
        <w:rPr>
          <w:rFonts w:ascii="Arial" w:cs="Arial" w:eastAsia="Arial" w:hAnsi="Arial"/>
          <w:sz w:val="16"/>
          <w:szCs w:val="16"/>
          <w:color w:val="auto"/>
        </w:rPr>
        <w:t>In fiscal year 2020, we completed a public offering of 2.7 million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at a public offering price of $56.00 per share. The offering resulted in net proceeds to us of $144.8 million, after deducting underwriting discounts, commissions and offering expenses. The net proceeds from the offering were used for general corporate purposes, including acquisitions or development of new operations or assets with the goal of complementing or expanding our business, and for working capital and capital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2021, we entered into an Amended and Restated Credit Agreement, which provides for a $350.0 million aggregate principal amount Term</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Loan Facility and a $300.0 million Revolving Credit Facility, with a $75.0 million sublimit for letters of credit. The previous credit agreement included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$347.4 million aggregate principal amount of outstanding term loan and a revolving line of credit facility that had not been borrowed against at the time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amendment. The incremental proceeds from this transaction were used to pay related transaction expenses. We have the right to request, at our discretion, an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increase in the amount of loans under the Credit Facility by an aggregate amount of $125.0 million, subject to the terms and conditions set forth in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Credit Agreement.</w:t>
      </w:r>
    </w:p>
    <w:p>
      <w:pPr>
        <w:spacing w:after="0" w:line="10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Credit Facility has a 5-year term that matures in December 2026 and bears interest at a rate of LIBOR plus 1.375% per annum, which will be reduced to a rate of LIBOR plus as low as 1.125% upon us reaching a consolidated net leverage ratio of less than 2.25x. The Credit Facility contains customary benchmark replacement provisions pursuant to which, upon certain triggering events, the LIBOR benchmark used to calculate the LIBOR rate will be replaced with a secured overnight financing rate, as adjusted, on the terms and conditions in the Credit Facility. The Credit Facility is guaranteed jointly and severally, fully and unconditionally by all of our significant wholly-owned subsidiaries and secured by substantially all of our assets. As of December 31, 2021, further advances were available under the Credit Facility in the amount of $271.9 million. The available amount is net of outstanding irrevocable letters of credit totaling $28.1 million, at which date no amount had been drawn.</w:t>
      </w:r>
    </w:p>
    <w:p>
      <w:pPr>
        <w:spacing w:after="0" w:line="7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Amended and Restated Credit Agreement requires us to maintain a minimum interest coverage ratio and a maximum consolidated net leverage ratio, to be measured at the end of each fiscal quarter. As of December 31, 2021, we were in compliance with all financial covenants contained in the Amended and Restated Credit Agreement as follows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Credit Facility Covenant</w:t>
            </w:r>
          </w:p>
        </w:tc>
        <w:tc>
          <w:tcPr>
            <w:tcW w:w="100" w:type="dxa"/>
            <w:vAlign w:val="bottom"/>
            <w:vMerge w:val="restart"/>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Fiscal Year Ended December</w:t>
            </w:r>
          </w:p>
        </w:tc>
        <w:tc>
          <w:tcPr>
            <w:tcW w:w="2280" w:type="dxa"/>
            <w:vAlign w:val="bottom"/>
          </w:tcPr>
          <w:p>
            <w:pPr>
              <w:jc w:val="right"/>
              <w:ind w:right="260"/>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85"/>
        </w:trPr>
        <w:tc>
          <w:tcPr>
            <w:tcW w:w="6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31, 2021</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5"/>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Minimum interest coverage ratio</w:t>
            </w:r>
          </w:p>
        </w:tc>
        <w:tc>
          <w:tcPr>
            <w:tcW w:w="184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hanging="314"/>
        <w:spacing w:after="0" w:line="301" w:lineRule="auto"/>
        <w:tabs>
          <w:tab w:leader="none" w:pos="472" w:val="left"/>
        </w:tabs>
        <w:numPr>
          <w:ilvl w:val="0"/>
          <w:numId w:val="30"/>
        </w:numPr>
        <w:rPr>
          <w:rFonts w:ascii="Arial" w:cs="Arial" w:eastAsia="Arial" w:hAnsi="Arial"/>
          <w:sz w:val="12"/>
          <w:szCs w:val="12"/>
          <w:color w:val="auto"/>
        </w:rPr>
      </w:pPr>
      <w:r>
        <w:rPr>
          <w:rFonts w:ascii="Arial" w:cs="Arial" w:eastAsia="Arial" w:hAnsi="Arial"/>
          <w:sz w:val="15"/>
          <w:szCs w:val="15"/>
          <w:color w:val="auto"/>
        </w:rPr>
        <w:t>The maximum consolidated net leverage ratio is calculated as consolidated funded debt, net of unencumbered cash and cash equivalents in excess of $2.0 million and up to $100.0 million (calculated at $530.8 million as of December 31, 2021, or $562.6 million of consolidated funded debt less $31.8 million of cash and cash equivalents in excess of $2.0 million and up to $100.0 million as of December 31, 2021), divided by consolidated EBITDA. Consolidated EBITDA is based on operating results for the twelve months preceding the measurement date of December 31, 2021. Consolidated funded debt, net of unencumbered cash and cash equivalents in excess of $2.0 million and up to $100.0 million, and consolidated EBITDA as defined by the Amended and Restated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Consolidated EBITDA is as follows (in millions):</w:t>
      </w:r>
    </w:p>
    <w:p>
      <w:pPr>
        <w:sectPr>
          <w:pgSz w:w="11900" w:h="16838" w:orient="portrait"/>
          <w:cols w:equalWidth="0" w:num="1">
            <w:col w:w="11220"/>
          </w:cols>
          <w:pgMar w:left="320" w:top="118" w:right="359" w:bottom="1440" w:gutter="0" w:footer="0" w:header="0"/>
        </w:sectPr>
      </w:pPr>
    </w:p>
    <w:p>
      <w:pPr>
        <w:spacing w:after="0" w:line="3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-131445</wp:posOffset>
            </wp:positionV>
            <wp:extent cx="6459220" cy="151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59220" cy="151765"/>
                    </a:xfrm>
                    <a:prstGeom prst="rect">
                      <a:avLst/>
                    </a:prstGeom>
                    <a:noFill/>
                  </pic:spPr>
                </pic:pic>
              </a:graphicData>
            </a:graphic>
          </wp:anchor>
        </w:drawing>
      </w:r>
    </w:p>
    <w:p>
      <w:pPr>
        <w:spacing w:after="0" w:line="12" w:lineRule="exact"/>
        <w:rPr>
          <w:sz w:val="20"/>
          <w:szCs w:val="20"/>
          <w:color w:val="auto"/>
        </w:rPr>
      </w:pPr>
    </w:p>
    <w:p>
      <w:pPr>
        <w:ind w:left="180" w:right="2120"/>
        <w:spacing w:after="0" w:line="262" w:lineRule="auto"/>
        <w:rPr>
          <w:sz w:val="20"/>
          <w:szCs w:val="20"/>
          <w:color w:val="auto"/>
        </w:rPr>
      </w:pPr>
      <w:r>
        <w:rPr>
          <w:rFonts w:ascii="Arial" w:cs="Arial" w:eastAsia="Arial" w:hAnsi="Arial"/>
          <w:sz w:val="18"/>
          <w:szCs w:val="18"/>
          <w:color w:val="auto"/>
        </w:rPr>
        <w:t>Changes in assets and liabilities, net of effects of acquisitions and divestitures Loss on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-143510</wp:posOffset>
            </wp:positionV>
            <wp:extent cx="6459220" cy="143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Non-cash expense from acquisition activities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Environmental remediation charge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Operating lease right-of-use assets expense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Southbridge Landfill non-cash closure charge,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expense, less amortization of debt issuance costs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income taxes, net of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Adjustments as allowed by the Credit Agreement</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Consolidated EBITDA</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3"/>
          <w:szCs w:val="13"/>
          <w:b w:val="1"/>
          <w:bCs w:val="1"/>
          <w:color w:val="auto"/>
        </w:rPr>
        <w:t>Twelve Months Ended December</w:t>
      </w:r>
    </w:p>
    <w:p>
      <w:pPr>
        <w:ind w:left="960"/>
        <w:spacing w:after="0"/>
        <w:rPr>
          <w:sz w:val="20"/>
          <w:szCs w:val="20"/>
          <w:color w:val="auto"/>
        </w:rPr>
      </w:pPr>
      <w:r>
        <w:rPr>
          <w:rFonts w:ascii="Arial" w:cs="Arial" w:eastAsia="Arial" w:hAnsi="Arial"/>
          <w:sz w:val="14"/>
          <w:szCs w:val="14"/>
          <w:b w:val="1"/>
          <w:bCs w:val="1"/>
          <w:color w:val="auto"/>
        </w:rPr>
        <w:t>31, 2021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6"/>
        </w:trPr>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6"/>
        </w:trPr>
        <w:tc>
          <w:tcPr>
            <w:tcW w:w="3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20"/>
        </w:trPr>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r>
      <w:tr>
        <w:trPr>
          <w:trHeight w:val="20"/>
        </w:trPr>
        <w:tc>
          <w:tcPr>
            <w:tcW w:w="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720"/>
            <w:col w:w="2680"/>
          </w:cols>
          <w:pgMar w:left="320" w:top="118" w:right="359" w:bottom="1440" w:gutter="0" w:footer="0" w:header="0"/>
          <w:type w:val="continuous"/>
        </w:sectPr>
      </w:pP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financial covenants, the Amended and Restated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December 31, 2021, we were in compliance with all covenants contained in the Amended and Restated Credit Agreement.</w:t>
      </w:r>
    </w:p>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tighten during these times as well.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218"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 xml:space="preserve">As of December 31, 2021, we had outstanding $162.0 aggregate principal amount of tax exempt bonds, $45.7 million aggregate principal amount of finance leases and $4.8 million aggregate principal amount of notes payable. See Note 11,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our consolidated financial statements included under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disclosure about debt.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table sets forth a summary of our significant contractual cash obligations (in thousands) as of December 31, 2021. These obligations are reflected in our balance sheet and include obligations with scheduled maturities, as well as significant obligations pertaining to accrued environmental remediation liabilities and final capping, closure and post-closure asset retirement obligations at our landfills. Accordingly, this table is not meant to represent a forecast of our total cash expenditures for any of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More than 5</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one year</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Debt</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19,485</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386,976</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562,570</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125,578</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Non-cancellable operating leases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Landfill operating lease contracts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65,791</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contributions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Environmental remediation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Final capping, closure and post-closure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249,860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line="205" w:lineRule="exact"/>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4"/>
                <w:szCs w:val="14"/>
                <w:color w:val="auto"/>
              </w:rPr>
              <w:t>(2)</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1,028,445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480" w:right="440" w:hanging="314"/>
        <w:spacing w:after="0" w:line="266" w:lineRule="auto"/>
        <w:tabs>
          <w:tab w:leader="none" w:pos="4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debt balances as of December 31, 2021. Interest obligations related to variable rate debt were calculated using variable rates in effect at December 31, 2021.</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Contractual cash obligations do not include accounts payable or accrued liabilities, which will be paid in the fiscal year ending December 31, 2022.</w:t>
      </w:r>
    </w:p>
    <w:p>
      <w:pPr>
        <w:spacing w:after="0" w:line="135"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 xml:space="preserve">We have no contractual obligations related to unrecognized tax benefits at December 31, 2021. For further description regarding contractual obligations, see Note 8, </w:t>
      </w:r>
      <w:r>
        <w:rPr>
          <w:rFonts w:ascii="Arial" w:cs="Arial" w:eastAsia="Arial" w:hAnsi="Arial"/>
          <w:sz w:val="16"/>
          <w:szCs w:val="16"/>
          <w:i w:val="1"/>
          <w:iCs w:val="1"/>
          <w:color w:val="auto"/>
        </w:rPr>
        <w:t>Leases</w:t>
      </w:r>
      <w:r>
        <w:rPr>
          <w:rFonts w:ascii="Arial" w:cs="Arial" w:eastAsia="Arial" w:hAnsi="Arial"/>
          <w:sz w:val="16"/>
          <w:szCs w:val="16"/>
          <w:color w:val="auto"/>
        </w:rPr>
        <w:t xml:space="preserv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16,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our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1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Inflationary increases in costs, including current inflationary pressures associated primarily with fuel, labor and certain capital item, have affected, and may continue to affect, our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18"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consolidated financial statements have been prepared in accordance with generally accepted accounting principles in the United States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However, even under optimal circumstances, estimates routinely require adjustments based on changing assumptions and circumstances, or new or better information becoming available. Accordingly, actual results may differ from these estimates under different assumptions and circumstances.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our consolidated financial statements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 xml:space="preserve">Landfill Development Costs. </w:t>
      </w:r>
      <w:r>
        <w:rPr>
          <w:rFonts w:ascii="Arial" w:cs="Arial" w:eastAsia="Arial" w:hAnsi="Arial"/>
          <w:sz w:val="17"/>
          <w:szCs w:val="17"/>
          <w:color w:val="auto"/>
        </w:rPr>
        <w:t>We estimate the total cost to develop each of our landfill sites to its remaining permitted and expansion capacity (see landfill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accounting policy more fully discussed in Note 3,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our consolidated financial statements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7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 The average amortization rate per ton for our landfills during fiscal year 2021 and 2020 was $7.03 and $7.06, respectively.</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Final Capping, Closure and Post-Closure Costs. </w:t>
      </w:r>
      <w:r>
        <w:rPr>
          <w:rFonts w:ascii="Arial" w:cs="Arial" w:eastAsia="Arial" w:hAnsi="Arial"/>
          <w:sz w:val="17"/>
          <w:szCs w:val="17"/>
          <w:color w:val="auto"/>
        </w:rPr>
        <w:t>The cost estimates for final capping, closure and post-closure activities at landfills for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responsibility are estimated based on our interpretations of current requirements and proposed or anticipated regulatory changes. 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 See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for further disclosure about final capping, closure and post-closure asset retirement costs, including revisions in estimates.</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82"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73" w:lineRule="exact"/>
        <w:rPr>
          <w:sz w:val="20"/>
          <w:szCs w:val="20"/>
          <w:color w:val="auto"/>
        </w:rPr>
      </w:pPr>
    </w:p>
    <w:p>
      <w:pPr>
        <w:ind w:left="480" w:hanging="31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right="160" w:hanging="314"/>
        <w:spacing w:after="0" w:line="266" w:lineRule="auto"/>
        <w:tabs>
          <w:tab w:leader="none" w:pos="4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7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 See Part I. Item 1, “</w:t>
      </w:r>
      <w:r>
        <w:rPr>
          <w:rFonts w:ascii="Arial" w:cs="Arial" w:eastAsia="Arial" w:hAnsi="Arial"/>
          <w:sz w:val="18"/>
          <w:szCs w:val="18"/>
          <w:i w:val="1"/>
          <w:iCs w:val="1"/>
          <w:color w:val="auto"/>
        </w:rPr>
        <w:t>Business</w:t>
      </w:r>
      <w:r>
        <w:rPr>
          <w:rFonts w:ascii="Arial" w:cs="Arial" w:eastAsia="Arial" w:hAnsi="Arial"/>
          <w:sz w:val="18"/>
          <w:szCs w:val="18"/>
          <w:color w:val="auto"/>
        </w:rPr>
        <w:t>” of this Annual Report on Form 10-K for more disclosure about permitted and permittable capacity at our landfills.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have recorded environmental remediation liabilities representing our estimate of the most likely outcome of the matters for which we have determined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that a liability is probable. These liabilities include potentially responsible party investigations, settlements, certain legal and consultant fees, as well as costs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directly associated with site investigation and clean up, such as materials and incremental internal costs directly related to the remedy. We provide for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expenses associated with environmental remediation obligations when such amounts are probable and can be reasonably estimated. We estimate costs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required to remediate sites where it is probable that a liability has been incurred based on site-specific facts and circumstances. Estimates of the cost for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likely remedy are developed using third-party environmental engineers or other service providers. Where we believe that both the amount of a particular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environmental remediation liability and timing of payments are reliably determinable, we inflate the cost in current dollars until the expected time of payment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discount the cost to present value. See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under Item 8,</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 for further disclosure about environmental remediation liabilities,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including revisions in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Credit Losses</w:t>
      </w:r>
    </w:p>
    <w:p>
      <w:pPr>
        <w:spacing w:after="0" w:line="11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charged to expense in fiscal year 2021 consider the current economic conditions and the potential impact to our customers’ ability to pay for services that we have provided. Our reserve is evaluated and revised on a monthly basis. Past due accounts receivable are written off when deemed to be uncollectible. See Note 6, </w:t>
      </w:r>
      <w:r>
        <w:rPr>
          <w:rFonts w:ascii="Arial" w:cs="Arial" w:eastAsia="Arial" w:hAnsi="Arial"/>
          <w:sz w:val="16"/>
          <w:szCs w:val="16"/>
          <w:i w:val="1"/>
          <w:iCs w:val="1"/>
          <w:color w:val="auto"/>
        </w:rPr>
        <w:t>Accounts Receivable, Net of Allowance for Credit Losses</w:t>
      </w:r>
      <w:r>
        <w:rPr>
          <w:rFonts w:ascii="Arial" w:cs="Arial" w:eastAsia="Arial" w:hAnsi="Arial"/>
          <w:sz w:val="16"/>
          <w:szCs w:val="16"/>
          <w:color w:val="auto"/>
        </w:rPr>
        <w:t xml:space="preserve"> to our consolidated financial statements under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of this Annual Report on Form 10-K for further disclosure about changes to the allowance for credit losses.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2021. As of October 1, 2021, our Eastern, Western, and Resource Solutions reporting units indicated that the fair value of each reporting unit exceeded its carrying amount, including goodwill. Furthermore, in each case the fair value of our Eastern, Western, and Resource Solutions reporting units exceeded its carrying value by in excess of 180.0%. We incurred no impairment of goodwill as a result of our annual goodwill impairment tests in fiscal years 2021 or 2020. However, there can be no assurance that goodwill will not be impaired at any time in the future.</w:t>
      </w:r>
    </w:p>
    <w:p>
      <w:pPr>
        <w:spacing w:after="0" w:line="8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Intangible assets consist primarily of covenants not-to-compete and customer relationships. Intangible assets are recorded at fair value and are amortized based on the economic benefit provided or using the straight-line method over their estimated useful lives. Covenants not-to-compete and customer relationships are typically amortized over a term of no more than 10 years. See Note 5, </w:t>
      </w:r>
      <w:r>
        <w:rPr>
          <w:rFonts w:ascii="Arial" w:cs="Arial" w:eastAsia="Arial" w:hAnsi="Arial"/>
          <w:sz w:val="18"/>
          <w:szCs w:val="18"/>
          <w:i w:val="1"/>
          <w:iCs w:val="1"/>
          <w:color w:val="auto"/>
        </w:rPr>
        <w:t>Business Combinations and Contingencies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further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Long-Lived Assets</w:t>
      </w:r>
    </w:p>
    <w:p>
      <w:pPr>
        <w:spacing w:after="0" w:line="11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identifiable intangible assets, and operating lease right-of-use assets. Events or changes in circumstances that may indicate that an asset may be impaired include the following:</w:t>
      </w:r>
    </w:p>
    <w:p>
      <w:pPr>
        <w:spacing w:after="0" w:line="18" w:lineRule="exact"/>
        <w:rPr>
          <w:sz w:val="20"/>
          <w:szCs w:val="20"/>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58" w:lineRule="exact"/>
        <w:rPr>
          <w:rFonts w:ascii="Arial" w:cs="Arial" w:eastAsia="Arial" w:hAnsi="Arial"/>
          <w:sz w:val="18"/>
          <w:szCs w:val="18"/>
          <w:color w:val="auto"/>
        </w:rPr>
      </w:pPr>
    </w:p>
    <w:p>
      <w:pPr>
        <w:ind w:left="480" w:right="60" w:hanging="314"/>
        <w:spacing w:after="0" w:line="266" w:lineRule="auto"/>
        <w:tabs>
          <w:tab w:leader="none" w:pos="4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70" w:lineRule="exact"/>
        <w:rPr>
          <w:rFonts w:ascii="Arial" w:cs="Arial" w:eastAsia="Arial" w:hAnsi="Arial"/>
          <w:sz w:val="17"/>
          <w:szCs w:val="17"/>
          <w:color w:val="auto"/>
        </w:rPr>
      </w:pPr>
    </w:p>
    <w:p>
      <w:pPr>
        <w:ind w:left="480" w:right="460" w:hanging="314"/>
        <w:spacing w:after="0" w:line="266" w:lineRule="auto"/>
        <w:tabs>
          <w:tab w:leader="none" w:pos="4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19" w:lineRule="exact"/>
        <w:rPr>
          <w:rFonts w:ascii="Arial" w:cs="Arial" w:eastAsia="Arial" w:hAnsi="Arial"/>
          <w:sz w:val="18"/>
          <w:szCs w:val="18"/>
          <w:color w:val="auto"/>
        </w:rPr>
      </w:pPr>
    </w:p>
    <w:p>
      <w:pPr>
        <w:ind w:left="480" w:right="40" w:hanging="314"/>
        <w:spacing w:after="0" w:line="266" w:lineRule="auto"/>
        <w:tabs>
          <w:tab w:leader="none" w:pos="4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 We incurred no impairment of long-lived assets in fiscal years 2021 or 2020. However, there can be no assurance that long-lived assets will not be impaired at any time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 and Related Costs</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are self-insured for vehicles and workers’ compensation with reinsurance coverage limiting our maximum exposure. Our maximum exposure in fiscal year 2021 under the workers’ compensation plan was $1.25 million per individual event. Our maximum exposure in fiscal year 2021 under the automobile plan was $3.65 million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 Our self-insurance reserves totaled $19.8 million and $16.9 million as of December 31, 2021 and December 31, 2020, respectively. Our estimated accruals for these liabilities could be significantly different than our ultimate obligations if variables such as the frequency or severity of future events differ significantly from our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5"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50"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under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 for further disclosure, including the effect of the valuation allowance release.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about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 See Note 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Note 14, </w:t>
      </w: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to our consolidated financial statements included under Item 8, "</w:t>
      </w:r>
      <w:r>
        <w:rPr>
          <w:rFonts w:ascii="Arial" w:cs="Arial" w:eastAsia="Arial" w:hAnsi="Arial"/>
          <w:sz w:val="16"/>
          <w:szCs w:val="16"/>
          <w:i w:val="1"/>
          <w:iCs w:val="1"/>
          <w:color w:val="auto"/>
        </w:rPr>
        <w:t>Financial Statement and Supplementary Data</w:t>
      </w:r>
      <w:r>
        <w:rPr>
          <w:rFonts w:ascii="Arial" w:cs="Arial" w:eastAsia="Arial" w:hAnsi="Arial"/>
          <w:sz w:val="16"/>
          <w:szCs w:val="16"/>
          <w:color w:val="auto"/>
        </w:rPr>
        <w: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 on Form 10-K for disclosure about contingent consideration accounted for under purchase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fair value of each stock option grant is estimated using a Black-Scholes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 See Note 13,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to our consolidated financial statements included under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this Annual Report on Form 10-K for further disclosure.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1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18" w:lineRule="exact"/>
        <w:rPr>
          <w:sz w:val="20"/>
          <w:szCs w:val="20"/>
          <w:color w:val="auto"/>
        </w:rPr>
      </w:pPr>
    </w:p>
    <w:p>
      <w:pPr>
        <w:ind w:right="480"/>
        <w:spacing w:after="0" w:line="296"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1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8" w:lineRule="exact"/>
        <w:rPr>
          <w:sz w:val="20"/>
          <w:szCs w:val="20"/>
          <w:color w:val="auto"/>
        </w:rPr>
      </w:pPr>
    </w:p>
    <w:p>
      <w:pPr>
        <w:jc w:val="both"/>
        <w:ind w:right="280"/>
        <w:spacing w:after="0" w:line="303" w:lineRule="auto"/>
        <w:rPr>
          <w:sz w:val="20"/>
          <w:szCs w:val="20"/>
          <w:color w:val="auto"/>
        </w:rPr>
      </w:pPr>
      <w:r>
        <w:rPr>
          <w:rFonts w:ascii="Arial" w:cs="Arial" w:eastAsia="Arial" w:hAnsi="Arial"/>
          <w:sz w:val="16"/>
          <w:szCs w:val="16"/>
          <w:color w:val="auto"/>
        </w:rPr>
        <w:t>As of December 31, 2021 and December 31, 2020, our active interest rate derivative agreements had a total notional amount of $195.0 million and $190.0 million, respectively. According to the terms of the agreements, we receive interest based on the 1-month LIBOR index, in some instances restricted by a 0.0% floor, and pay interest at a weighted average rate of approximately 2.51%. The agreements mature between February 2022 and December 2026.</w:t>
      </w:r>
    </w:p>
    <w:p>
      <w:pPr>
        <w:spacing w:after="0" w:line="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we have forward starting interest rate derivative agreements that replace active agreements with a total notional amount of $85.0 million that mature between February 2027 and May 2028. We will receive interest based on the 1-month LIBOR index, restricted by a 0.0% floor, and will pay interest at a weighted average rate of approximately 1.55%.</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December 31, 2021, we have $212.6 million of fixed rate debt as of December 31, 2021 in addition to the $195.0 million fixed through our interest rate derivative agreements. We had interest rate risk relating to approximately $155.0 million of long-term debt as of December 31, 2021. The weighted average interest rate on the variable rate portion of long-term debt was approximately 1.5% at December 31, 2021. Should the average interest rate on the variable rate portion of long-term debt change by 100 basis points, we estimate that our annual interest expense would change by up to approximately $1.6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1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Through our recycling operation, we market a variety of materials, including fibers such as old corrugated cardboard and old newsprint, plastics, glass, ferrous and aluminum metals. We may use a number of strategies to mitigate impacts from commodity price fluctuations including: (1) charging collection customers a floating SRA Fee to reduce recycling commodity risks; (2) in-bound material recovery facilities ("MRF") customers receiving a revenue share or indexed materials purchases in higher commodity price markets, or charging these same customers a processing cost or tipping fee per ton in lower commodity price markets; (3) selling recycling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December 31, 2021, we were not party to any commodity hedging agreements.</w:t>
      </w:r>
    </w:p>
    <w:p>
      <w:pPr>
        <w:spacing w:after="0" w:line="64"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Should commodity prices change by $10 per ton, we estimate that our annual operating income margin would change by approximately $1.3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19"/>
                <w:szCs w:val="19"/>
                <w:color w:val="auto"/>
              </w:rPr>
            </w:pPr>
          </w:p>
        </w:tc>
      </w:tr>
      <w:tr>
        <w:trPr>
          <w:trHeight w:val="427"/>
        </w:trPr>
        <w:tc>
          <w:tcPr>
            <w:tcW w:w="110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 (PCAOB ID: 49)</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Balance Sheets as of December 31, 2021 and December 31, 2020.</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Statements of Operations for the Fiscal Years Ended December 31, 2021, 2020 and 2019.</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Income for the Fiscal Years Ended December 31, 2021, 2020 and 2019.</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60</w:t>
              </w:r>
            </w:hyperlink>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 of Stockholders’ Equity (Deficit) for the Fiscal Years Ended December 31, 2021, 2020 and 2019.</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61</w:t>
              </w:r>
            </w:hyperlink>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the Fiscal Years Ended December 31, 2021, 2020 and 2019.</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62</w:t>
              </w:r>
            </w:hyperlink>
          </w:p>
        </w:tc>
      </w:tr>
      <w:tr>
        <w:trPr>
          <w:trHeight w:val="206"/>
        </w:trPr>
        <w:tc>
          <w:tcPr>
            <w:tcW w:w="110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63</w:t>
              </w:r>
            </w:hyperlink>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Casella Waste Systems,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1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audited the accompanying consolidated balance sheets of Casella Waste Systems, Inc. and subsidiaries (the Company) as of December 31, 2021 and 2020, and the related consolidated statements of operations, comprehensive income, stockholders' equity (deficit) and cash flows for each of the three years in the period ended December 31, 2021, and the related notes (collectively, the financial statements). We also have audited the Company’s internal control over financial reporting as of December 31, 2021, based on criteria established in Internal Control — Integrated Framework issued by the Committee of Sponsoring Organizations of the Treadway Commission in 2013.</w:t>
      </w:r>
    </w:p>
    <w:p>
      <w:pPr>
        <w:spacing w:after="0" w:line="7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2021 and 2020, and the results of their operations and their cash flows for each of the years in the three-year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issued by the Committee of Sponsoring Organizations of the Treadway Commission in 2013.</w:t>
      </w:r>
    </w:p>
    <w:p>
      <w:pPr>
        <w:spacing w:after="0" w:line="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discussed in Management’s Report on Internal Control Over Financial Reporting, management has excluded: Mark Wright Construction (Mark Wright); Willimantic Waste Paper Co., Inc. (Willimantic); Guard Contracting Corp., 3755 River Road LLC and Triad Recycling and Energy Corp., (collectively Triad); Union Transfer, LLC and 1700 Union Road, LLC (collectively Union); and Stateline Waste Management, LLC (Stateline), because they were acquired by the Company in purchase business combinations during the third and fourth quarters of 2021 and have not yet been fully incorporated into the Company’s internal controls over financial reporting. We have also excluded Mark Wright, Willimantic, Triad, Union, and Stateline from our report of internal controls over financial reporting. Collectively, Mark Wright, Willimantic, Triad, Union, and Stateline represent total assets and revenues of approximately 14% and 4%, respectively, of the related consolidated financial statement amounts as of and for the year ended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Landfill Accounting</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212529"/>
        </w:rPr>
        <w:t>As described in Note 3 of the consolidated financial statements, the Company capitalizes landfill acquisition and development costs and charges those costs to expense on a units-of-consumption method as landfill airspace is consumed. In addition, the Company accrues an asset retirement obligation for estimated capping, closure and post-closure costs related to its landfills. As described in Note 7 of the consolidated financial statements, as of December 31, 2021, the Company’s landfill assets totaled $677.0 million, and the associated amortization expense for the year ended December 31, 2021 was $30.3 million. As described in Note 10 of the consolidated financial statements, as of December 31, 2021, the Company estimated its accrued capping, closure and post-closure costs at $86.9 million. The landfill asset amortization and accrued capping, closure and post-closure costs are based on estimates of future cash flows, which require significant assumptions and estimates about the future operations and retirement of each landfill. Management estimates the costs and timing of expected future cash flows based on various assumptions at each individual landfill including:</w:t>
      </w:r>
    </w:p>
    <w:p>
      <w:pPr>
        <w:spacing w:after="0" w:line="13" w:lineRule="exact"/>
        <w:rPr>
          <w:sz w:val="20"/>
          <w:szCs w:val="20"/>
          <w:color w:val="auto"/>
        </w:rPr>
      </w:pPr>
    </w:p>
    <w:p>
      <w:pPr>
        <w:ind w:left="640" w:hanging="315"/>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future landfill development costs, as well as costs associated with the final capping, closure and post closure activities.</w:t>
      </w:r>
    </w:p>
    <w:p>
      <w:pPr>
        <w:spacing w:after="0" w:line="58" w:lineRule="exact"/>
        <w:rPr>
          <w:rFonts w:ascii="Arial" w:cs="Arial" w:eastAsia="Arial" w:hAnsi="Arial"/>
          <w:sz w:val="18"/>
          <w:szCs w:val="18"/>
          <w:color w:val="auto"/>
        </w:rPr>
      </w:pPr>
    </w:p>
    <w:p>
      <w:pPr>
        <w:ind w:left="640" w:right="80" w:hanging="315"/>
        <w:spacing w:after="0" w:line="26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212529"/>
        </w:rPr>
        <w:t>Remaining permitted and unpermitted expansion airspace, which is estimated by Company engineers, in consultation with third-party engineers and surveyors, who utilize annual aerial surveys.</w:t>
      </w:r>
    </w:p>
    <w:p>
      <w:pPr>
        <w:spacing w:after="0" w:line="19" w:lineRule="exact"/>
        <w:rPr>
          <w:rFonts w:ascii="Arial" w:cs="Arial" w:eastAsia="Arial" w:hAnsi="Arial"/>
          <w:sz w:val="18"/>
          <w:szCs w:val="18"/>
          <w:color w:val="auto"/>
        </w:rPr>
      </w:pPr>
    </w:p>
    <w:p>
      <w:pPr>
        <w:ind w:left="640" w:right="280" w:hanging="315"/>
        <w:spacing w:after="0" w:line="266"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212529"/>
        </w:rPr>
        <w:t>Compaction factors, or airspace utilization factors (AUF), which are estimated using a process that considers the measured density obtained from annual aerial surveys.</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212529"/>
        </w:rPr>
        <w:t>Inflation rates and the credit adjusted risk-free rate</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212529"/>
        </w:rPr>
        <w:t>We identified the Company’s landfill asset amortization expense and accrued capping, closure and post-closure costs as a critical audit matter because of the significant assumptions and judgments made by management. Auditing management’s assumptions and judgements involved a high degree of auditor judgment and increased audit effort due to the impact these assumptions have on the amounts recorded by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212529"/>
        </w:rPr>
        <w:t>Our audit procedures related to landfill asset amortization expense and accrued capping, closure and post-closure costs included the following, among others:</w:t>
      </w:r>
    </w:p>
    <w:p>
      <w:pPr>
        <w:spacing w:after="0" w:line="82" w:lineRule="exact"/>
        <w:rPr>
          <w:sz w:val="20"/>
          <w:szCs w:val="20"/>
          <w:color w:val="auto"/>
        </w:rPr>
      </w:pPr>
    </w:p>
    <w:p>
      <w:pPr>
        <w:ind w:left="640" w:right="160" w:hanging="315"/>
        <w:spacing w:after="0" w:line="300" w:lineRule="auto"/>
        <w:tabs>
          <w:tab w:leader="none" w:pos="635" w:val="left"/>
        </w:tabs>
        <w:numPr>
          <w:ilvl w:val="0"/>
          <w:numId w:val="36"/>
        </w:numPr>
        <w:rPr>
          <w:rFonts w:ascii="Arial" w:cs="Arial" w:eastAsia="Arial" w:hAnsi="Arial"/>
          <w:sz w:val="16"/>
          <w:szCs w:val="16"/>
          <w:color w:val="auto"/>
        </w:rPr>
      </w:pPr>
      <w:r>
        <w:rPr>
          <w:rFonts w:ascii="Arial" w:cs="Arial" w:eastAsia="Arial" w:hAnsi="Arial"/>
          <w:sz w:val="16"/>
          <w:szCs w:val="16"/>
          <w:color w:val="212529"/>
        </w:rPr>
        <w:t>We obtained an understanding of the relevant controls related to landfill asset amortization expense and accrued capping, closure and post-closure costs and tested such controls for design and operating effectiveness, including those over the determination of the appropriate credit adjusted risk-free and inflation rates, compaction factors, the amount and timing of expected future cash flows, and permitted and unpermitted airspace.</w:t>
      </w:r>
    </w:p>
    <w:p>
      <w:pPr>
        <w:spacing w:after="0" w:line="1" w:lineRule="exact"/>
        <w:rPr>
          <w:rFonts w:ascii="Arial" w:cs="Arial" w:eastAsia="Arial" w:hAnsi="Arial"/>
          <w:sz w:val="16"/>
          <w:szCs w:val="16"/>
          <w:color w:val="auto"/>
        </w:rPr>
      </w:pPr>
    </w:p>
    <w:p>
      <w:pPr>
        <w:ind w:left="640" w:right="180" w:hanging="315"/>
        <w:spacing w:after="0" w:line="266"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212529"/>
        </w:rPr>
        <w:t>We tested internal and external data used by management in the future cost estimates for both the calculation of landfill asset amortization expense rates and capping, closure and post-closure activities, by e</w:t>
      </w:r>
      <w:r>
        <w:rPr>
          <w:rFonts w:ascii="Arial" w:cs="Arial" w:eastAsia="Arial" w:hAnsi="Arial"/>
          <w:sz w:val="18"/>
          <w:szCs w:val="18"/>
          <w:color w:val="000000"/>
        </w:rPr>
        <w:t>valuating the reasons for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right="20"/>
        <w:spacing w:after="0" w:line="266" w:lineRule="auto"/>
        <w:rPr>
          <w:sz w:val="20"/>
          <w:szCs w:val="20"/>
          <w:color w:val="auto"/>
        </w:rPr>
      </w:pPr>
      <w:r>
        <w:rPr>
          <w:rFonts w:ascii="Arial" w:cs="Arial" w:eastAsia="Arial" w:hAnsi="Arial"/>
          <w:sz w:val="18"/>
          <w:szCs w:val="18"/>
          <w:color w:val="auto"/>
        </w:rPr>
        <w:t>significant changes in assumptions from historical trends and determined whether the change from the historical trend was appropriate and identified in the proper period.</w:t>
      </w:r>
    </w:p>
    <w:p>
      <w:pPr>
        <w:spacing w:after="0" w:line="20" w:lineRule="exact"/>
        <w:rPr>
          <w:sz w:val="20"/>
          <w:szCs w:val="20"/>
          <w:color w:val="auto"/>
        </w:rPr>
      </w:pPr>
    </w:p>
    <w:p>
      <w:pPr>
        <w:ind w:left="640" w:right="100" w:hanging="315"/>
        <w:spacing w:after="0" w:line="25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212529"/>
        </w:rPr>
        <w:t>We confirmed the landfill topography drawings and results of aerial surveys directly with the third-party engineers. We agreed relevant data outputs from the topography drawings, such as permitted and unpermitted expansion airspace, to the relevant data inputs in management’s estimates of future cash flows.</w:t>
      </w:r>
    </w:p>
    <w:p>
      <w:pPr>
        <w:spacing w:after="0" w:line="29" w:lineRule="exact"/>
        <w:rPr>
          <w:rFonts w:ascii="Arial" w:cs="Arial" w:eastAsia="Arial" w:hAnsi="Arial"/>
          <w:sz w:val="18"/>
          <w:szCs w:val="18"/>
          <w:color w:val="auto"/>
        </w:rPr>
      </w:pPr>
    </w:p>
    <w:p>
      <w:pPr>
        <w:ind w:left="640" w:right="60" w:hanging="315"/>
        <w:spacing w:after="0" w:line="26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212529"/>
        </w:rPr>
        <w:t xml:space="preserve">We compared remaining permitted airspace to issued permits and evaluated management’s determination of unpermitted expansion airspace through a comparison </w:t>
      </w:r>
      <w:r>
        <w:rPr>
          <w:rFonts w:ascii="Arial" w:cs="Arial" w:eastAsia="Arial" w:hAnsi="Arial"/>
          <w:sz w:val="18"/>
          <w:szCs w:val="18"/>
          <w:color w:val="000000"/>
        </w:rPr>
        <w:t>of airspace and annual aerial surveys</w:t>
      </w:r>
      <w:r>
        <w:rPr>
          <w:rFonts w:ascii="Arial" w:cs="Arial" w:eastAsia="Arial" w:hAnsi="Arial"/>
          <w:sz w:val="18"/>
          <w:szCs w:val="18"/>
          <w:color w:val="212529"/>
        </w:rPr>
        <w:t>.</w:t>
      </w:r>
    </w:p>
    <w:p>
      <w:pPr>
        <w:spacing w:after="0" w:line="19" w:lineRule="exact"/>
        <w:rPr>
          <w:rFonts w:ascii="Arial" w:cs="Arial" w:eastAsia="Arial" w:hAnsi="Arial"/>
          <w:sz w:val="18"/>
          <w:szCs w:val="18"/>
          <w:color w:val="auto"/>
        </w:rPr>
      </w:pPr>
    </w:p>
    <w:p>
      <w:pPr>
        <w:ind w:left="640" w:right="100" w:hanging="315"/>
        <w:spacing w:after="0" w:line="26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212529"/>
        </w:rPr>
        <w:t>We compared the results of the compaction factors calculated by aerial surveys to the factors utilized by management in the estimates of future cash flows.</w:t>
      </w:r>
    </w:p>
    <w:p>
      <w:pPr>
        <w:spacing w:after="0" w:line="19" w:lineRule="exact"/>
        <w:rPr>
          <w:rFonts w:ascii="Arial" w:cs="Arial" w:eastAsia="Arial" w:hAnsi="Arial"/>
          <w:sz w:val="18"/>
          <w:szCs w:val="18"/>
          <w:color w:val="auto"/>
        </w:rPr>
      </w:pPr>
    </w:p>
    <w:p>
      <w:pPr>
        <w:ind w:left="640" w:right="480" w:hanging="315"/>
        <w:spacing w:after="0" w:line="26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212529"/>
        </w:rPr>
        <w:t>We assessed the appropriateness of the methodology used by management in developing the inflation rate, and we tested the completeness and accuracy of the underlying data utilized by management.</w:t>
      </w:r>
    </w:p>
    <w:p>
      <w:pPr>
        <w:spacing w:after="0" w:line="19"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212529"/>
        </w:rPr>
        <w:t>We evaluated the appropriateness of the methodology used by management in developing the credit adjusted risk-free rate and tested it by comparing the Company’s credit adjusted risk-free rate to an independent data source.</w:t>
      </w:r>
    </w:p>
    <w:p>
      <w:pPr>
        <w:spacing w:after="0" w:line="19" w:lineRule="exact"/>
        <w:rPr>
          <w:rFonts w:ascii="Arial" w:cs="Arial" w:eastAsia="Arial" w:hAnsi="Arial"/>
          <w:sz w:val="18"/>
          <w:szCs w:val="18"/>
          <w:color w:val="auto"/>
        </w:rPr>
      </w:pPr>
    </w:p>
    <w:p>
      <w:pPr>
        <w:ind w:left="640" w:hanging="315"/>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212529"/>
        </w:rPr>
        <w:t>We assessed the qualifications, reputation, and objectivity of management’s third-party engineering specialists.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Valuation of Certain Intangible Assets and Favorable Leasehold Interest in Business Combinations</w:t>
      </w:r>
    </w:p>
    <w:p>
      <w:pPr>
        <w:spacing w:after="0" w:line="92"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212529"/>
        </w:rPr>
        <w:t>As described in Note 5 of the consolidated financial statements, the Company completed the acquisition of ten businesses during the year ended December 31, 2021, for total consideration of $171.7 million. The Company accounted for these transactions under the acquisition method of accounting for business combinations. Accordingly, the purchase price was allocated, on a preliminary basis, to the assets acquired and liabilities assumed primarily based on their respective fair values, including identified intangible assets of $46.4 million and $38.0 million of operating and financing lease right-of-use assets, which were recorded based upon the measurement principles in the lease accounting guidance with fair value adjustments for favorable terms. Of the identified intangible assets acquired, the most significant included customer relationship intangible assets of $36.2 million and a trade name intangible asset of $8.4 million. The Company also recorded a favorable leasehold interest of $26.6 million at fair value as part of the operating and financing lease right-of-use assets. The Company estimated the fair value of these assets using both income and market approaches, which required management to make significant estimates and assumptions.</w:t>
      </w:r>
    </w:p>
    <w:p>
      <w:pPr>
        <w:spacing w:after="0" w:line="7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212529"/>
        </w:rPr>
        <w:t>We identified the valuation of certain customer relationship intangible assets, the trade name intangible asset, and the favorable leasehold interest as a critical audit matter because of the significant estimates and assumptions management used in the fair value determination. Auditing management’s forecasts of future revenue and expenses, as well as the selection of the attrition, royalty, and discount rates, and the determination of market rents, required a high degree of auditor judgment and an increased audit effort, including the use of our valuation specialists, due to the impact these assumptions have on the estimates of fair value.</w:t>
      </w:r>
    </w:p>
    <w:p>
      <w:pPr>
        <w:spacing w:after="0" w:line="7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212529"/>
        </w:rPr>
        <w:t>Our audit procedures that pertained to certain customer relationship intangible assets, the trade name intangible asset, and the favorable leasehold interest included the following, among others:</w:t>
      </w:r>
    </w:p>
    <w:p>
      <w:pPr>
        <w:spacing w:after="0" w:line="30" w:lineRule="exact"/>
        <w:rPr>
          <w:sz w:val="20"/>
          <w:szCs w:val="20"/>
          <w:color w:val="auto"/>
        </w:rPr>
      </w:pPr>
    </w:p>
    <w:p>
      <w:pPr>
        <w:ind w:left="640" w:hanging="315"/>
        <w:spacing w:after="0" w:line="256"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valuation of the intangible assets and favorable leasehold interest and tested such controls for design and operating effectiveness. This included management’s controls over forecasts of future revenue and expenses, the selection of the attrition rates, royalty rates, discount rates, and the determination of market rents.</w:t>
      </w:r>
    </w:p>
    <w:p>
      <w:pPr>
        <w:spacing w:after="0" w:line="29" w:lineRule="exact"/>
        <w:rPr>
          <w:rFonts w:ascii="Arial" w:cs="Arial" w:eastAsia="Arial" w:hAnsi="Arial"/>
          <w:sz w:val="18"/>
          <w:szCs w:val="18"/>
          <w:color w:val="auto"/>
        </w:rPr>
      </w:pPr>
    </w:p>
    <w:p>
      <w:pPr>
        <w:ind w:left="640" w:hanging="315"/>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read the purchase and sale agreements to understand and evaluate the terms of the acquisitions.</w:t>
      </w:r>
    </w:p>
    <w:p>
      <w:pPr>
        <w:spacing w:after="0" w:line="58" w:lineRule="exact"/>
        <w:rPr>
          <w:rFonts w:ascii="Arial" w:cs="Arial" w:eastAsia="Arial" w:hAnsi="Arial"/>
          <w:sz w:val="18"/>
          <w:szCs w:val="18"/>
          <w:color w:val="auto"/>
        </w:rPr>
      </w:pPr>
    </w:p>
    <w:p>
      <w:pPr>
        <w:ind w:left="640" w:right="380" w:hanging="315"/>
        <w:spacing w:after="0" w:line="293"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evaluated the reasonableness of management’s forecasts of future revenue and expenses and the selection of attrition rates by comparing the projections to historical results or industry benchmarks and tested the underlying data for accuracy and completeness.</w:t>
      </w:r>
    </w:p>
    <w:p>
      <w:pPr>
        <w:spacing w:after="0" w:line="1" w:lineRule="exact"/>
        <w:rPr>
          <w:rFonts w:ascii="Arial" w:cs="Arial" w:eastAsia="Arial" w:hAnsi="Arial"/>
          <w:sz w:val="17"/>
          <w:szCs w:val="17"/>
          <w:color w:val="auto"/>
        </w:rPr>
      </w:pPr>
    </w:p>
    <w:p>
      <w:pPr>
        <w:ind w:left="640" w:hanging="315"/>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utilized our valuation specialists to assist in the following procedures, among others:</w:t>
      </w:r>
    </w:p>
    <w:p>
      <w:pPr>
        <w:spacing w:after="0" w:line="58" w:lineRule="exact"/>
        <w:rPr>
          <w:rFonts w:ascii="Arial" w:cs="Arial" w:eastAsia="Arial" w:hAnsi="Arial"/>
          <w:sz w:val="18"/>
          <w:szCs w:val="18"/>
          <w:color w:val="auto"/>
        </w:rPr>
      </w:pPr>
    </w:p>
    <w:p>
      <w:pPr>
        <w:ind w:left="1280" w:hanging="316"/>
        <w:spacing w:after="0"/>
        <w:tabs>
          <w:tab w:leader="none" w:pos="12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Evaluating the appropriateness of the valuation models and methods used by management and testing their mathematical accuracy.</w:t>
      </w:r>
    </w:p>
    <w:p>
      <w:pPr>
        <w:spacing w:after="0" w:line="81" w:lineRule="exact"/>
        <w:rPr>
          <w:rFonts w:ascii="Arial" w:cs="Arial" w:eastAsia="Arial" w:hAnsi="Arial"/>
          <w:sz w:val="16"/>
          <w:szCs w:val="16"/>
          <w:color w:val="auto"/>
        </w:rPr>
      </w:pPr>
    </w:p>
    <w:p>
      <w:pPr>
        <w:ind w:left="1280" w:right="140" w:hanging="316"/>
        <w:spacing w:after="0" w:line="266" w:lineRule="auto"/>
        <w:tabs>
          <w:tab w:leader="none" w:pos="12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Comparing the source information underlying the determination of the discount rates and the royalty rate to publicly available market data and verifying the accuracy of the calculations.</w:t>
      </w:r>
    </w:p>
    <w:p>
      <w:pPr>
        <w:spacing w:after="0" w:line="19" w:lineRule="exact"/>
        <w:rPr>
          <w:rFonts w:ascii="Arial" w:cs="Arial" w:eastAsia="Arial" w:hAnsi="Arial"/>
          <w:sz w:val="18"/>
          <w:szCs w:val="18"/>
          <w:color w:val="auto"/>
        </w:rPr>
      </w:pPr>
    </w:p>
    <w:p>
      <w:pPr>
        <w:ind w:left="1280" w:right="180" w:hanging="316"/>
        <w:spacing w:after="0" w:line="266" w:lineRule="auto"/>
        <w:tabs>
          <w:tab w:leader="none" w:pos="12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Testing the market rents used by management by independently obtaining market data to validate the appropriateness of the rents selected by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788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154,342</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$3,276 and $2,333, 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74,198</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174"/>
        </w:trPr>
        <w:tc>
          <w:tcPr>
            <w:tcW w:w="7880" w:type="dxa"/>
            <w:vAlign w:val="bottom"/>
          </w:tcPr>
          <w:p>
            <w:pPr>
              <w:ind w:left="20"/>
              <w:spacing w:after="0" w:line="174" w:lineRule="exact"/>
              <w:rPr>
                <w:sz w:val="20"/>
                <w:szCs w:val="20"/>
                <w:color w:val="auto"/>
              </w:rPr>
            </w:pPr>
            <w:r>
              <w:rPr>
                <w:rFonts w:ascii="Arial" w:cs="Arial" w:eastAsia="Arial" w:hAnsi="Arial"/>
                <w:sz w:val="18"/>
                <w:szCs w:val="18"/>
                <w:color w:val="auto"/>
                <w:w w:val="90"/>
              </w:rPr>
              <w:t>Property, plant and equipment, net of accumulated depreciation and amortization of $973,094 and $900,882,</w:t>
            </w: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644,604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510,512</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95,310</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232,860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194,901</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58,324</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19"/>
        </w:trPr>
        <w:tc>
          <w:tcPr>
            <w:tcW w:w="7880" w:type="dxa"/>
            <w:vAlign w:val="bottom"/>
          </w:tcPr>
          <w:p>
            <w:pPr>
              <w:ind w:left="340"/>
              <w:spacing w:after="0" w:line="205"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1,283,580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8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788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49,198</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131,208</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530,411</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35,981</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880" w:type="dxa"/>
            <w:vAlign w:val="bottom"/>
            <w:shd w:val="clear" w:color="auto" w:fill="CCEEFF"/>
          </w:tcPr>
          <w:p>
            <w:pPr>
              <w:ind w:left="660"/>
              <w:spacing w:after="0" w:line="175" w:lineRule="exact"/>
              <w:rPr>
                <w:sz w:val="20"/>
                <w:szCs w:val="20"/>
                <w:color w:val="auto"/>
              </w:rPr>
            </w:pPr>
            <w:r>
              <w:rPr>
                <w:rFonts w:ascii="Arial" w:cs="Arial" w:eastAsia="Arial" w:hAnsi="Arial"/>
                <w:sz w:val="18"/>
                <w:szCs w:val="18"/>
                <w:color w:val="auto"/>
                <w:w w:val="90"/>
              </w:rPr>
              <w:t>Class A common stock, $0.01 par value per share; 100,000,000 shares authorized; 50,423,000 and</w:t>
            </w: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50,101,000 shares issued and outstanding, respectively</w:t>
            </w:r>
          </w:p>
        </w:tc>
        <w:tc>
          <w:tcPr>
            <w:tcW w:w="2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880" w:type="dxa"/>
            <w:vAlign w:val="bottom"/>
          </w:tcPr>
          <w:p>
            <w:pPr>
              <w:ind w:left="660"/>
              <w:spacing w:after="0" w:line="174" w:lineRule="exact"/>
              <w:rPr>
                <w:sz w:val="20"/>
                <w:szCs w:val="20"/>
                <w:color w:val="auto"/>
              </w:rPr>
            </w:pPr>
            <w:r>
              <w:rPr>
                <w:rFonts w:ascii="Arial" w:cs="Arial" w:eastAsia="Arial" w:hAnsi="Arial"/>
                <w:sz w:val="18"/>
                <w:szCs w:val="18"/>
                <w:color w:val="auto"/>
                <w:w w:val="93"/>
              </w:rPr>
              <w:t>Class B common stock, $0.01 par value per share; 1,000,000 shares authorized; 988,000 shares</w:t>
            </w:r>
          </w:p>
        </w:tc>
        <w:tc>
          <w:tcPr>
            <w:tcW w:w="2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issued and outstanding; 10 votes per share</w:t>
            </w:r>
          </w:p>
        </w:tc>
        <w:tc>
          <w:tcPr>
            <w:tcW w:w="2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639,247</w:t>
            </w:r>
          </w:p>
        </w:tc>
        <w:tc>
          <w:tcPr>
            <w:tcW w:w="0" w:type="dxa"/>
            <w:vAlign w:val="bottom"/>
          </w:tcPr>
          <w:p>
            <w:pPr>
              <w:spacing w:after="0"/>
              <w:rPr>
                <w:sz w:val="1"/>
                <w:szCs w:val="1"/>
                <w:color w:val="auto"/>
              </w:rPr>
            </w:pPr>
          </w:p>
        </w:tc>
      </w:tr>
      <w:tr>
        <w:trPr>
          <w:trHeight w:val="225"/>
        </w:trPr>
        <w:tc>
          <w:tcPr>
            <w:tcW w:w="7880" w:type="dxa"/>
            <w:vAlign w:val="bottom"/>
          </w:tcPr>
          <w:p>
            <w:pPr>
              <w:ind w:left="6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(224,999)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(266,099)</w:t>
            </w:r>
          </w:p>
        </w:tc>
        <w:tc>
          <w:tcPr>
            <w:tcW w:w="0" w:type="dxa"/>
            <w:vAlign w:val="bottom"/>
          </w:tcPr>
          <w:p>
            <w:pPr>
              <w:spacing w:after="0"/>
              <w:rPr>
                <w:sz w:val="1"/>
                <w:szCs w:val="1"/>
                <w:color w:val="auto"/>
              </w:rPr>
            </w:pPr>
          </w:p>
        </w:tc>
      </w:tr>
      <w:tr>
        <w:trPr>
          <w:trHeight w:val="227"/>
        </w:trPr>
        <w:tc>
          <w:tcPr>
            <w:tcW w:w="7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362,142</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1,193,898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743,290</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508,656</w:t>
            </w: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92,782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w:t>
            </w: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Southbridge Landfill closure charge,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Environmental remediation charge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Withdrawal costs - multiemployer pension plan</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811,551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715,287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690,215</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53,075</w:t>
            </w:r>
          </w:p>
        </w:tc>
        <w:tc>
          <w:tcPr>
            <w:tcW w:w="0" w:type="dxa"/>
            <w:vAlign w:val="bottom"/>
          </w:tcPr>
          <w:p>
            <w:pPr>
              <w:spacing w:after="0"/>
              <w:rPr>
                <w:sz w:val="1"/>
                <w:szCs w:val="1"/>
                <w:color w:val="auto"/>
              </w:rPr>
            </w:pPr>
          </w:p>
        </w:tc>
      </w:tr>
      <w:tr>
        <w:trPr>
          <w:trHeight w:val="205"/>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29,779</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8"/>
        </w:trPr>
        <w:tc>
          <w:tcPr>
            <w:tcW w:w="70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1"/>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41,100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1"/>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91,106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1"/>
              <w:spacing w:after="0" w:line="194"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31,653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1.87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1"/>
              <w:spacing w:after="0" w:line="199"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47,966</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COMPREHENSIVE INCOME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31,653</w:t>
            </w:r>
          </w:p>
        </w:tc>
      </w:tr>
      <w:tr>
        <w:trPr>
          <w:trHeight w:val="205"/>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7"/>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activity: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7040" w:type="dxa"/>
            <w:vAlign w:val="bottom"/>
          </w:tcPr>
          <w:p>
            <w:pPr>
              <w:ind w:left="540"/>
              <w:spacing w:after="0"/>
              <w:rPr>
                <w:sz w:val="20"/>
                <w:szCs w:val="20"/>
                <w:color w:val="auto"/>
              </w:rPr>
            </w:pPr>
            <w:r>
              <w:rPr>
                <w:rFonts w:ascii="Arial" w:cs="Arial" w:eastAsia="Arial" w:hAnsi="Arial"/>
                <w:sz w:val="18"/>
                <w:szCs w:val="18"/>
                <w:color w:val="auto"/>
              </w:rPr>
              <w:t>Interest rate swap settlements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7"/>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rate swap amounts reclassified into 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5"/>
        </w:trPr>
        <w:tc>
          <w:tcPr>
            <w:tcW w:w="70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w w:val="98"/>
              </w:rPr>
              <w:t>Unrealized gain (loss) resulting from changes in fair value of derivative instruments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r>
      <w:tr>
        <w:trPr>
          <w:trHeight w:val="225"/>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Tax effect related to items of other comprehensive income (loss)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r>
      <w:tr>
        <w:trPr>
          <w:trHeight w:val="219"/>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649"/>
              <w:spacing w:after="0"/>
              <w:rPr>
                <w:sz w:val="20"/>
                <w:szCs w:val="20"/>
                <w:color w:val="auto"/>
              </w:rPr>
            </w:pPr>
            <w:r>
              <w:rPr>
                <w:rFonts w:ascii="Arial" w:cs="Arial" w:eastAsia="Arial" w:hAnsi="Arial"/>
                <w:sz w:val="14"/>
                <w:szCs w:val="14"/>
                <w:b w:val="1"/>
                <w:bCs w:val="1"/>
                <w:color w:val="auto"/>
                <w:w w:val="85"/>
              </w:rPr>
              <w:t>Class A</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3"/>
          </w:tcPr>
          <w:p>
            <w:pPr>
              <w:jc w:val="right"/>
              <w:ind w:right="449"/>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Common Stock</w:t>
            </w:r>
          </w:p>
        </w:tc>
        <w:tc>
          <w:tcPr>
            <w:tcW w:w="1700" w:type="dxa"/>
            <w:vAlign w:val="bottom"/>
            <w:gridSpan w:val="3"/>
          </w:tcPr>
          <w:p>
            <w:pPr>
              <w:jc w:val="right"/>
              <w:ind w:right="209"/>
              <w:spacing w:after="0" w:line="133"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53"/>
        </w:trPr>
        <w:tc>
          <w:tcPr>
            <w:tcW w:w="3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rPr>
              <w:t>Paid-In</w:t>
            </w:r>
          </w:p>
        </w:tc>
        <w:tc>
          <w:tcPr>
            <w:tcW w:w="1020" w:type="dxa"/>
            <w:vAlign w:val="bottom"/>
            <w:gridSpan w:val="3"/>
            <w:vMerge w:val="restart"/>
          </w:tcPr>
          <w:p>
            <w:pPr>
              <w:jc w:val="center"/>
              <w:ind w:right="10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4"/>
                <w:szCs w:val="4"/>
                <w:color w:val="auto"/>
              </w:rPr>
            </w:pPr>
          </w:p>
        </w:tc>
        <w:tc>
          <w:tcPr>
            <w:tcW w:w="1100" w:type="dxa"/>
            <w:vAlign w:val="bottom"/>
            <w:vMerge w:val="restart"/>
          </w:tcPr>
          <w:p>
            <w:pPr>
              <w:jc w:val="center"/>
              <w:ind w:right="49"/>
              <w:spacing w:after="0" w:line="120"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46"/>
        </w:trPr>
        <w:tc>
          <w:tcPr>
            <w:tcW w:w="3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100" w:type="dxa"/>
            <w:vAlign w:val="bottom"/>
          </w:tcPr>
          <w:p>
            <w:pPr>
              <w:jc w:val="center"/>
              <w:ind w:right="2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(15,832)</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373,716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(388,669)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w w:val="93"/>
              </w:rPr>
              <w:t>Issuance of Class A common stock - equity offering</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100,446</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100,410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rPr>
              <w:t>Issuance of Class A common stock - acquisition</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7,223</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31,653</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Hedging activity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0" w:type="dxa"/>
            <w:vAlign w:val="bottom"/>
          </w:tcPr>
          <w:p>
            <w:pPr>
              <w:spacing w:after="0"/>
              <w:rPr>
                <w:sz w:val="1"/>
                <w:szCs w:val="1"/>
                <w:color w:val="auto"/>
              </w:rPr>
            </w:pPr>
          </w:p>
        </w:tc>
      </w:tr>
      <w:tr>
        <w:trPr>
          <w:trHeight w:val="177"/>
        </w:trPr>
        <w:tc>
          <w:tcPr>
            <w:tcW w:w="3020" w:type="dxa"/>
            <w:vAlign w:val="bottom"/>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122,753</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46,803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485,332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(357,016)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new accounting principle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w w:val="93"/>
              </w:rPr>
              <w:t>Issuance of Class A common stock - equity offering</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144,790</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144,763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rPr>
              <w:t>Issuance of Class A common stock - acquisition</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8,219</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91,106</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40"/>
              <w:spacing w:after="0"/>
              <w:rPr>
                <w:sz w:val="20"/>
                <w:szCs w:val="20"/>
                <w:color w:val="auto"/>
              </w:rPr>
            </w:pPr>
            <w:r>
              <w:rPr>
                <w:rFonts w:ascii="Arial" w:cs="Arial" w:eastAsia="Arial" w:hAnsi="Arial"/>
                <w:sz w:val="14"/>
                <w:szCs w:val="14"/>
                <w:color w:val="auto"/>
              </w:rPr>
              <w:t>Other comprehensive loss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Hedging activity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(5,476)</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77"/>
        </w:trPr>
        <w:tc>
          <w:tcPr>
            <w:tcW w:w="3020" w:type="dxa"/>
            <w:vAlign w:val="bottom"/>
          </w:tcPr>
          <w:p>
            <w:pPr>
              <w:ind w:left="20"/>
              <w:spacing w:after="0"/>
              <w:rPr>
                <w:sz w:val="20"/>
                <w:szCs w:val="20"/>
                <w:color w:val="auto"/>
              </w:rPr>
            </w:pPr>
            <w:r>
              <w:rPr>
                <w:rFonts w:ascii="Arial" w:cs="Arial" w:eastAsia="Arial" w:hAnsi="Arial"/>
                <w:sz w:val="14"/>
                <w:szCs w:val="14"/>
                <w:color w:val="auto"/>
              </w:rPr>
              <w:t>Balance, December 31, 2020</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362,142</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50,101</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639,247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(266,099)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11,551</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41,100</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440"/>
              <w:spacing w:after="0"/>
              <w:rPr>
                <w:sz w:val="20"/>
                <w:szCs w:val="20"/>
                <w:color w:val="auto"/>
              </w:rPr>
            </w:pPr>
            <w:r>
              <w:rPr>
                <w:rFonts w:ascii="Arial" w:cs="Arial" w:eastAsia="Arial" w:hAnsi="Arial"/>
                <w:sz w:val="14"/>
                <w:szCs w:val="14"/>
                <w:color w:val="auto"/>
              </w:rPr>
              <w:t>Hedging activity</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6,414</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6,414</w:t>
            </w:r>
          </w:p>
        </w:tc>
        <w:tc>
          <w:tcPr>
            <w:tcW w:w="0" w:type="dxa"/>
            <w:vAlign w:val="bottom"/>
          </w:tcPr>
          <w:p>
            <w:pPr>
              <w:spacing w:after="0"/>
              <w:rPr>
                <w:sz w:val="1"/>
                <w:szCs w:val="1"/>
                <w:color w:val="auto"/>
              </w:rPr>
            </w:pPr>
          </w:p>
        </w:tc>
      </w:tr>
      <w:tr>
        <w:trPr>
          <w:trHeight w:val="204"/>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422,457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652,045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Fiscal Year Ended</w:t>
      </w:r>
    </w:p>
    <w:p>
      <w:pPr>
        <w:ind w:left="87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0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198"/>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0"/>
        </w:trPr>
        <w:tc>
          <w:tcPr>
            <w:tcW w:w="7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41,100</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91,106</w:t>
            </w:r>
          </w:p>
        </w:tc>
        <w:tc>
          <w:tcPr>
            <w:tcW w:w="12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31,653</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103,590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90,782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79,790</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Amortization of debt issuance costs on 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2,293</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Operating lease right-of-use assets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17,270</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(gain) on sale of property and equipment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Southbridge Landfill non-cash closure (credit) charge,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expense from acquisition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Environmental remediation charge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Withdrawal costs - multiemployer pension plan</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(52,288)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(1,244)</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effects of acquisitions and divestitures: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704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(5,464)</w:t>
            </w:r>
          </w:p>
        </w:tc>
      </w:tr>
      <w:tr>
        <w:trPr>
          <w:trHeight w:val="215"/>
        </w:trPr>
        <w:tc>
          <w:tcPr>
            <w:tcW w:w="7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Landfill operating lease contract expenditures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w:t>
            </w:r>
          </w:p>
        </w:tc>
      </w:tr>
      <w:tr>
        <w:trPr>
          <w:trHeight w:val="210"/>
        </w:trPr>
        <w:tc>
          <w:tcPr>
            <w:tcW w:w="70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6,762</w:t>
            </w:r>
          </w:p>
        </w:tc>
      </w:tr>
      <w:tr>
        <w:trPr>
          <w:trHeight w:val="215"/>
        </w:trPr>
        <w:tc>
          <w:tcPr>
            <w:tcW w:w="7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Prepaid expenses, inventories and other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r>
      <w:tr>
        <w:trPr>
          <w:trHeight w:val="210"/>
        </w:trPr>
        <w:tc>
          <w:tcPr>
            <w:tcW w:w="70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Accrued expenses, contract liabilities and 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116,829</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(75,379)</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Additions to property, plant and equipment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(123,295)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(108,108)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(103,165)</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property insurance settlement</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0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(293,154)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(140,032)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(177,462)</w:t>
            </w:r>
          </w:p>
        </w:tc>
      </w:tr>
      <w:tr>
        <w:trPr>
          <w:trHeight w:val="190"/>
        </w:trPr>
        <w:tc>
          <w:tcPr>
            <w:tcW w:w="70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debt borrowings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197,800</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(149,378)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(243,374)</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the exercise of share based awards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3,355</w:t>
            </w:r>
          </w:p>
        </w:tc>
      </w:tr>
      <w:tr>
        <w:trPr>
          <w:trHeight w:val="215"/>
        </w:trPr>
        <w:tc>
          <w:tcPr>
            <w:tcW w:w="7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public offering of Class A Common Stock</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100,446</w:t>
            </w:r>
          </w:p>
        </w:tc>
      </w:tr>
      <w:tr>
        <w:trPr>
          <w:trHeight w:val="210"/>
        </w:trPr>
        <w:tc>
          <w:tcPr>
            <w:tcW w:w="7040" w:type="dxa"/>
            <w:vAlign w:val="bottom"/>
          </w:tcPr>
          <w:p>
            <w:pPr>
              <w:ind w:left="220"/>
              <w:spacing w:after="0"/>
              <w:rPr>
                <w:sz w:val="20"/>
                <w:szCs w:val="20"/>
                <w:color w:val="auto"/>
              </w:rPr>
            </w:pPr>
            <w:r>
              <w:rPr>
                <w:rFonts w:ascii="Arial" w:cs="Arial" w:eastAsia="Arial" w:hAnsi="Arial"/>
                <w:sz w:val="16"/>
                <w:szCs w:val="16"/>
                <w:color w:val="auto"/>
              </w:rPr>
              <w:t>Proceeds from unregistered sale of Class A Common Stock</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2,619</w:t>
            </w:r>
          </w:p>
        </w:tc>
      </w:tr>
      <w:tr>
        <w:trPr>
          <w:trHeight w:val="209"/>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150,981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60,097</w:t>
            </w:r>
          </w:p>
        </w:tc>
      </w:tr>
      <w:tr>
        <w:trPr>
          <w:trHeight w:val="203"/>
        </w:trPr>
        <w:tc>
          <w:tcPr>
            <w:tcW w:w="70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(120,533)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150,871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15"/>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w:t>
            </w:r>
          </w:p>
        </w:tc>
      </w:tr>
      <w:tr>
        <w:trPr>
          <w:trHeight w:val="203"/>
        </w:trPr>
        <w:tc>
          <w:tcPr>
            <w:tcW w:w="704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154,342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2"/>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left="340" w:right="2500"/>
        <w:spacing w:after="0" w:line="253" w:lineRule="auto"/>
        <w:rPr>
          <w:sz w:val="20"/>
          <w:szCs w:val="20"/>
          <w:color w:val="auto"/>
        </w:rPr>
      </w:pPr>
      <w:r>
        <w:rPr>
          <w:rFonts w:ascii="Arial" w:cs="Arial" w:eastAsia="Arial" w:hAnsi="Arial"/>
          <w:sz w:val="18"/>
          <w:szCs w:val="18"/>
          <w:color w:val="auto"/>
        </w:rPr>
        <w:t xml:space="preserve">The accompanying notes are an integral part of these consolidated financial statements. </w:t>
      </w:r>
      <w:r>
        <w:rPr>
          <w:rFonts w:ascii="Arial" w:cs="Arial" w:eastAsia="Arial" w:hAnsi="Arial"/>
          <w:sz w:val="18"/>
          <w:szCs w:val="18"/>
          <w:b w:val="1"/>
          <w:bCs w:val="1"/>
          <w:color w:val="auto"/>
        </w:rPr>
        <w:t>CASELLA WASTE SYSTEMS, INC. AND SUBSIDIARIES CONSOLIDATED STATEMENTS OF CASH FLOWS (Continued) (in thousands)</w:t>
      </w:r>
    </w:p>
    <w:p>
      <w:pPr>
        <w:spacing w:after="0" w:line="24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ind w:left="87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19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0"/>
        </w:trPr>
        <w:tc>
          <w:tcPr>
            <w:tcW w:w="7060" w:type="dxa"/>
            <w:vAlign w:val="bottom"/>
          </w:tcPr>
          <w:p>
            <w:pPr>
              <w:ind w:left="34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7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Interest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8"/>
              </w:rPr>
              <w:t>20,117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23,183</w:t>
            </w:r>
          </w:p>
        </w:tc>
      </w:tr>
      <w:tr>
        <w:trPr>
          <w:trHeight w:val="210"/>
        </w:trPr>
        <w:tc>
          <w:tcPr>
            <w:tcW w:w="7060" w:type="dxa"/>
            <w:vAlign w:val="bottom"/>
          </w:tcPr>
          <w:p>
            <w:pPr>
              <w:ind w:left="660"/>
              <w:spacing w:after="0"/>
              <w:rPr>
                <w:sz w:val="20"/>
                <w:szCs w:val="20"/>
                <w:color w:val="auto"/>
              </w:rPr>
            </w:pPr>
            <w:r>
              <w:rPr>
                <w:rFonts w:ascii="Arial" w:cs="Arial" w:eastAsia="Arial" w:hAnsi="Arial"/>
                <w:sz w:val="16"/>
                <w:szCs w:val="16"/>
                <w:color w:val="auto"/>
              </w:rPr>
              <w:t>Income tax payments (refunds), net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20"/>
              <w:spacing w:after="0"/>
              <w:rPr>
                <w:sz w:val="20"/>
                <w:szCs w:val="20"/>
                <w:color w:val="auto"/>
              </w:rPr>
            </w:pPr>
            <w:r>
              <w:rPr>
                <w:rFonts w:ascii="Arial" w:cs="Arial" w:eastAsia="Arial" w:hAnsi="Arial"/>
                <w:sz w:val="16"/>
                <w:szCs w:val="16"/>
                <w:color w:val="auto"/>
                <w:w w:val="94"/>
              </w:rPr>
              <w:t>(1,534)</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20"/>
              <w:spacing w:after="0"/>
              <w:rPr>
                <w:sz w:val="20"/>
                <w:szCs w:val="20"/>
                <w:color w:val="auto"/>
              </w:rPr>
            </w:pPr>
            <w:r>
              <w:rPr>
                <w:rFonts w:ascii="Arial" w:cs="Arial" w:eastAsia="Arial" w:hAnsi="Arial"/>
                <w:sz w:val="16"/>
                <w:szCs w:val="16"/>
                <w:color w:val="auto"/>
                <w:w w:val="94"/>
              </w:rPr>
              <w:t>(1,631)</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8"/>
        </w:trPr>
        <w:tc>
          <w:tcPr>
            <w:tcW w:w="7060" w:type="dxa"/>
            <w:vAlign w:val="bottom"/>
          </w:tcPr>
          <w:p>
            <w:pPr>
              <w:ind w:left="660"/>
              <w:spacing w:after="0"/>
              <w:rPr>
                <w:sz w:val="20"/>
                <w:szCs w:val="20"/>
                <w:color w:val="auto"/>
              </w:rPr>
            </w:pPr>
            <w:r>
              <w:rPr>
                <w:rFonts w:ascii="Arial" w:cs="Arial" w:eastAsia="Arial" w:hAnsi="Arial"/>
                <w:sz w:val="16"/>
                <w:szCs w:val="16"/>
                <w:color w:val="auto"/>
              </w:rPr>
              <w:t>Non-current assets acquired through long-term financing obligations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20,753</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18,069</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13,053</w:t>
            </w:r>
          </w:p>
        </w:tc>
      </w:tr>
    </w:tbl>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18" w:right="359" w:bottom="7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738"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41" w:lineRule="exact"/>
        <w:rPr>
          <w:sz w:val="20"/>
          <w:szCs w:val="20"/>
          <w:color w:val="auto"/>
        </w:rPr>
      </w:pPr>
    </w:p>
    <w:p>
      <w:pPr>
        <w:ind w:left="360" w:hanging="354"/>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Casella Waste Systems, Inc. (“Parent”) and its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or purchased from third-parties. We manage our solid waste operations on a geographic basis through two regional operating segments, the Eastern and Western regions, each of which provides a full range of solid waste services. Effective January 1, 2021, we realigned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We realigned the Resource Solutions operating segment to leverage our core competencies in materials processing, industrial recycling, organics and resource management service offerings to deliver a comprehensive solution for our larger commercial, municipal, institutional and industrial customers that have more diverse waste and recycling needs. Processing services consist of the receipt of recycled, sludge or other organic materials at one of our materials recovery, processing or disposal facilities, where it is then sorted, mixed and/or processed, and then disposed of or sold. Non-processing services consist of brokerage services, overall resource management services, which provide a wide range of environmental services and zero waste solutions to large and complex organizations, and traditional collection, disposal and recycling services provided to large account multi-site customers.</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ACCOUNTING CHANGES</w:t>
      </w:r>
    </w:p>
    <w:p>
      <w:pPr>
        <w:spacing w:after="0" w:line="11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or a possible material impact in the future, based on current account balances and activity follows:</w:t>
      </w:r>
    </w:p>
    <w:tbl>
      <w:tblPr>
        <w:tblLayout w:type="fixed"/>
        <w:tblInd w:w="20" w:type="dxa"/>
        <w:tblCellMar>
          <w:top w:w="0" w:type="dxa"/>
          <w:left w:w="0" w:type="dxa"/>
          <w:bottom w:w="0" w:type="dxa"/>
          <w:right w:w="0" w:type="dxa"/>
        </w:tblCellMar>
      </w:tblPr>
      <w:tr>
        <w:trPr>
          <w:trHeight w:val="148"/>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39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780" w:type="dxa"/>
            <w:vAlign w:val="bottom"/>
          </w:tcPr>
          <w:p>
            <w:pPr>
              <w:jc w:val="center"/>
              <w:ind w:left="1069"/>
              <w:spacing w:after="0" w:line="148" w:lineRule="exact"/>
              <w:rPr>
                <w:sz w:val="20"/>
                <w:szCs w:val="20"/>
                <w:color w:val="auto"/>
              </w:rPr>
            </w:pPr>
            <w:r>
              <w:rPr>
                <w:rFonts w:ascii="Arial" w:cs="Arial" w:eastAsia="Arial" w:hAnsi="Arial"/>
                <w:sz w:val="14"/>
                <w:szCs w:val="14"/>
                <w:b w:val="1"/>
                <w:bCs w:val="1"/>
                <w:color w:val="auto"/>
                <w:w w:val="91"/>
              </w:rPr>
              <w:t>Effect on the Financial Statements or Other</w:t>
            </w:r>
          </w:p>
        </w:tc>
        <w:tc>
          <w:tcPr>
            <w:tcW w:w="0" w:type="dxa"/>
            <w:vAlign w:val="bottom"/>
          </w:tcPr>
          <w:p>
            <w:pPr>
              <w:spacing w:after="0"/>
              <w:rPr>
                <w:sz w:val="1"/>
                <w:szCs w:val="1"/>
                <w:color w:val="auto"/>
              </w:rPr>
            </w:pPr>
          </w:p>
        </w:tc>
      </w:tr>
      <w:tr>
        <w:trPr>
          <w:trHeight w:val="184"/>
        </w:trPr>
        <w:tc>
          <w:tcPr>
            <w:tcW w:w="2660" w:type="dxa"/>
            <w:vAlign w:val="bottom"/>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3780" w:type="dxa"/>
            <w:vAlign w:val="bottom"/>
          </w:tcPr>
          <w:p>
            <w:pPr>
              <w:jc w:val="center"/>
              <w:ind w:left="1089"/>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088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i w:val="1"/>
          <w:iCs w:val="1"/>
          <w:color w:val="auto"/>
        </w:rPr>
        <w:t>Accounting standards adopted effective January 1, 2021</w:t>
      </w:r>
    </w:p>
    <w:p>
      <w:pPr>
        <w:sectPr>
          <w:pgSz w:w="11900" w:h="16838" w:orient="portrait"/>
          <w:cols w:equalWidth="0" w:num="1">
            <w:col w:w="11200"/>
          </w:cols>
          <w:pgMar w:left="320" w:top="118" w:right="379" w:bottom="1440" w:gutter="0" w:footer="0" w:header="0"/>
        </w:sectPr>
      </w:pPr>
    </w:p>
    <w:p>
      <w:pPr>
        <w:spacing w:after="0" w:line="72" w:lineRule="exact"/>
        <w:rPr>
          <w:sz w:val="20"/>
          <w:szCs w:val="20"/>
          <w:color w:val="auto"/>
        </w:rPr>
      </w:pPr>
    </w:p>
    <w:p>
      <w:pPr>
        <w:ind w:left="20"/>
        <w:spacing w:after="0" w:line="230" w:lineRule="auto"/>
        <w:rPr>
          <w:sz w:val="20"/>
          <w:szCs w:val="20"/>
          <w:color w:val="auto"/>
        </w:rPr>
      </w:pPr>
      <w:r>
        <w:rPr>
          <w:rFonts w:ascii="Arial" w:cs="Arial" w:eastAsia="Arial" w:hAnsi="Arial"/>
          <w:sz w:val="18"/>
          <w:szCs w:val="18"/>
          <w:color w:val="auto"/>
        </w:rPr>
        <w:t>ASU No. 2019-12: Income Taxes (Topic 740)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Reduces the complexity over accounting for income taxes by removing certain exceptions and amending guidance to improve consistent application of accounting over income taxes.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60"/>
        <w:spacing w:after="0" w:line="220" w:lineRule="auto"/>
        <w:rPr>
          <w:sz w:val="20"/>
          <w:szCs w:val="20"/>
          <w:color w:val="auto"/>
        </w:rPr>
      </w:pPr>
      <w:r>
        <w:rPr>
          <w:rFonts w:ascii="Arial" w:cs="Arial" w:eastAsia="Arial" w:hAnsi="Arial"/>
          <w:sz w:val="18"/>
          <w:szCs w:val="18"/>
          <w:color w:val="auto"/>
        </w:rPr>
        <w:t>This guidance did not have a material impact on our consolidated financial statements and related disclosures upon adoption but may in the future.</w:t>
      </w:r>
    </w:p>
    <w:p>
      <w:pPr>
        <w:spacing w:after="0" w:line="534" w:lineRule="exact"/>
        <w:rPr>
          <w:sz w:val="20"/>
          <w:szCs w:val="20"/>
          <w:color w:val="auto"/>
        </w:rPr>
      </w:pPr>
    </w:p>
    <w:p>
      <w:pPr>
        <w:sectPr>
          <w:pgSz w:w="11900" w:h="16838" w:orient="portrait"/>
          <w:cols w:equalWidth="0" w:num="3">
            <w:col w:w="2900" w:space="620"/>
            <w:col w:w="3200" w:space="320"/>
            <w:col w:w="4160"/>
          </w:cols>
          <w:pgMar w:left="320" w:top="118" w:right="37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20" w:type="dxa"/>
        <w:tblCellMar>
          <w:top w:w="0" w:type="dxa"/>
          <w:left w:w="0" w:type="dxa"/>
          <w:bottom w:w="0" w:type="dxa"/>
          <w:right w:w="0" w:type="dxa"/>
        </w:tblCellMar>
      </w:tblPr>
      <w:tr>
        <w:trPr>
          <w:trHeight w:val="144"/>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39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780" w:type="dxa"/>
            <w:vAlign w:val="bottom"/>
          </w:tcPr>
          <w:p>
            <w:pPr>
              <w:jc w:val="center"/>
              <w:ind w:left="1069"/>
              <w:spacing w:after="0" w:line="144" w:lineRule="exact"/>
              <w:rPr>
                <w:sz w:val="20"/>
                <w:szCs w:val="20"/>
                <w:color w:val="auto"/>
              </w:rPr>
            </w:pPr>
            <w:r>
              <w:rPr>
                <w:rFonts w:ascii="Arial" w:cs="Arial" w:eastAsia="Arial" w:hAnsi="Arial"/>
                <w:sz w:val="14"/>
                <w:szCs w:val="14"/>
                <w:b w:val="1"/>
                <w:bCs w:val="1"/>
                <w:color w:val="auto"/>
                <w:w w:val="91"/>
              </w:rPr>
              <w:t>Effect on the Financial Statements or Other</w:t>
            </w:r>
          </w:p>
        </w:tc>
        <w:tc>
          <w:tcPr>
            <w:tcW w:w="0" w:type="dxa"/>
            <w:vAlign w:val="bottom"/>
          </w:tcPr>
          <w:p>
            <w:pPr>
              <w:spacing w:after="0"/>
              <w:rPr>
                <w:sz w:val="1"/>
                <w:szCs w:val="1"/>
                <w:color w:val="auto"/>
              </w:rPr>
            </w:pPr>
          </w:p>
        </w:tc>
      </w:tr>
      <w:tr>
        <w:trPr>
          <w:trHeight w:val="184"/>
        </w:trPr>
        <w:tc>
          <w:tcPr>
            <w:tcW w:w="2660" w:type="dxa"/>
            <w:vAlign w:val="bottom"/>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3780" w:type="dxa"/>
            <w:vAlign w:val="bottom"/>
          </w:tcPr>
          <w:p>
            <w:pPr>
              <w:jc w:val="center"/>
              <w:ind w:left="1089"/>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08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p>
      <w:pPr>
        <w:spacing w:after="0" w:line="118" w:lineRule="exact"/>
        <w:rPr>
          <w:sz w:val="20"/>
          <w:szCs w:val="20"/>
          <w:color w:val="auto"/>
        </w:rPr>
      </w:pPr>
    </w:p>
    <w:p>
      <w:pPr>
        <w:ind w:left="20" w:right="360"/>
        <w:spacing w:after="0" w:line="220" w:lineRule="auto"/>
        <w:rPr>
          <w:sz w:val="20"/>
          <w:szCs w:val="20"/>
          <w:color w:val="auto"/>
        </w:rPr>
      </w:pPr>
      <w:r>
        <w:rPr>
          <w:rFonts w:ascii="Arial" w:cs="Arial" w:eastAsia="Arial" w:hAnsi="Arial"/>
          <w:sz w:val="18"/>
          <w:szCs w:val="18"/>
          <w:color w:val="auto"/>
        </w:rPr>
        <w:t>ASU No. 2020-04: Reference Rate Reform (Topic 848), as amended through January 2021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20"/>
        <w:spacing w:after="0" w:line="229" w:lineRule="auto"/>
        <w:rPr>
          <w:sz w:val="20"/>
          <w:szCs w:val="20"/>
          <w:color w:val="auto"/>
        </w:rPr>
      </w:pPr>
      <w:r>
        <w:rPr>
          <w:rFonts w:ascii="Arial" w:cs="Arial" w:eastAsia="Arial" w:hAnsi="Arial"/>
          <w:sz w:val="16"/>
          <w:szCs w:val="16"/>
          <w:color w:val="auto"/>
        </w:rPr>
        <w:t xml:space="preserve">We currently have interest rate derivative agreements with hedging relationships that reference LIBOR. This guidance provides optional expedients and exceptions for applying GAAP to contracts, hedging relationships, and other transactions affected by reference rate reform if certain criteria are met. We are currently assessing the provisions of this guidance, and reviewing and updating our contracts, as applicable, for transition or fallback language that specifies how a replacement rate for LIBOR will be identified. We do not expect that the adoption of this guidance will have a material impact on our consolidated financial statements and related disclosures. This guidance will be in effect from March 12, 2020 through December 31, 2022. See Note 11,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further disclosure over our interest rate derivative agreements and debt instruments that reference LIBOR.</w:t>
      </w:r>
    </w:p>
    <w:p>
      <w:pPr>
        <w:spacing w:after="0" w:line="63" w:lineRule="exact"/>
        <w:rPr>
          <w:sz w:val="20"/>
          <w:szCs w:val="20"/>
          <w:color w:val="auto"/>
        </w:rPr>
      </w:pPr>
    </w:p>
    <w:p>
      <w:pPr>
        <w:sectPr>
          <w:pgSz w:w="11900" w:h="16838" w:orient="portrait"/>
          <w:cols w:equalWidth="0" w:num="3">
            <w:col w:w="3440" w:space="80"/>
            <w:col w:w="3240" w:space="280"/>
            <w:col w:w="4160"/>
          </w:cols>
          <w:pgMar w:left="320" w:top="118" w:right="379" w:bottom="1440" w:gutter="0" w:footer="0" w:header="0"/>
          <w:type w:val="continuous"/>
        </w:sectPr>
      </w:pPr>
    </w:p>
    <w:p>
      <w:pPr>
        <w:ind w:left="20"/>
        <w:spacing w:after="0" w:line="251" w:lineRule="auto"/>
        <w:rPr>
          <w:sz w:val="20"/>
          <w:szCs w:val="20"/>
          <w:color w:val="auto"/>
        </w:rPr>
      </w:pPr>
      <w:r>
        <w:rPr>
          <w:rFonts w:ascii="Arial" w:cs="Arial" w:eastAsia="Arial" w:hAnsi="Arial"/>
          <w:sz w:val="16"/>
          <w:szCs w:val="16"/>
          <w:color w:val="auto"/>
        </w:rPr>
        <w:t>ASU No. 2021-08: Accounting for Contract Assets and Contract Liabilities from Contracts with Customers (Topic 805)</w:t>
      </w:r>
    </w:p>
    <w:p>
      <w:pPr>
        <w:spacing w:after="0" w:line="20" w:lineRule="exact"/>
        <w:rPr>
          <w:sz w:val="20"/>
          <w:szCs w:val="20"/>
          <w:color w:val="auto"/>
        </w:rPr>
      </w:pPr>
      <w:r>
        <w:rPr>
          <w:sz w:val="20"/>
          <w:szCs w:val="20"/>
          <w:color w:val="auto"/>
        </w:rPr>
        <w:br w:type="column"/>
      </w:r>
    </w:p>
    <w:p>
      <w:pPr>
        <w:spacing w:after="0" w:line="205" w:lineRule="auto"/>
        <w:rPr>
          <w:sz w:val="20"/>
          <w:szCs w:val="20"/>
          <w:color w:val="auto"/>
        </w:rPr>
      </w:pPr>
      <w:r>
        <w:rPr>
          <w:rFonts w:ascii="Arial" w:cs="Arial" w:eastAsia="Arial" w:hAnsi="Arial"/>
          <w:sz w:val="18"/>
          <w:szCs w:val="18"/>
          <w:color w:val="auto"/>
        </w:rPr>
        <w:t>Requires entities to apply ASC 606 to recognize and measure contract assets and contract liabilities in a business combination. This guidance improves comparability after the business combination by providing consistent recognition and measurement guidance for revenue contracts with customers acquired in a business combination and revenue contracts with customers not acquired in a business combination.</w:t>
      </w:r>
    </w:p>
    <w:p>
      <w:pPr>
        <w:spacing w:after="0" w:line="20" w:lineRule="exact"/>
        <w:rPr>
          <w:sz w:val="20"/>
          <w:szCs w:val="20"/>
          <w:color w:val="auto"/>
        </w:rPr>
      </w:pPr>
      <w:r>
        <w:rPr>
          <w:sz w:val="20"/>
          <w:szCs w:val="20"/>
          <w:color w:val="auto"/>
        </w:rPr>
        <w:br w:type="column"/>
      </w:r>
    </w:p>
    <w:p>
      <w:pPr>
        <w:ind w:right="20"/>
        <w:spacing w:after="0" w:line="219" w:lineRule="auto"/>
        <w:rPr>
          <w:sz w:val="20"/>
          <w:szCs w:val="20"/>
          <w:color w:val="auto"/>
        </w:rPr>
      </w:pPr>
      <w:r>
        <w:rPr>
          <w:rFonts w:ascii="Arial" w:cs="Arial" w:eastAsia="Arial" w:hAnsi="Arial"/>
          <w:sz w:val="17"/>
          <w:szCs w:val="17"/>
          <w:color w:val="auto"/>
        </w:rPr>
        <w:t>We have made in the past, and we may make in the future, acquisitions to densify existing operations, expand service areas, and grow services for our customers and these acquisitions may include contract assets or contract liabilities. We do not expect that the adoption of this guidance will have a material impact on our consolidated financial statements and related disclosures. This guidance is effective January 1, 2023 with early adoption permitted.</w:t>
      </w:r>
    </w:p>
    <w:p>
      <w:pPr>
        <w:spacing w:after="0" w:line="539" w:lineRule="exact"/>
        <w:rPr>
          <w:sz w:val="20"/>
          <w:szCs w:val="20"/>
          <w:color w:val="auto"/>
        </w:rPr>
      </w:pPr>
    </w:p>
    <w:p>
      <w:pPr>
        <w:sectPr>
          <w:pgSz w:w="11900" w:h="16838" w:orient="portrait"/>
          <w:cols w:equalWidth="0" w:num="3">
            <w:col w:w="3140" w:space="380"/>
            <w:col w:w="3200" w:space="320"/>
            <w:col w:w="4160"/>
          </w:cols>
          <w:pgMar w:left="320" w:top="11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11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accounts receivable valuation allowance,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consolidated financial statements, as applicable. Actual results may differ materially from the estimates and assumptions that we use in the preparation of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purchased with original maturities of three months or less to be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1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restricted investment securities, accounts receivable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2021,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Credit Losses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Our reserve is evaluated and revised on a monthly basis. Past due accounts receivable are written off when deemed to be uncollectible. See Note 6, </w:t>
      </w:r>
      <w:r>
        <w:rPr>
          <w:rFonts w:ascii="Arial" w:cs="Arial" w:eastAsia="Arial" w:hAnsi="Arial"/>
          <w:sz w:val="16"/>
          <w:szCs w:val="16"/>
          <w:i w:val="1"/>
          <w:iCs w:val="1"/>
          <w:color w:val="auto"/>
        </w:rPr>
        <w:t>Accounts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Receivable, Net of Allowance for Credit Losses </w:t>
      </w:r>
      <w:r>
        <w:rPr>
          <w:rFonts w:ascii="Arial" w:cs="Arial" w:eastAsia="Arial" w:hAnsi="Arial"/>
          <w:sz w:val="16"/>
          <w:szCs w:val="16"/>
          <w:color w:val="auto"/>
        </w:rPr>
        <w:t>for disclosure over allowance for credit losses.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Inventory includes secondary fibers, recyclables ready for sale, and parts and supplies. Inventory is stated at the lower of cost (first-in, first-out) or market.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1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Property, plant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tbl>
      <w:tblPr>
        <w:tblLayout w:type="fixed"/>
        <w:tblInd w:w="0" w:type="dxa"/>
        <w:tblCellMar>
          <w:top w:w="0" w:type="dxa"/>
          <w:left w:w="0" w:type="dxa"/>
          <w:bottom w:w="0" w:type="dxa"/>
          <w:right w:w="0" w:type="dxa"/>
        </w:tblCellMar>
      </w:tblPr>
      <w:tr>
        <w:trPr>
          <w:trHeight w:val="143"/>
        </w:trPr>
        <w:tc>
          <w:tcPr>
            <w:tcW w:w="8180" w:type="dxa"/>
            <w:vAlign w:val="bottom"/>
            <w:vMerge w:val="restart"/>
          </w:tcPr>
          <w:p>
            <w:pPr>
              <w:ind w:left="3500"/>
              <w:spacing w:after="0"/>
              <w:rPr>
                <w:sz w:val="20"/>
                <w:szCs w:val="20"/>
                <w:color w:val="auto"/>
              </w:rPr>
            </w:pPr>
            <w:r>
              <w:rPr>
                <w:rFonts w:ascii="Arial" w:cs="Arial" w:eastAsia="Arial" w:hAnsi="Arial"/>
                <w:sz w:val="14"/>
                <w:szCs w:val="14"/>
                <w:b w:val="1"/>
                <w:bCs w:val="1"/>
                <w:color w:val="auto"/>
              </w:rPr>
              <w:t>Asset Classification</w:t>
            </w:r>
          </w:p>
        </w:tc>
        <w:tc>
          <w:tcPr>
            <w:tcW w:w="100" w:type="dxa"/>
            <w:vAlign w:val="bottom"/>
            <w:vMerge w:val="restart"/>
          </w:tcPr>
          <w:p>
            <w:pPr>
              <w:spacing w:after="0"/>
              <w:rPr>
                <w:sz w:val="12"/>
                <w:szCs w:val="12"/>
                <w:color w:val="auto"/>
              </w:rPr>
            </w:pPr>
          </w:p>
        </w:tc>
        <w:tc>
          <w:tcPr>
            <w:tcW w:w="2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2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10-30 years</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580" w:type="dxa"/>
            <w:vAlign w:val="bottom"/>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27"/>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Rolling stock</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Containers</w:t>
            </w:r>
          </w:p>
        </w:tc>
        <w:tc>
          <w:tcPr>
            <w:tcW w:w="2580" w:type="dxa"/>
            <w:vAlign w:val="bottom"/>
          </w:tcPr>
          <w:p>
            <w:pPr>
              <w:jc w:val="center"/>
              <w:spacing w:after="0"/>
              <w:rPr>
                <w:sz w:val="20"/>
                <w:szCs w:val="20"/>
                <w:color w:val="auto"/>
              </w:rPr>
            </w:pPr>
            <w:r>
              <w:rPr>
                <w:rFonts w:ascii="Arial" w:cs="Arial" w:eastAsia="Arial" w:hAnsi="Arial"/>
                <w:sz w:val="18"/>
                <w:szCs w:val="18"/>
                <w:color w:val="auto"/>
                <w:w w:val="86"/>
              </w:rPr>
              <w:t>5-12 years</w:t>
            </w:r>
          </w:p>
        </w:tc>
        <w:tc>
          <w:tcPr>
            <w:tcW w:w="0" w:type="dxa"/>
            <w:vAlign w:val="bottom"/>
          </w:tcPr>
          <w:p>
            <w:pPr>
              <w:spacing w:after="0"/>
              <w:rPr>
                <w:sz w:val="1"/>
                <w:szCs w:val="1"/>
                <w:color w:val="auto"/>
              </w:rPr>
            </w:pPr>
          </w:p>
        </w:tc>
      </w:tr>
      <w:tr>
        <w:trPr>
          <w:trHeight w:val="227"/>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cost of maintenance and repairs is charged to operations as incurred.</w:t>
      </w:r>
    </w:p>
    <w:p>
      <w:pPr>
        <w:spacing w:after="0" w:line="11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Landfill development costs are included in property, plant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 See the “</w:t>
      </w:r>
      <w:r>
        <w:rPr>
          <w:rFonts w:ascii="Arial" w:cs="Arial" w:eastAsia="Arial" w:hAnsi="Arial"/>
          <w:sz w:val="17"/>
          <w:szCs w:val="17"/>
          <w:i w:val="1"/>
          <w:iCs w:val="1"/>
          <w:color w:val="auto"/>
        </w:rPr>
        <w:t>Landfill Accounting</w:t>
      </w:r>
      <w:r>
        <w:rPr>
          <w:rFonts w:ascii="Arial" w:cs="Arial" w:eastAsia="Arial" w:hAnsi="Arial"/>
          <w:sz w:val="17"/>
          <w:szCs w:val="17"/>
          <w:color w:val="auto"/>
        </w:rPr>
        <w:t xml:space="preserve">” accounting policy below for additional disclosure about the amortization of landfill development costs and Note 7, </w:t>
      </w:r>
      <w:r>
        <w:rPr>
          <w:rFonts w:ascii="Arial" w:cs="Arial" w:eastAsia="Arial" w:hAnsi="Arial"/>
          <w:sz w:val="17"/>
          <w:szCs w:val="17"/>
          <w:i w:val="1"/>
          <w:iCs w:val="1"/>
          <w:color w:val="auto"/>
        </w:rPr>
        <w:t>Property, Plant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Equipment </w:t>
      </w:r>
      <w:r>
        <w:rPr>
          <w:rFonts w:ascii="Arial" w:cs="Arial" w:eastAsia="Arial" w:hAnsi="Arial"/>
          <w:sz w:val="17"/>
          <w:szCs w:val="17"/>
          <w:color w:val="auto"/>
        </w:rPr>
        <w:t>for disclosure about property, plant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1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Development Costs</w:t>
      </w:r>
    </w:p>
    <w:p>
      <w:pPr>
        <w:spacing w:after="0" w:line="11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estimate the total cost to develop each of our landfill sites to its remaining permitted and expansion capacity (see landfill development costs discussed within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ended December 31, 2021 ("fiscal 2021"), December 31, 2020 ("fiscal year 2020") and December 31, 2019 ("fiscal year 2019") was $718, $413 and $263,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Airspace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82"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i w:val="1"/>
          <w:iCs w:val="1"/>
          <w:color w:val="auto"/>
        </w:rPr>
        <w:t>Expansion Airspace</w:t>
      </w:r>
      <w:r>
        <w:rPr>
          <w:rFonts w:ascii="Arial" w:cs="Arial" w:eastAsia="Arial" w:hAnsi="Arial"/>
          <w:sz w:val="18"/>
          <w:szCs w:val="18"/>
          <w:color w:val="auto"/>
        </w:rPr>
        <w:t>. 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20" w:lineRule="exact"/>
        <w:rPr>
          <w:sz w:val="20"/>
          <w:szCs w:val="20"/>
          <w:color w:val="auto"/>
        </w:rPr>
      </w:pPr>
    </w:p>
    <w:p>
      <w:pPr>
        <w:ind w:left="480" w:hanging="31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58" w:lineRule="exact"/>
        <w:rPr>
          <w:rFonts w:ascii="Arial" w:cs="Arial" w:eastAsia="Arial" w:hAnsi="Arial"/>
          <w:sz w:val="18"/>
          <w:szCs w:val="18"/>
          <w:color w:val="auto"/>
        </w:rPr>
      </w:pPr>
    </w:p>
    <w:p>
      <w:pPr>
        <w:ind w:left="480" w:right="120" w:hanging="314"/>
        <w:spacing w:after="0" w:line="266" w:lineRule="auto"/>
        <w:tabs>
          <w:tab w:leader="none" w:pos="4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9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landfill asset retirement activities and related accounting:</w:t>
      </w:r>
    </w:p>
    <w:p>
      <w:pPr>
        <w:spacing w:after="0" w:line="11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Final capping activities include the installation of liners, drainage, compacted soil layers and topsoil over areas of a landfill where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Closure and post-closure costs represent future estimated costs related to monitoring and maintenance of a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(1.6% as of December 31, 2021). Final capping, closure and post-closure liabilities are then discounted using the credit adjusted risk-free rate in effect at the time the obligation is incurred. The weighted average rate applicable to our asset retirement obligations as of December 31, 2021 is between approximately 5.5% and 9.9%,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$6,775, $6,436 and $6,227 in fiscal years 2021, 2020 and 2019, respectively.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 xml:space="preserve">We provide for the accrual and amortization of estimated future obligations for closure and post-closure based on tonnage placed into each site. With regards to final capping, the liability is recognized, and the costs are amortized based on the remaining airspace related to the specific final capping event. See Note 10, </w:t>
      </w:r>
      <w:r>
        <w:rPr>
          <w:rFonts w:ascii="Arial" w:cs="Arial" w:eastAsia="Arial" w:hAnsi="Arial"/>
          <w:sz w:val="16"/>
          <w:szCs w:val="16"/>
          <w:i w:val="1"/>
          <w:iCs w:val="1"/>
          <w:color w:val="auto"/>
        </w:rPr>
        <w:t>Final Capping, Closure and Post-Closure Costs</w:t>
      </w:r>
      <w:r>
        <w:rPr>
          <w:rFonts w:ascii="Arial" w:cs="Arial" w:eastAsia="Arial" w:hAnsi="Arial"/>
          <w:sz w:val="16"/>
          <w:szCs w:val="16"/>
          <w:color w:val="auto"/>
        </w:rPr>
        <w:t xml:space="preserve"> for disclosure about asset retirement obligations related to final capping, closure and post-closure costs.</w:t>
      </w:r>
    </w:p>
    <w:p>
      <w:pPr>
        <w:spacing w:after="0" w:line="4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2021 and December 31, 2020 totaled $209,275 and $205,048, respectively. Letters of credit securing closure and post-closure obligations as of December 31, 2021 and December 31, 2020 totaled $0 and $0, respectively. See Note 14,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disclosure about restricted investment securities securing closure and post-closure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8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also party to three landfill operation and management agreements that we account for as operating leases.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w:t>
      </w:r>
    </w:p>
    <w:p>
      <w:pPr>
        <w:spacing w:after="0" w:line="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w:t>
      </w:r>
    </w:p>
    <w:p>
      <w:pPr>
        <w:spacing w:after="0" w:line="5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 xml:space="preserve">We recognize a right-of-use asset and a lease liability for core leases classified as operating leases with a term in excess of 12 months in our consolidated balance sheet. For other non-core operating leases, which is comprised of small-dollar-value items such as office equipment, we expense these costs in the period incurred rather than capitalizing such expenditures on our consolidated balance sheet.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 See Note 8,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further disclosure about lease costs and other lease information.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the excess of our purchase cost over the fair value of the net assets of acquired businesses. We do not amortize goodwill, but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 we assess our goodwill for impairment at least annually. See Note 9, </w:t>
      </w:r>
      <w:r>
        <w:rPr>
          <w:rFonts w:ascii="Arial" w:cs="Arial" w:eastAsia="Arial" w:hAnsi="Arial"/>
          <w:sz w:val="18"/>
          <w:szCs w:val="18"/>
          <w:i w:val="1"/>
          <w:iCs w:val="1"/>
          <w:color w:val="auto"/>
        </w:rPr>
        <w:t>Goodwill and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for disclosure about goodwill.</w:t>
      </w:r>
    </w:p>
    <w:p>
      <w:pPr>
        <w:spacing w:after="0" w:line="8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covenants not-to-compete, customer relationships, and trade names. Intangible assets are recorded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fair value and are amortized based on the economic benefit provided or using the straight-line method over their estimated useful lives. Covenants not-to-compete, customer relationships and trade names are typically amortized over a term of no more than 10 years. See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about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of December 31, 2021 and December 31, 2020, we had no investments accounted for under the equity method of accounting. Investments in affiliates in which we do not have the ability to exert significant influence over the investees’ operating and financing activities are accounted for under the cost method of accounting. As of both December 31, 2021 and December 31, 2020, we had cost method investments totaling $11,264.</w:t>
      </w:r>
    </w:p>
    <w:p>
      <w:pPr>
        <w:spacing w:after="0" w:line="8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Our financial instruments may include cash and cash equivalents, accounts receivable, restricted investment securities held in trust on deposit with various banks as collateral for our obligations relative to our landfill final capping, closure and post-closure costs, restricted cash reserved to finance certain capital projects, interest rate derivatives, trade payables and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 See Note 11,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Note 14, </w:t>
      </w: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for fair value disclosure about debt and financial instruments, respectively. See the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policy below for the fair value disclosure about interest rate derivatives.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right="480"/>
        <w:spacing w:after="0" w:line="296" w:lineRule="auto"/>
        <w:rPr>
          <w:sz w:val="20"/>
          <w:szCs w:val="20"/>
          <w:color w:val="auto"/>
        </w:rPr>
      </w:pPr>
      <w:r>
        <w:rPr>
          <w:rFonts w:ascii="Arial" w:cs="Arial" w:eastAsia="Arial" w:hAnsi="Arial"/>
          <w:sz w:val="17"/>
          <w:szCs w:val="17"/>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xml:space="preserve">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retrospectively in the consolidated financial statements of the current period. All acquisition related transaction and restructuring costs are to be expensed as incurred. See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 disclosure about business acquisitions</w:t>
      </w:r>
      <w:r>
        <w:rPr>
          <w:rFonts w:ascii="Arial" w:cs="Arial" w:eastAsia="Arial" w:hAnsi="Arial"/>
          <w:sz w:val="17"/>
          <w:szCs w:val="17"/>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 See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disclosure about environmental remediation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 and Related Costs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2021 under the workers’ compensation plan was $1,250 per individual event. Our maximum exposure in fiscal year 2021 under the automobile plan was $3,650 per individual event. The liability for unpaid claims and associated expenses, including incurred but not reported losses, is determined by management with the assistance of a third-party actuary and reflected in our consolidated balance sheets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$19,847 and $16,946 as of December 31, 2021 and December 31, 2020, respectively. Our estimated accruals for these liabilities could be significantly different than our ultimate obligations if variables such as the frequency or severity of future events differ significantly from our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5"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disclosure related to income taxes, including the effect of the valuation allowance release in fiscal year 2020.</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balance sheet as either an asset or liability measured at its fair value. The guidance requires that changes in the derivative’s fair value be recognized currently in earnings unless specific hedge accounting criteria are met.</w:t>
      </w:r>
    </w:p>
    <w:p>
      <w:pPr>
        <w:spacing w:after="0" w:line="85"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Our objective for utilizing derivative instruments is to reduce our exposure to fluctuations in cash flows due to changes in the commodity prices of recycled paper and adverse movements in interest rates.</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strategy to hedge against fluctuations in the commodity prices of recycled paper is to enter into hedges to mitigate the variability in cash flows generated from the sales of recycled paper at floating prices, resulting in a fixed price being received from these sales. We evaluate the hedges and ensure that these instruments qualify for hedge accounting pursuant to derivative and hedging guidance. Designated as highly effective cash flow hedges, both the effective and ineffective portion of the change in the fair value of these derivatives is recorded in our stockholders’ equity as a component of accumulated other comprehensive loss until the hedged item is settled and recognized as part of commodity revenue. If the price per short ton of the underlying commodity, as reported on the Official Board Market, is less than the contract price per short ton, we receive the difference between the average price and the contract price (multiplied by the notional tons) from the respective counter-party. If the price per short ton of the underlying commodity exceeds the contract price per short ton, we pay the calculated difference to the counter-party. The fair value of commodity hedges is obtained or derived from our counter-parties using valuation models that take into consideration market price assumptions for commodities based on underlying active markets. We were not party to any commodity hedge contracts as of December 31, 2021.</w:t>
      </w:r>
    </w:p>
    <w:p>
      <w:pPr>
        <w:spacing w:after="0" w:line="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Our strategy to hedge against fluctuations in variable interest rates involves entering into interest rate derivative agreements to hedge against adverse movements in interest rates. For interest rate derivatives deemed to be highly effective cash flow hedges, both the effective and ineffective portion of the change in fair value of these derivatives is recorded in our stockholders’ equity as a component of accumulated other comprehensive loss and reclassified into earnings through interest expense in the same period or periods during which the hedged transaction affects earnings. See Note 14, </w:t>
      </w:r>
      <w:r>
        <w:rPr>
          <w:rFonts w:ascii="Arial" w:cs="Arial" w:eastAsia="Arial" w:hAnsi="Arial"/>
          <w:sz w:val="16"/>
          <w:szCs w:val="16"/>
          <w:i w:val="1"/>
          <w:iCs w:val="1"/>
          <w:color w:val="auto"/>
        </w:rPr>
        <w:t>Fair Value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for fair value disclosure about derivative instruments and Note 11,</w:t>
      </w:r>
      <w:r>
        <w:rPr>
          <w:rFonts w:ascii="Arial" w:cs="Arial" w:eastAsia="Arial" w:hAnsi="Arial"/>
          <w:sz w:val="16"/>
          <w:szCs w:val="16"/>
          <w:i w:val="1"/>
          <w:iCs w:val="1"/>
          <w:color w:val="auto"/>
        </w:rPr>
        <w:t xml:space="preserve"> Debt </w:t>
      </w:r>
      <w:r>
        <w:rPr>
          <w:rFonts w:ascii="Arial" w:cs="Arial" w:eastAsia="Arial" w:hAnsi="Arial"/>
          <w:sz w:val="16"/>
          <w:szCs w:val="16"/>
          <w:color w:val="auto"/>
        </w:rPr>
        <w:t>for further disclosure about interest rate derivatives.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18" w:lineRule="exact"/>
        <w:rPr>
          <w:sz w:val="20"/>
          <w:szCs w:val="20"/>
          <w:color w:val="auto"/>
        </w:rPr>
      </w:pPr>
    </w:p>
    <w:p>
      <w:pPr>
        <w:ind w:right="160"/>
        <w:spacing w:after="0" w:line="328" w:lineRule="auto"/>
        <w:rPr>
          <w:sz w:val="20"/>
          <w:szCs w:val="20"/>
          <w:color w:val="auto"/>
        </w:rPr>
      </w:pPr>
      <w:r>
        <w:rPr>
          <w:rFonts w:ascii="Arial" w:cs="Arial" w:eastAsia="Arial" w:hAnsi="Arial"/>
          <w:sz w:val="14"/>
          <w:szCs w:val="14"/>
          <w:color w:val="auto"/>
        </w:rPr>
        <w:t xml:space="preserve">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See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for disclosure about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 See Note 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and Note 14, </w:t>
      </w:r>
      <w:r>
        <w:rPr>
          <w:rFonts w:ascii="Arial" w:cs="Arial" w:eastAsia="Arial" w:hAnsi="Arial"/>
          <w:sz w:val="14"/>
          <w:szCs w:val="14"/>
          <w:i w:val="1"/>
          <w:iCs w:val="1"/>
          <w:color w:val="auto"/>
        </w:rPr>
        <w:t xml:space="preserve">Fair Value of Financial Instruments </w:t>
      </w:r>
      <w:r>
        <w:rPr>
          <w:rFonts w:ascii="Arial" w:cs="Arial" w:eastAsia="Arial" w:hAnsi="Arial"/>
          <w:sz w:val="14"/>
          <w:szCs w:val="14"/>
          <w:color w:val="auto"/>
        </w:rPr>
        <w:t>for disclosure about contingent consideration accounted for under purchase accounting, as applicable.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disaggregate our revenues by applicable service line: collection, landfill, transfer, transportation, landfill gas-to-energy, processing, and non-processing. Under the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do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$13,071 and $4,960 in fiscal years 2021 and 2020, respectively. Rebates are generally recorded as a reduction of revenues upon the sale of such materials, or upon receipt of the recycled materials at our facilities. We did not record any revenues in fiscal years 2021, 2020, or 2019 from performance obligations satisfied in previous periods.</w:t>
      </w:r>
    </w:p>
    <w:p>
      <w:pPr>
        <w:spacing w:after="0" w:line="8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 xml:space="preserve">Contract receivables, which are included in Accounts receivable, net are recorded when billed or when related revenue is earned, if earlier, and represent claims against third-parties that will be settled in cash. Accounts receivable, net includes gross receivables from contracts of $89,232 and $74,162 as of December 31, 2021 and December 31, 2020, respectively. Certain customers are billed in advance and, accordingly, recognition of the related revenues is deferred as a contract liability until the services are provided and control is transferred to the customer. Contract liabilities of $3,404 and $2,685 as of December 31, 2021 and December 31, 2020, respectively, are presented separately on the face of the Consolidated Balance Sheets. Due to the short-term nature of advanced billings, substantially all of the deferred revenue recognized as a contract liability as of December 31, 2020 and December 31, 2019 was recognized as revenue during fiscal years 2021 and 2020, respectively, when the services were performed. See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 disclosure over revenues by applicable service 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Recovery of Long-Lived Assets. </w:t>
      </w:r>
      <w:r>
        <w:rPr>
          <w:rFonts w:ascii="Arial" w:cs="Arial" w:eastAsia="Arial" w:hAnsi="Arial"/>
          <w:sz w:val="16"/>
          <w:szCs w:val="16"/>
          <w:color w:val="auto"/>
        </w:rPr>
        <w:t>We continually assess whether events or changes in circumstances have occurred that may warrant revision of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of our long-lived assets (other than goodwill) or whether the remaining balances of those assets should be evaluated for possible impairment. Long-lived assets include, for example, capitalized landfill costs, other property, plant and equipment, identifiable intangible assets, and operating lease right-of-use assets. Events or changes in circumstances that may indicate that an asset may be impaired include the following:</w:t>
      </w:r>
    </w:p>
    <w:p>
      <w:pPr>
        <w:spacing w:after="0" w:line="3" w:lineRule="exact"/>
        <w:rPr>
          <w:sz w:val="20"/>
          <w:szCs w:val="20"/>
          <w:color w:val="auto"/>
        </w:rPr>
      </w:pPr>
    </w:p>
    <w:p>
      <w:pPr>
        <w:ind w:left="480" w:hanging="31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58" w:lineRule="exact"/>
        <w:rPr>
          <w:rFonts w:ascii="Arial" w:cs="Arial" w:eastAsia="Arial" w:hAnsi="Arial"/>
          <w:sz w:val="18"/>
          <w:szCs w:val="18"/>
          <w:color w:val="auto"/>
        </w:rPr>
      </w:pPr>
    </w:p>
    <w:p>
      <w:pPr>
        <w:ind w:left="480" w:right="40" w:hanging="314"/>
        <w:spacing w:after="0" w:line="266" w:lineRule="auto"/>
        <w:tabs>
          <w:tab w:leader="none" w:pos="4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70" w:lineRule="exact"/>
        <w:rPr>
          <w:rFonts w:ascii="Arial" w:cs="Arial" w:eastAsia="Arial" w:hAnsi="Arial"/>
          <w:sz w:val="17"/>
          <w:szCs w:val="17"/>
          <w:color w:val="auto"/>
        </w:rPr>
      </w:pPr>
    </w:p>
    <w:p>
      <w:pPr>
        <w:ind w:left="480" w:right="440" w:hanging="314"/>
        <w:spacing w:after="0" w:line="266" w:lineRule="auto"/>
        <w:tabs>
          <w:tab w:leader="none" w:pos="4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19" w:lineRule="exact"/>
        <w:rPr>
          <w:rFonts w:ascii="Arial" w:cs="Arial" w:eastAsia="Arial" w:hAnsi="Arial"/>
          <w:sz w:val="18"/>
          <w:szCs w:val="18"/>
          <w:color w:val="auto"/>
        </w:rPr>
      </w:pPr>
    </w:p>
    <w:p>
      <w:pPr>
        <w:ind w:left="480" w:right="20" w:hanging="314"/>
        <w:spacing w:after="0" w:line="266" w:lineRule="auto"/>
        <w:tabs>
          <w:tab w:leader="none" w:pos="4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8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8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annually assess goodwill for impairment during the fourth quarter of our fiscal year or more frequently if events or circumstances indicate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may exist.</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to determine whether goodwill impairment exists at the reporting unit.</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testing for goodwill impairment, we estimate the fair value of each reporting unit, which we have determined to be our geographic operating segments and our Resource Solutions operating segment, and compare the fair value with the carrying value of the net assets of each reporting unit. If the fair value is less than its carrying value, then we would recognize an impairment charge for the amount by which the carrying amount exceeds the reporting unit's fair value, noting that the amount is not to exceed the total amount of goodwill allocated to that reporting unit.</w:t>
      </w:r>
    </w:p>
    <w:p>
      <w:pPr>
        <w:spacing w:after="0" w:line="7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8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20" w:lineRule="exact"/>
        <w:rPr>
          <w:sz w:val="20"/>
          <w:szCs w:val="20"/>
          <w:color w:val="auto"/>
        </w:rPr>
      </w:pPr>
    </w:p>
    <w:p>
      <w:pPr>
        <w:ind w:left="480" w:hanging="31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more likely than not expectation that an operating segment or a significant portion thereof will be sold; or</w:t>
      </w:r>
    </w:p>
    <w:p>
      <w:pPr>
        <w:spacing w:after="0" w:line="58" w:lineRule="exact"/>
        <w:rPr>
          <w:rFonts w:ascii="Arial" w:cs="Arial" w:eastAsia="Arial" w:hAnsi="Arial"/>
          <w:sz w:val="18"/>
          <w:szCs w:val="18"/>
          <w:color w:val="auto"/>
        </w:rPr>
      </w:pPr>
    </w:p>
    <w:p>
      <w:pPr>
        <w:ind w:left="480" w:hanging="314"/>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operating segment.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2021. As of October 1, 2021, our Eastern, Western and Resource Solutions reporting units indicated that the fair value of each reporting unit exceeded its carrying amount, including goodwill. Furthermore, in each case the fair value of our Eastern, Western and Resource Solutions reporting units exceeded its carrying value by in excess of 180%. We incurred no impairment of goodwill as a result of our annual goodwill impairment tests in fiscal years 2021, 2020 or 2019. However, there can be no assurance that goodwill will not be impaired at any time in the future.</w:t>
      </w:r>
    </w:p>
    <w:p>
      <w:pPr>
        <w:spacing w:after="0" w:line="88"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i w:val="1"/>
          <w:iCs w:val="1"/>
          <w:color w:val="auto"/>
        </w:rPr>
        <w:t xml:space="preserve">Cost Method Investments. </w:t>
      </w:r>
      <w:r>
        <w:rPr>
          <w:rFonts w:ascii="Arial" w:cs="Arial" w:eastAsia="Arial" w:hAnsi="Arial"/>
          <w:sz w:val="17"/>
          <w:szCs w:val="17"/>
          <w:color w:val="auto"/>
        </w:rPr>
        <w:t>We monitor and assess the carrying value of our cost method investments throughout the year for potential impairment and write</w:t>
      </w:r>
      <w:r>
        <w:rPr>
          <w:rFonts w:ascii="Arial" w:cs="Arial" w:eastAsia="Arial" w:hAnsi="Arial"/>
          <w:sz w:val="17"/>
          <w:szCs w:val="17"/>
          <w:i w:val="1"/>
          <w:iCs w:val="1"/>
          <w:color w:val="auto"/>
        </w:rPr>
        <w:t xml:space="preserve"> </w:t>
      </w:r>
      <w:r>
        <w:rPr>
          <w:rFonts w:ascii="Arial" w:cs="Arial" w:eastAsia="Arial" w:hAnsi="Arial"/>
          <w:sz w:val="17"/>
          <w:szCs w:val="17"/>
          <w:color w:val="auto"/>
        </w:rPr>
        <w:t>them down to their fair value when other-than-temporary declines exist. We incurred no impairment of cost method investments in fiscal year 2021, 2020 or 2019. There can be no assurance that our cost method investments will not be impaired at any time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We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 See Note 15, </w:t>
      </w:r>
      <w:r>
        <w:rPr>
          <w:rFonts w:ascii="Arial" w:cs="Arial" w:eastAsia="Arial" w:hAnsi="Arial"/>
          <w:sz w:val="16"/>
          <w:szCs w:val="16"/>
          <w:i w:val="1"/>
          <w:iCs w:val="1"/>
          <w:color w:val="auto"/>
        </w:rPr>
        <w:t>Employee Benefit Plans</w:t>
      </w:r>
      <w:r>
        <w:rPr>
          <w:rFonts w:ascii="Arial" w:cs="Arial" w:eastAsia="Arial" w:hAnsi="Arial"/>
          <w:sz w:val="16"/>
          <w:szCs w:val="16"/>
          <w:color w:val="auto"/>
        </w:rPr>
        <w:t xml:space="preserve"> for disclosure about the Pension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7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 xml:space="preserve">The fair value of each stock option grant is estimated using a Black-Scholes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 See Note 13,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disclosure about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5"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 xml:space="preserve">Basic earnings per share is computed by dividing the net income by the weighted average number of common shares outstanding during the period. Diluted earnings per share is calculated based on the combined weighted average number of common shares and potentially dilutive shares. Dilutive shares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 See Note 18, </w:t>
      </w: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for disclosure about the calculation of earnings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December 31, 2021 through the date of this filing of the consolidated financial statements with the SEC on this Annual Report on Form 10-K. We have determined that there are no subsequent events that require recognition or additional disclosure in this Annual Report on Form 10-K.</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REVENUE RECOGNITION</w:t>
      </w:r>
    </w:p>
    <w:p>
      <w:pPr>
        <w:spacing w:after="0" w:line="11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We disaggregate our revenues by applicable service line as follows: collection, landfill, transfer, transportation, landfill gas-to-energy, processing and non-processing.</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1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11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112"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Processing services consist of the receipt of recycled, sludge or other organic materials at one of our materials recovery, processing or disposal facilities, where it is then sorted, mixed and/or processed, and then disposed of or sold. Revenues from processing services are derived from municipalities and customers in the form of processing fees, tipping fees, commodity sales, and organic material sales.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Non-processing</w:t>
      </w:r>
    </w:p>
    <w:p>
      <w:pPr>
        <w:spacing w:after="0" w:line="11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Revenues from non-processing services are derived from brokerage services; overall resource management services providing a wide range of environmental services and zero waste solutions to large and complex organizations; and traditional collection, disposal and recycling services provided to large account multi-site customers.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Eastern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Total Revenues</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175,816</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442,685</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91,973</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102,604</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264,569</w:t>
            </w:r>
          </w:p>
        </w:tc>
        <w:tc>
          <w:tcPr>
            <w:tcW w:w="4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235,122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889,211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63,666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65,551</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823,660</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264,569</w:t>
            </w: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235,122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889,211</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December 31, 2020</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Eastern</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Total Revenues</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147,698</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391,438</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85,549</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78,847</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69,757</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133,771</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220,285</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774,584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31,328</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743,256</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220,285</w:t>
            </w:r>
          </w:p>
        </w:tc>
        <w:tc>
          <w:tcPr>
            <w:tcW w:w="40" w:type="dxa"/>
            <w:vAlign w:val="bottom"/>
          </w:tcPr>
          <w:p>
            <w:pPr>
              <w:spacing w:after="0"/>
              <w:rPr>
                <w:sz w:val="18"/>
                <w:szCs w:val="18"/>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774,584</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7"/>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Eastern</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Total Revenues</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149,165</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372,041</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93,019</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76,053</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53,981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61,156</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124,622</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219,475</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345,212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178,603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743,290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24,286</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719,004</w:t>
            </w:r>
          </w:p>
        </w:tc>
        <w:tc>
          <w:tcPr>
            <w:tcW w:w="0" w:type="dxa"/>
            <w:vAlign w:val="bottom"/>
          </w:tcPr>
          <w:p>
            <w:pPr>
              <w:spacing w:after="0"/>
              <w:rPr>
                <w:sz w:val="1"/>
                <w:szCs w:val="1"/>
                <w:color w:val="auto"/>
              </w:rPr>
            </w:pPr>
          </w:p>
        </w:tc>
      </w:tr>
      <w:tr>
        <w:trPr>
          <w:trHeight w:val="219"/>
        </w:trPr>
        <w:tc>
          <w:tcPr>
            <w:tcW w:w="5200" w:type="dxa"/>
            <w:vAlign w:val="bottom"/>
          </w:tcPr>
          <w:p>
            <w:pPr>
              <w:ind w:left="2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219,475</w:t>
            </w:r>
          </w:p>
        </w:tc>
        <w:tc>
          <w:tcPr>
            <w:tcW w:w="40" w:type="dxa"/>
            <w:vAlign w:val="bottom"/>
          </w:tcPr>
          <w:p>
            <w:pPr>
              <w:spacing w:after="0"/>
              <w:rPr>
                <w:sz w:val="19"/>
                <w:szCs w:val="19"/>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345,212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178,603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743,290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2"/>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13"/>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fiscal year 2021, we acquired the following businesses: a residential, commercial and roll-off collection business in eastern Connecticut that operates a rail-served construction and demolition processing and waste transfer facility, a waste transfer station, a single-stream recycling facility, and several other recycling operations whose assets and liabilities are allocated between our Eastern region and Resource Solutions operating segments; a solid-waste collection business that operates a waste transfer station, a septic and portable toilet business, and two tuck-in solid-waste collection businesses in our Eastern region; and a solid-waste transfer station business, a waste composting and food-scrap hauling business, a solid-waste collection business that operates a waste transfer station, and two tuck-in solid-waste collection businesses in our Western region.</w:t>
      </w:r>
    </w:p>
    <w:p>
      <w:pPr>
        <w:spacing w:after="0" w:line="7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In fiscal year 2020, we acquired the following businesses: seven tuck-in solid waste collection businesses and a solid waste collection business in our Western region, a transportation business in our Eastern region, and one recycling operation in our Resource Solutions operating segment.</w:t>
      </w:r>
    </w:p>
    <w:p>
      <w:pPr>
        <w:spacing w:after="0" w:line="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fiscal year 2019, we acquired the following businesses: three tuck-in solid waste collection businesses in our Eastern region, four tuck-in solid waste collection businesses, a business comprised of solid waste collection, transfer and recycling operations, and a business comprised of solid waste hauling and transfer assets in our Western region.</w:t>
      </w:r>
    </w:p>
    <w:p>
      <w:pPr>
        <w:spacing w:after="0" w:line="8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 xml:space="preserve">The operating results of these businesses are included in the accompanying audited consolidated statements of operations from each date of acquisition,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See Note 14,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for further disclosure about contingent consideration. Acquired intangible assets other than goodwill that are subject to amortization include customer relationships, trade names and covenants not-to-compete. These are amortized over a four to ten-year period from the date of acquisition. All amounts recorded to goodwill in fiscal years 2021 and 2020 are expected to be deductible for tax purposes.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paid for these acquisitions and the allocation of the purchase price is as follows:</w:t>
      </w:r>
    </w:p>
    <w:p>
      <w:pPr>
        <w:spacing w:after="0" w:line="2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w:t>
      </w: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07"/>
        </w:trPr>
        <w:tc>
          <w:tcPr>
            <w:tcW w:w="73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166,489</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28,990</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72,118</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Other non-cash consideration</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5,470</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Holdbacks to sellers and contingent consideration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19"/>
        </w:trPr>
        <w:tc>
          <w:tcPr>
            <w:tcW w:w="730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82,177</w:t>
            </w:r>
          </w:p>
        </w:tc>
      </w:tr>
      <w:tr>
        <w:trPr>
          <w:trHeight w:val="207"/>
        </w:trPr>
        <w:tc>
          <w:tcPr>
            <w:tcW w:w="73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Allocated as follows: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7300" w:type="dxa"/>
            <w:vAlign w:val="bottom"/>
          </w:tcPr>
          <w:p>
            <w:pPr>
              <w:ind w:left="66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lease right-of-use-assets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660"/>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5,422</w:t>
            </w: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20,482</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names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660"/>
              <w:spacing w:after="0"/>
              <w:rPr>
                <w:sz w:val="20"/>
                <w:szCs w:val="20"/>
                <w:color w:val="auto"/>
              </w:rPr>
            </w:pPr>
            <w:r>
              <w:rPr>
                <w:rFonts w:ascii="Arial" w:cs="Arial" w:eastAsia="Arial" w:hAnsi="Arial"/>
                <w:sz w:val="18"/>
                <w:szCs w:val="18"/>
                <w:color w:val="auto"/>
              </w:rPr>
              <w:t>Covenants not-to-compete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4,412</w:t>
            </w:r>
          </w:p>
        </w:tc>
      </w:tr>
      <w:tr>
        <w:trPr>
          <w:trHeight w:val="227"/>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Other liabilities,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27"/>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0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(2,385)</w:t>
            </w:r>
          </w:p>
        </w:tc>
      </w:tr>
      <w:tr>
        <w:trPr>
          <w:trHeight w:val="220"/>
        </w:trPr>
        <w:tc>
          <w:tcPr>
            <w:tcW w:w="73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Fair value of assets acquired and liabilities assumed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133,751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56,473</w:t>
            </w:r>
          </w:p>
        </w:tc>
      </w:tr>
      <w:tr>
        <w:trPr>
          <w:trHeight w:val="219"/>
        </w:trPr>
        <w:tc>
          <w:tcPr>
            <w:tcW w:w="7300" w:type="dxa"/>
            <w:vAlign w:val="bottom"/>
          </w:tcPr>
          <w:p>
            <w:pPr>
              <w:ind w:left="20"/>
              <w:spacing w:after="0" w:line="205" w:lineRule="exact"/>
              <w:rPr>
                <w:sz w:val="20"/>
                <w:szCs w:val="20"/>
                <w:color w:val="auto"/>
              </w:rPr>
            </w:pPr>
            <w:r>
              <w:rPr>
                <w:rFonts w:ascii="Arial" w:cs="Arial" w:eastAsia="Arial" w:hAnsi="Arial"/>
                <w:sz w:val="18"/>
                <w:szCs w:val="18"/>
                <w:color w:val="auto"/>
              </w:rPr>
              <w:t>Excess purchase price to be allocated to goodwill</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25,704</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ind w:left="100"/>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right="380"/>
        <w:spacing w:after="0" w:line="263" w:lineRule="auto"/>
        <w:rPr>
          <w:sz w:val="20"/>
          <w:szCs w:val="20"/>
          <w:color w:val="auto"/>
        </w:rPr>
      </w:pPr>
      <w:r>
        <w:rPr>
          <w:rFonts w:ascii="Arial" w:cs="Arial" w:eastAsia="Arial" w:hAnsi="Arial"/>
          <w:sz w:val="18"/>
          <w:szCs w:val="18"/>
          <w:color w:val="auto"/>
        </w:rPr>
        <w:t>The following unaudited pro forma combined information shows our operational results as though each of the acquisitions completed had occurred as of January 1, 2019.</w:t>
      </w:r>
    </w:p>
    <w:p>
      <w:pPr>
        <w:ind w:left="8760"/>
        <w:spacing w:after="0" w:line="224" w:lineRule="auto"/>
        <w:rPr>
          <w:sz w:val="20"/>
          <w:szCs w:val="20"/>
          <w:color w:val="auto"/>
        </w:rPr>
      </w:pPr>
      <w:r>
        <w:rPr>
          <w:rFonts w:ascii="Arial" w:cs="Arial" w:eastAsia="Arial" w:hAnsi="Arial"/>
          <w:sz w:val="14"/>
          <w:szCs w:val="14"/>
          <w:b w:val="1"/>
          <w:bCs w:val="1"/>
          <w:color w:val="auto"/>
        </w:rPr>
        <w:t>Fiscal Year Ended</w:t>
      </w:r>
    </w:p>
    <w:p>
      <w:pPr>
        <w:ind w:left="89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72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883,708</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76,576</w:t>
            </w: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58,121</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55,328</w:t>
            </w: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266"/>
        </w:trPr>
        <w:tc>
          <w:tcPr>
            <w:tcW w:w="7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260" w:type="dxa"/>
            <w:vAlign w:val="bottom"/>
            <w:tcBorders>
              <w:bottom w:val="single" w:sz="8" w:color="CCEEFF"/>
            </w:tcBorders>
            <w:shd w:val="clear" w:color="auto" w:fill="CCEEFF"/>
          </w:tcPr>
          <w:p>
            <w:pPr>
              <w:ind w:left="340"/>
              <w:spacing w:after="0" w:line="204" w:lineRule="exact"/>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0.71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1.70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
        <w:spacing w:after="0" w:line="268" w:lineRule="auto"/>
        <w:rPr>
          <w:sz w:val="20"/>
          <w:szCs w:val="20"/>
          <w:color w:val="auto"/>
        </w:rPr>
      </w:pPr>
      <w:r>
        <w:rPr>
          <w:rFonts w:ascii="Arial" w:cs="Arial" w:eastAsia="Arial" w:hAnsi="Arial"/>
          <w:sz w:val="17"/>
          <w:szCs w:val="17"/>
          <w:color w:val="auto"/>
        </w:rPr>
        <w:t>Certain purchase price allocations are preliminary and are based on information existing at the acquisition dates or upon closing the transaction. This includes purchase price allocation associated with the accounting for an acquisition in fiscal year 2021 that has not yet been completed because we have not finalized the valuations of certain tangible and intangible assets. Accordingly, the purchase price allocation is subject to change. The pro forma results have been prepared for comparative purposes only and are not necessarily indicative of the actual results of operations had the acquisitions taken place as of January 1, 2019 or the results of our future operations. Furthermore, the pro forma results do not give effect to all cost savings or incremental costs that may occur as a result of the integration and consolidation of the completed acquisitions.</w:t>
      </w:r>
    </w:p>
    <w:p>
      <w:pPr>
        <w:spacing w:after="0" w:line="173" w:lineRule="exact"/>
        <w:rPr>
          <w:sz w:val="20"/>
          <w:szCs w:val="20"/>
          <w:color w:val="auto"/>
        </w:rPr>
      </w:pPr>
    </w:p>
    <w:p>
      <w:pPr>
        <w:ind w:left="100" w:right="4880"/>
        <w:spacing w:after="0" w:line="390" w:lineRule="auto"/>
        <w:rPr>
          <w:sz w:val="20"/>
          <w:szCs w:val="20"/>
          <w:color w:val="auto"/>
        </w:rPr>
      </w:pPr>
      <w:r>
        <w:rPr>
          <w:rFonts w:ascii="Arial" w:cs="Arial" w:eastAsia="Arial" w:hAnsi="Arial"/>
          <w:sz w:val="18"/>
          <w:szCs w:val="18"/>
          <w:b w:val="1"/>
          <w:bCs w:val="1"/>
          <w:color w:val="auto"/>
        </w:rPr>
        <w:t xml:space="preserve">6. ACCOUNTS RECEIVABLE, NET OF ALLOWANCE FOR CREDIT LOSSES </w:t>
      </w:r>
      <w:r>
        <w:rPr>
          <w:rFonts w:ascii="Arial" w:cs="Arial" w:eastAsia="Arial" w:hAnsi="Arial"/>
          <w:sz w:val="18"/>
          <w:szCs w:val="18"/>
          <w:color w:val="auto"/>
        </w:rPr>
        <w:t>A summary of the changes to allowance for credit losses follows:</w:t>
      </w:r>
    </w:p>
    <w:tbl>
      <w:tblPr>
        <w:tblLayout w:type="fixed"/>
        <w:tblInd w:w="0" w:type="dxa"/>
        <w:tblCellMar>
          <w:top w:w="0" w:type="dxa"/>
          <w:left w:w="0" w:type="dxa"/>
          <w:bottom w:w="0" w:type="dxa"/>
          <w:right w:w="0" w:type="dxa"/>
        </w:tblCellMar>
      </w:tblPr>
      <w:tr>
        <w:trPr>
          <w:trHeight w:val="143"/>
        </w:trPr>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Fiscal Year Ended</w:t>
            </w:r>
          </w:p>
        </w:tc>
        <w:tc>
          <w:tcPr>
            <w:tcW w:w="1600" w:type="dxa"/>
            <w:vAlign w:val="bottom"/>
          </w:tcPr>
          <w:p>
            <w:pPr>
              <w:spacing w:after="0"/>
              <w:rPr>
                <w:sz w:val="12"/>
                <w:szCs w:val="12"/>
                <w:color w:val="auto"/>
              </w:rPr>
            </w:pPr>
          </w:p>
        </w:tc>
      </w:tr>
      <w:tr>
        <w:trPr>
          <w:trHeight w:val="185"/>
        </w:trPr>
        <w:tc>
          <w:tcPr>
            <w:tcW w:w="4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December 31,</w:t>
            </w:r>
          </w:p>
        </w:tc>
        <w:tc>
          <w:tcPr>
            <w:tcW w:w="1600" w:type="dxa"/>
            <w:vAlign w:val="bottom"/>
            <w:tcBorders>
              <w:bottom w:val="single" w:sz="8" w:color="auto"/>
            </w:tcBorders>
          </w:tcPr>
          <w:p>
            <w:pPr>
              <w:spacing w:after="0"/>
              <w:rPr>
                <w:sz w:val="16"/>
                <w:szCs w:val="16"/>
                <w:color w:val="auto"/>
              </w:rPr>
            </w:pPr>
          </w:p>
        </w:tc>
      </w:tr>
      <w:tr>
        <w:trPr>
          <w:trHeight w:val="179"/>
        </w:trPr>
        <w:tc>
          <w:tcPr>
            <w:tcW w:w="4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2019</w:t>
            </w:r>
          </w:p>
        </w:tc>
      </w:tr>
      <w:tr>
        <w:trPr>
          <w:trHeight w:val="220"/>
        </w:trPr>
        <w:tc>
          <w:tcPr>
            <w:tcW w:w="4160" w:type="dxa"/>
            <w:vAlign w:val="bottom"/>
          </w:tcPr>
          <w:p>
            <w:pPr>
              <w:spacing w:after="0"/>
              <w:rPr>
                <w:sz w:val="20"/>
                <w:szCs w:val="20"/>
                <w:color w:val="auto"/>
              </w:rPr>
            </w:pPr>
            <w:r>
              <w:rPr>
                <w:rFonts w:ascii="Arial" w:cs="Arial" w:eastAsia="Arial" w:hAnsi="Arial"/>
                <w:sz w:val="18"/>
                <w:szCs w:val="18"/>
                <w:color w:val="auto"/>
              </w:rPr>
              <w:t>ce at beginning of period</w:t>
            </w:r>
          </w:p>
        </w:tc>
        <w:tc>
          <w:tcPr>
            <w:tcW w:w="148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2,333$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26"/>
        </w:trPr>
        <w:tc>
          <w:tcPr>
            <w:tcW w:w="4160" w:type="dxa"/>
            <w:vAlign w:val="bottom"/>
          </w:tcPr>
          <w:p>
            <w:pPr>
              <w:ind w:left="20"/>
              <w:spacing w:after="0"/>
              <w:rPr>
                <w:sz w:val="20"/>
                <w:szCs w:val="20"/>
                <w:color w:val="auto"/>
              </w:rPr>
            </w:pPr>
            <w:r>
              <w:rPr>
                <w:rFonts w:ascii="Arial" w:cs="Arial" w:eastAsia="Arial" w:hAnsi="Arial"/>
                <w:sz w:val="18"/>
                <w:szCs w:val="18"/>
                <w:color w:val="auto"/>
              </w:rPr>
              <w:t>lative effect of new accounting principle</w:t>
            </w: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ions - charged to expense</w:t>
            </w: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1,896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26"/>
        </w:trPr>
        <w:tc>
          <w:tcPr>
            <w:tcW w:w="4160" w:type="dxa"/>
            <w:vAlign w:val="bottom"/>
          </w:tcPr>
          <w:p>
            <w:pPr>
              <w:spacing w:after="0"/>
              <w:rPr>
                <w:sz w:val="20"/>
                <w:szCs w:val="20"/>
                <w:color w:val="auto"/>
              </w:rPr>
            </w:pPr>
            <w:r>
              <w:rPr>
                <w:rFonts w:ascii="Arial" w:cs="Arial" w:eastAsia="Arial" w:hAnsi="Arial"/>
                <w:sz w:val="18"/>
                <w:szCs w:val="18"/>
                <w:color w:val="auto"/>
              </w:rPr>
              <w:t>ctions - bad debts written off, net of recoveries</w:t>
            </w:r>
          </w:p>
        </w:tc>
        <w:tc>
          <w:tcPr>
            <w:tcW w:w="1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20"/>
        </w:trPr>
        <w:tc>
          <w:tcPr>
            <w:tcW w:w="4160" w:type="dxa"/>
            <w:vAlign w:val="bottom"/>
          </w:tcPr>
          <w:p>
            <w:pPr>
              <w:spacing w:after="0"/>
              <w:rPr>
                <w:sz w:val="20"/>
                <w:szCs w:val="20"/>
                <w:color w:val="auto"/>
              </w:rPr>
            </w:pPr>
            <w:r>
              <w:rPr>
                <w:rFonts w:ascii="Arial" w:cs="Arial" w:eastAsia="Arial" w:hAnsi="Arial"/>
                <w:sz w:val="18"/>
                <w:szCs w:val="18"/>
                <w:color w:val="auto"/>
              </w:rPr>
              <w:t>ce at end of period</w:t>
            </w:r>
          </w:p>
        </w:tc>
        <w:tc>
          <w:tcPr>
            <w:tcW w:w="1480" w:type="dxa"/>
            <w:vAlign w:val="bottom"/>
          </w:tcPr>
          <w:p>
            <w:pPr>
              <w:jc w:val="right"/>
              <w:ind w:right="451"/>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0"/>
        </w:trPr>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-767715</wp:posOffset>
            </wp:positionV>
            <wp:extent cx="6729095" cy="151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29095" cy="15176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-472440</wp:posOffset>
            </wp:positionV>
            <wp:extent cx="6729095" cy="143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29095" cy="14351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-185420</wp:posOffset>
            </wp:positionV>
            <wp:extent cx="6729095" cy="168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29095" cy="16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66040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220" w:top="118" w:right="3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PROPERTY, PLANT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4"/>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0"/>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Landfills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677,023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635,144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187,810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169,325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Rolling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252,642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204,333</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Containers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154,744</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1,617,698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1,411,394</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(900,882)</w:t>
            </w:r>
          </w:p>
        </w:tc>
      </w:tr>
      <w:tr>
        <w:trPr>
          <w:trHeight w:val="219"/>
        </w:trPr>
        <w:tc>
          <w:tcPr>
            <w:tcW w:w="82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644,604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510,512</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Depreciation expense for fiscal years 2021, 2020 and 2019 was $62,342, $54,370 and $45,060, respectively. Landfill amortization expense for fiscal years 2021, 2020 and 2019 was $30,295, $27,520 and $27,512, respectively.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LEASES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 Year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Year Ended</w:t>
            </w:r>
          </w:p>
        </w:tc>
      </w:tr>
      <w:tr>
        <w:trPr>
          <w:trHeight w:val="18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2020</w:t>
            </w: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5"/>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right-of-use assets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5,118</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3,736</w:t>
            </w: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1,201</w:t>
            </w:r>
          </w:p>
        </w:tc>
        <w:tc>
          <w:tcPr>
            <w:tcW w:w="40" w:type="dxa"/>
            <w:vAlign w:val="bottom"/>
            <w:shd w:val="clear" w:color="auto" w:fill="CCEEFF"/>
          </w:tcPr>
          <w:p>
            <w:pPr>
              <w:spacing w:after="0"/>
              <w:rPr>
                <w:sz w:val="19"/>
                <w:szCs w:val="19"/>
                <w:color w:val="auto"/>
              </w:rPr>
            </w:pPr>
          </w:p>
        </w:tc>
      </w:tr>
      <w:tr>
        <w:trPr>
          <w:trHeight w:val="225"/>
        </w:trPr>
        <w:tc>
          <w:tcPr>
            <w:tcW w:w="6740" w:type="dxa"/>
            <w:vAlign w:val="bottom"/>
          </w:tcPr>
          <w:p>
            <w:pPr>
              <w:ind w:left="260"/>
              <w:spacing w:after="0"/>
              <w:rPr>
                <w:sz w:val="20"/>
                <w:szCs w:val="20"/>
                <w:color w:val="auto"/>
              </w:rPr>
            </w:pPr>
            <w:r>
              <w:rPr>
                <w:rFonts w:ascii="Arial" w:cs="Arial" w:eastAsia="Arial" w:hAnsi="Arial"/>
                <w:sz w:val="18"/>
                <w:szCs w:val="18"/>
                <w:color w:val="auto"/>
              </w:rPr>
              <w:t>Fixed lease cost - vehicles, equipment and property</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5,562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8,476</w:t>
            </w: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 lease cost - landfill operating leases</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7,781</w:t>
            </w:r>
          </w:p>
        </w:tc>
        <w:tc>
          <w:tcPr>
            <w:tcW w:w="40" w:type="dxa"/>
            <w:vAlign w:val="bottom"/>
            <w:tcBorders>
              <w:bottom w:val="single" w:sz="8" w:color="auto"/>
            </w:tcBorders>
            <w:shd w:val="clear" w:color="auto" w:fill="CCEEFF"/>
          </w:tcPr>
          <w:p>
            <w:pPr>
              <w:spacing w:after="0"/>
              <w:rPr>
                <w:sz w:val="19"/>
                <w:szCs w:val="19"/>
                <w:color w:val="auto"/>
              </w:rPr>
            </w:pPr>
          </w:p>
        </w:tc>
      </w:tr>
      <w:tr>
        <w:trPr>
          <w:trHeight w:val="219"/>
        </w:trPr>
        <w:tc>
          <w:tcPr>
            <w:tcW w:w="6740" w:type="dxa"/>
            <w:vAlign w:val="bottom"/>
          </w:tcPr>
          <w:p>
            <w:pPr>
              <w:ind w:left="20"/>
              <w:spacing w:after="0"/>
              <w:rPr>
                <w:sz w:val="20"/>
                <w:szCs w:val="20"/>
                <w:color w:val="auto"/>
              </w:rPr>
            </w:pPr>
            <w:r>
              <w:rPr>
                <w:rFonts w:ascii="Arial" w:cs="Arial" w:eastAsia="Arial" w:hAnsi="Arial"/>
                <w:sz w:val="18"/>
                <w:szCs w:val="18"/>
                <w:color w:val="auto"/>
              </w:rPr>
              <w:t>Fixed lease cost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13,827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16,257</w:t>
            </w: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3,430</w:t>
            </w:r>
          </w:p>
        </w:tc>
        <w:tc>
          <w:tcPr>
            <w:tcW w:w="40" w:type="dxa"/>
            <w:vAlign w:val="bottom"/>
            <w:shd w:val="clear" w:color="auto" w:fill="CCEEFF"/>
          </w:tcPr>
          <w:p>
            <w:pPr>
              <w:spacing w:after="0"/>
              <w:rPr>
                <w:sz w:val="19"/>
                <w:szCs w:val="19"/>
                <w:color w:val="auto"/>
              </w:rPr>
            </w:pP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514</w:t>
            </w:r>
          </w:p>
        </w:tc>
        <w:tc>
          <w:tcPr>
            <w:tcW w:w="40" w:type="dxa"/>
            <w:vAlign w:val="bottom"/>
            <w:tcBorders>
              <w:bottom w:val="single" w:sz="8" w:color="auto"/>
            </w:tcBorders>
          </w:tcPr>
          <w:p>
            <w:pPr>
              <w:spacing w:after="0"/>
              <w:rPr>
                <w:sz w:val="19"/>
                <w:szCs w:val="19"/>
                <w:color w:val="auto"/>
              </w:rPr>
            </w:pPr>
          </w:p>
        </w:tc>
      </w:tr>
      <w:tr>
        <w:trPr>
          <w:trHeight w:val="24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24,393</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25,138</w:t>
            </w:r>
          </w:p>
        </w:tc>
        <w:tc>
          <w:tcPr>
            <w:tcW w:w="40" w:type="dxa"/>
            <w:vAlign w:val="bottom"/>
            <w:shd w:val="clear" w:color="auto" w:fill="CCEEFF"/>
          </w:tcPr>
          <w:p>
            <w:pPr>
              <w:spacing w:after="0"/>
              <w:rPr>
                <w:sz w:val="20"/>
                <w:szCs w:val="20"/>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6,534</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4,940</w:t>
            </w:r>
          </w:p>
        </w:tc>
        <w:tc>
          <w:tcPr>
            <w:tcW w:w="40" w:type="dxa"/>
            <w:vAlign w:val="bottom"/>
            <w:shd w:val="clear" w:color="auto" w:fill="CCEEFF"/>
          </w:tcPr>
          <w:p>
            <w:pPr>
              <w:spacing w:after="0"/>
              <w:rPr>
                <w:sz w:val="19"/>
                <w:szCs w:val="19"/>
                <w:color w:val="auto"/>
              </w:rPr>
            </w:pPr>
          </w:p>
        </w:tc>
      </w:tr>
      <w:tr>
        <w:trPr>
          <w:trHeight w:val="225"/>
        </w:trPr>
        <w:tc>
          <w:tcPr>
            <w:tcW w:w="6740" w:type="dxa"/>
            <w:vAlign w:val="bottom"/>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10,609</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13,078</w:t>
            </w: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20,752</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18,003</w:t>
            </w:r>
          </w:p>
        </w:tc>
        <w:tc>
          <w:tcPr>
            <w:tcW w:w="40" w:type="dxa"/>
            <w:vAlign w:val="bottom"/>
            <w:shd w:val="clear" w:color="auto" w:fill="CCEEFF"/>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3,827</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3,845</w:t>
            </w:r>
          </w:p>
        </w:tc>
        <w:tc>
          <w:tcPr>
            <w:tcW w:w="40" w:type="dxa"/>
            <w:vAlign w:val="bottom"/>
          </w:tcPr>
          <w:p>
            <w:pPr>
              <w:spacing w:after="0"/>
              <w:rPr>
                <w:sz w:val="19"/>
                <w:szCs w:val="19"/>
                <w:color w:val="auto"/>
              </w:rPr>
            </w:pPr>
          </w:p>
        </w:tc>
      </w:tr>
      <w:tr>
        <w:trPr>
          <w:trHeight w:val="267"/>
        </w:trPr>
        <w:tc>
          <w:tcPr>
            <w:tcW w:w="6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2021</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 (years)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3.6 %</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4.7 %</w:t>
            </w:r>
          </w:p>
        </w:tc>
      </w:tr>
      <w:tr>
        <w:trPr>
          <w:trHeight w:val="412"/>
        </w:trPr>
        <w:tc>
          <w:tcPr>
            <w:tcW w:w="6740" w:type="dxa"/>
            <w:vAlign w:val="bottom"/>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Finance Leases</w:t>
            </w:r>
          </w:p>
        </w:tc>
      </w:tr>
      <w:tr>
        <w:trPr>
          <w:trHeight w:val="225"/>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40" w:type="dxa"/>
            <w:vAlign w:val="bottom"/>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8,512</w:t>
            </w: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40" w:type="dxa"/>
            <w:vAlign w:val="bottom"/>
          </w:tcPr>
          <w:p>
            <w:pPr>
              <w:spacing w:after="0"/>
              <w:rPr>
                <w:sz w:val="19"/>
                <w:szCs w:val="19"/>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Fiscal year ending December 31, 2025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8,243</w:t>
            </w:r>
          </w:p>
        </w:tc>
        <w:tc>
          <w:tcPr>
            <w:tcW w:w="40" w:type="dxa"/>
            <w:vAlign w:val="bottom"/>
          </w:tcPr>
          <w:p>
            <w:pPr>
              <w:spacing w:after="0"/>
              <w:rPr>
                <w:sz w:val="19"/>
                <w:szCs w:val="19"/>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2026</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40" w:type="dxa"/>
            <w:vAlign w:val="bottom"/>
          </w:tcPr>
          <w:p>
            <w:pPr>
              <w:spacing w:after="0"/>
              <w:rPr>
                <w:sz w:val="19"/>
                <w:szCs w:val="19"/>
                <w:color w:val="auto"/>
              </w:rPr>
            </w:pP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10,745</w:t>
            </w:r>
          </w:p>
        </w:tc>
        <w:tc>
          <w:tcPr>
            <w:tcW w:w="40" w:type="dxa"/>
            <w:vAlign w:val="bottom"/>
          </w:tcPr>
          <w:p>
            <w:pPr>
              <w:spacing w:after="0"/>
              <w:rPr>
                <w:sz w:val="19"/>
                <w:szCs w:val="19"/>
                <w:color w:val="auto"/>
              </w:rPr>
            </w:pPr>
          </w:p>
        </w:tc>
      </w:tr>
      <w:tr>
        <w:trPr>
          <w:trHeight w:val="220"/>
        </w:trPr>
        <w:tc>
          <w:tcPr>
            <w:tcW w:w="6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51,917</w:t>
            </w:r>
          </w:p>
        </w:tc>
        <w:tc>
          <w:tcPr>
            <w:tcW w:w="40" w:type="dxa"/>
            <w:vAlign w:val="bottom"/>
          </w:tcPr>
          <w:p>
            <w:pPr>
              <w:spacing w:after="0"/>
              <w:rPr>
                <w:sz w:val="19"/>
                <w:szCs w:val="19"/>
                <w:color w:val="auto"/>
              </w:rPr>
            </w:pP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 expense</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40" w:type="dxa"/>
            <w:vAlign w:val="bottom"/>
          </w:tcPr>
          <w:p>
            <w:pPr>
              <w:spacing w:after="0"/>
              <w:rPr>
                <w:sz w:val="19"/>
                <w:szCs w:val="19"/>
                <w:color w:val="auto"/>
              </w:rPr>
            </w:pPr>
          </w:p>
        </w:tc>
      </w:tr>
      <w:tr>
        <w:trPr>
          <w:trHeight w:val="244"/>
        </w:trPr>
        <w:tc>
          <w:tcPr>
            <w:tcW w:w="67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Lease liability balance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45,724</w:t>
            </w:r>
          </w:p>
        </w:tc>
        <w:tc>
          <w:tcPr>
            <w:tcW w:w="40" w:type="dxa"/>
            <w:vAlign w:val="bottom"/>
          </w:tcPr>
          <w:p>
            <w:pPr>
              <w:spacing w:after="0"/>
              <w:rPr>
                <w:sz w:val="20"/>
                <w:szCs w:val="20"/>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hanging="354"/>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reportable operating segment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6"/>
                <w:szCs w:val="16"/>
                <w:color w:val="auto"/>
              </w:rPr>
            </w:pPr>
          </w:p>
        </w:tc>
        <w:tc>
          <w:tcPr>
            <w:tcW w:w="152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5"/>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Western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163,728</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0" w:type="dxa"/>
            <w:vAlign w:val="bottom"/>
          </w:tcPr>
          <w:p>
            <w:pPr>
              <w:spacing w:after="0"/>
              <w:rPr>
                <w:sz w:val="1"/>
                <w:szCs w:val="1"/>
                <w:color w:val="auto"/>
              </w:rPr>
            </w:pPr>
          </w:p>
        </w:tc>
      </w:tr>
      <w:tr>
        <w:trPr>
          <w:trHeight w:val="219"/>
        </w:trPr>
        <w:tc>
          <w:tcPr>
            <w:tcW w:w="584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37,959</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232,860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0"/>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24"/>
                <w:szCs w:val="2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24"/>
                <w:szCs w:val="24"/>
                <w:color w:val="auto"/>
              </w:rPr>
            </w:pPr>
          </w:p>
        </w:tc>
        <w:tc>
          <w:tcPr>
            <w:tcW w:w="152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5"/>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30,873</w:t>
            </w:r>
          </w:p>
        </w:tc>
        <w:tc>
          <w:tcPr>
            <w:tcW w:w="0" w:type="dxa"/>
            <w:vAlign w:val="bottom"/>
          </w:tcPr>
          <w:p>
            <w:pPr>
              <w:spacing w:after="0"/>
              <w:rPr>
                <w:sz w:val="1"/>
                <w:szCs w:val="1"/>
                <w:color w:val="auto"/>
              </w:rPr>
            </w:pPr>
          </w:p>
        </w:tc>
      </w:tr>
      <w:tr>
        <w:trPr>
          <w:trHeight w:val="225"/>
        </w:trPr>
        <w:tc>
          <w:tcPr>
            <w:tcW w:w="5840" w:type="dxa"/>
            <w:vAlign w:val="bottom"/>
          </w:tcPr>
          <w:p>
            <w:pPr>
              <w:ind w:left="20"/>
              <w:spacing w:after="0"/>
              <w:rPr>
                <w:sz w:val="20"/>
                <w:szCs w:val="20"/>
                <w:color w:val="auto"/>
              </w:rPr>
            </w:pPr>
            <w:r>
              <w:rPr>
                <w:rFonts w:ascii="Arial" w:cs="Arial" w:eastAsia="Arial" w:hAnsi="Arial"/>
                <w:sz w:val="18"/>
                <w:szCs w:val="18"/>
                <w:color w:val="auto"/>
              </w:rPr>
              <w:t>Western</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141,055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149,984</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18"/>
        </w:trPr>
        <w:tc>
          <w:tcPr>
            <w:tcW w:w="5840" w:type="dxa"/>
            <w:vAlign w:val="bottom"/>
          </w:tcPr>
          <w:p>
            <w:pPr>
              <w:ind w:left="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w:t>
            </w:r>
          </w:p>
        </w:tc>
        <w:tc>
          <w:tcPr>
            <w:tcW w:w="1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194,901</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Arial" w:cs="Arial" w:eastAsia="Arial" w:hAnsi="Arial"/>
                <w:sz w:val="18"/>
                <w:szCs w:val="18"/>
                <w:color w:val="auto"/>
              </w:rPr>
              <w:t>A summary of intangible assets is as follows:</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5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40" w:type="dxa"/>
            <w:vAlign w:val="bottom"/>
          </w:tcPr>
          <w:p>
            <w:pPr>
              <w:ind w:left="4580"/>
              <w:spacing w:after="0"/>
              <w:rPr>
                <w:sz w:val="20"/>
                <w:szCs w:val="20"/>
                <w:color w:val="auto"/>
              </w:rPr>
            </w:pPr>
            <w:r>
              <w:rPr>
                <w:rFonts w:ascii="Arial" w:cs="Arial" w:eastAsia="Arial" w:hAnsi="Arial"/>
                <w:sz w:val="14"/>
                <w:szCs w:val="14"/>
                <w:b w:val="1"/>
                <w:bCs w:val="1"/>
                <w:color w:val="auto"/>
              </w:rPr>
              <w:t>Covenants</w:t>
            </w:r>
          </w:p>
        </w:tc>
        <w:tc>
          <w:tcPr>
            <w:tcW w:w="140" w:type="dxa"/>
            <w:vAlign w:val="bottom"/>
          </w:tcPr>
          <w:p>
            <w:pPr>
              <w:spacing w:after="0"/>
              <w:rPr>
                <w:sz w:val="13"/>
                <w:szCs w:val="13"/>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Trade Names</w:t>
            </w:r>
          </w:p>
        </w:tc>
        <w:tc>
          <w:tcPr>
            <w:tcW w:w="200" w:type="dxa"/>
            <w:vAlign w:val="bottom"/>
          </w:tcPr>
          <w:p>
            <w:pPr>
              <w:spacing w:after="0"/>
              <w:rPr>
                <w:sz w:val="13"/>
                <w:szCs w:val="13"/>
                <w:color w:val="auto"/>
              </w:rPr>
            </w:pPr>
          </w:p>
        </w:tc>
        <w:tc>
          <w:tcPr>
            <w:tcW w:w="15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4"/>
        </w:trPr>
        <w:tc>
          <w:tcPr>
            <w:tcW w:w="5840" w:type="dxa"/>
            <w:vAlign w:val="bottom"/>
          </w:tcPr>
          <w:p>
            <w:pPr>
              <w:ind w:left="4420"/>
              <w:spacing w:after="0"/>
              <w:rPr>
                <w:sz w:val="20"/>
                <w:szCs w:val="20"/>
                <w:color w:val="auto"/>
              </w:rPr>
            </w:pPr>
            <w:r>
              <w:rPr>
                <w:rFonts w:ascii="Arial" w:cs="Arial" w:eastAsia="Arial" w:hAnsi="Arial"/>
                <w:sz w:val="14"/>
                <w:szCs w:val="14"/>
                <w:b w:val="1"/>
                <w:bCs w:val="1"/>
                <w:color w:val="auto"/>
              </w:rPr>
              <w:t>Not-to-Compete</w:t>
            </w:r>
          </w:p>
        </w:tc>
        <w:tc>
          <w:tcPr>
            <w:tcW w:w="1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225" cy="143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tbl>
      <w:tblPr>
        <w:tblLayout w:type="fixed"/>
        <w:tblInd w:w="20" w:type="dxa"/>
        <w:tblCellMar>
          <w:top w:w="0" w:type="dxa"/>
          <w:left w:w="0" w:type="dxa"/>
          <w:bottom w:w="0" w:type="dxa"/>
          <w:right w:w="0" w:type="dxa"/>
        </w:tblCellMar>
      </w:tblP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Balance, December 31, 2021</w:t>
            </w: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jc w:val="right"/>
              <w:ind w:right="39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28,777</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115,005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27"/>
        </w:trPr>
        <w:tc>
          <w:tcPr>
            <w:tcW w:w="4020" w:type="dxa"/>
            <w:vAlign w:val="bottom"/>
          </w:tcPr>
          <w:p>
            <w:pPr>
              <w:ind w:left="320"/>
              <w:spacing w:after="0"/>
              <w:rPr>
                <w:sz w:val="20"/>
                <w:szCs w:val="20"/>
                <w:color w:val="auto"/>
              </w:rPr>
            </w:pPr>
            <w:r>
              <w:rPr>
                <w:rFonts w:ascii="Arial" w:cs="Arial" w:eastAsia="Arial" w:hAnsi="Arial"/>
                <w:sz w:val="18"/>
                <w:szCs w:val="18"/>
                <w:color w:val="auto"/>
              </w:rPr>
              <w:t>Less accumulated amortization</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9"/>
        </w:trPr>
        <w:tc>
          <w:tcPr>
            <w:tcW w:w="4020" w:type="dxa"/>
            <w:vAlign w:val="bottom"/>
          </w:tcPr>
          <w:p>
            <w:pPr>
              <w:spacing w:after="0"/>
              <w:rPr>
                <w:sz w:val="19"/>
                <w:szCs w:val="19"/>
                <w:color w:val="auto"/>
              </w:rPr>
            </w:pPr>
          </w:p>
        </w:tc>
        <w:tc>
          <w:tcPr>
            <w:tcW w:w="6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4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Covenants</w:t>
            </w:r>
          </w:p>
        </w:tc>
        <w:tc>
          <w:tcPr>
            <w:tcW w:w="120" w:type="dxa"/>
            <w:vAlign w:val="bottom"/>
          </w:tcPr>
          <w:p>
            <w:pPr>
              <w:spacing w:after="0"/>
              <w:rPr>
                <w:sz w:val="24"/>
                <w:szCs w:val="24"/>
                <w:color w:val="auto"/>
              </w:rPr>
            </w:pPr>
          </w:p>
        </w:tc>
        <w:tc>
          <w:tcPr>
            <w:tcW w:w="1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Customer Relationships</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Not-to-Compete</w:t>
            </w:r>
          </w:p>
        </w:tc>
        <w:tc>
          <w:tcPr>
            <w:tcW w:w="1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2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26,971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78,809</w:t>
            </w:r>
          </w:p>
        </w:tc>
        <w:tc>
          <w:tcPr>
            <w:tcW w:w="0" w:type="dxa"/>
            <w:vAlign w:val="bottom"/>
          </w:tcPr>
          <w:p>
            <w:pPr>
              <w:spacing w:after="0"/>
              <w:rPr>
                <w:sz w:val="1"/>
                <w:szCs w:val="1"/>
                <w:color w:val="auto"/>
              </w:rPr>
            </w:pPr>
          </w:p>
        </w:tc>
      </w:tr>
      <w:tr>
        <w:trPr>
          <w:trHeight w:val="227"/>
        </w:trPr>
        <w:tc>
          <w:tcPr>
            <w:tcW w:w="4020" w:type="dxa"/>
            <w:vAlign w:val="bottom"/>
          </w:tcPr>
          <w:p>
            <w:pPr>
              <w:ind w:left="320"/>
              <w:spacing w:after="0"/>
              <w:rPr>
                <w:sz w:val="20"/>
                <w:szCs w:val="20"/>
                <w:color w:val="auto"/>
              </w:rPr>
            </w:pPr>
            <w:r>
              <w:rPr>
                <w:rFonts w:ascii="Arial" w:cs="Arial" w:eastAsia="Arial" w:hAnsi="Arial"/>
                <w:sz w:val="18"/>
                <w:szCs w:val="18"/>
                <w:color w:val="auto"/>
              </w:rPr>
              <w:t>Less accumulated amortization</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c>
          <w:tcPr>
            <w:tcW w:w="0" w:type="dxa"/>
            <w:vAlign w:val="bottom"/>
          </w:tcPr>
          <w:p>
            <w:pPr>
              <w:spacing w:after="0"/>
              <w:rPr>
                <w:sz w:val="1"/>
                <w:szCs w:val="1"/>
                <w:color w:val="auto"/>
              </w:rPr>
            </w:pPr>
          </w:p>
        </w:tc>
      </w:tr>
      <w:tr>
        <w:trPr>
          <w:trHeight w:val="219"/>
        </w:trPr>
        <w:tc>
          <w:tcPr>
            <w:tcW w:w="4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-1290955</wp:posOffset>
            </wp:positionV>
            <wp:extent cx="7134225" cy="143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-328930</wp:posOffset>
            </wp:positionV>
            <wp:extent cx="7134225" cy="143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-615950</wp:posOffset>
            </wp:positionV>
            <wp:extent cx="7134225" cy="143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fiscal years 2021, 2020 and 2019 was $10,953, $8,893 and $7,218,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amortization expense estimated for the five fiscal years following fiscal year 2021 and thereafter is as follows:</w:t>
      </w:r>
    </w:p>
    <w:p>
      <w:pPr>
        <w:spacing w:after="0" w:line="51" w:lineRule="exact"/>
        <w:rPr>
          <w:sz w:val="20"/>
          <w:szCs w:val="20"/>
          <w:color w:val="auto"/>
        </w:rPr>
      </w:pPr>
    </w:p>
    <w:p>
      <w:pPr>
        <w:ind w:left="20" w:right="4460"/>
        <w:spacing w:after="0" w:line="268" w:lineRule="auto"/>
        <w:rPr>
          <w:sz w:val="20"/>
          <w:szCs w:val="20"/>
          <w:color w:val="auto"/>
        </w:rPr>
      </w:pPr>
      <w:r>
        <w:rPr>
          <w:rFonts w:ascii="Arial" w:cs="Arial" w:eastAsia="Arial" w:hAnsi="Arial"/>
          <w:sz w:val="18"/>
          <w:szCs w:val="18"/>
          <w:b w:val="1"/>
          <w:bCs w:val="1"/>
          <w:color w:val="auto"/>
        </w:rPr>
        <w:t xml:space="preserve">Estimated Future Amortization Expense as of December 31, 2021 </w:t>
      </w:r>
      <w:r>
        <w:rPr>
          <w:rFonts w:ascii="Arial" w:cs="Arial" w:eastAsia="Arial" w:hAnsi="Arial"/>
          <w:sz w:val="18"/>
          <w:szCs w:val="18"/>
          <w:color w:val="auto"/>
        </w:rPr>
        <w:t>Fiscal year ending December 31, 2022 Fiscal year ending December 31, 2023 Fiscal year ending December 31, 2024 Fiscal year ending December 31, 2025 Fiscal year ending December 31, 2026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-586740</wp:posOffset>
            </wp:positionV>
            <wp:extent cx="7134225" cy="143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-299085</wp:posOffset>
            </wp:positionV>
            <wp:extent cx="7134225" cy="143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7134225" cy="143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 w:hanging="434"/>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FINAL CAPPING, CLOSURE AND POST-CLOSURE COSTS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069" w:hanging="1056"/>
        <w:spacing w:after="0"/>
        <w:tabs>
          <w:tab w:leader="none" w:pos="1069" w:val="left"/>
        </w:tabs>
        <w:numPr>
          <w:ilvl w:val="0"/>
          <w:numId w:val="47"/>
        </w:numPr>
        <w:rPr>
          <w:rFonts w:ascii="Arial" w:cs="Arial" w:eastAsia="Arial" w:hAnsi="Arial"/>
          <w:sz w:val="17"/>
          <w:szCs w:val="17"/>
          <w:color w:val="auto"/>
        </w:rPr>
      </w:pPr>
      <w:r>
        <w:rPr>
          <w:rFonts w:ascii="Arial" w:cs="Arial" w:eastAsia="Arial" w:hAnsi="Arial"/>
          <w:sz w:val="17"/>
          <w:szCs w:val="17"/>
          <w:color w:val="auto"/>
        </w:rPr>
        <w:t>152,132</w:t>
      </w:r>
    </w:p>
    <w:p>
      <w:pPr>
        <w:spacing w:after="0" w:line="30" w:lineRule="exact"/>
        <w:rPr>
          <w:rFonts w:ascii="Arial" w:cs="Arial" w:eastAsia="Arial" w:hAnsi="Arial"/>
          <w:sz w:val="17"/>
          <w:szCs w:val="17"/>
          <w:color w:val="auto"/>
        </w:rPr>
      </w:pPr>
    </w:p>
    <w:p>
      <w:pPr>
        <w:ind w:left="1069"/>
        <w:spacing w:after="0"/>
        <w:rPr>
          <w:rFonts w:ascii="Arial" w:cs="Arial" w:eastAsia="Arial" w:hAnsi="Arial"/>
          <w:sz w:val="17"/>
          <w:szCs w:val="17"/>
          <w:color w:val="auto"/>
        </w:rPr>
      </w:pPr>
      <w:r>
        <w:rPr>
          <w:rFonts w:ascii="Arial" w:cs="Arial" w:eastAsia="Arial" w:hAnsi="Arial"/>
          <w:sz w:val="16"/>
          <w:szCs w:val="16"/>
          <w:color w:val="auto"/>
        </w:rPr>
        <w:t>(58,409)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10890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5" w:lineRule="exact"/>
        <w:rPr>
          <w:sz w:val="20"/>
          <w:szCs w:val="20"/>
          <w:color w:val="auto"/>
        </w:rPr>
      </w:pPr>
    </w:p>
    <w:p>
      <w:pPr>
        <w:ind w:left="1149" w:hanging="1136"/>
        <w:spacing w:after="0"/>
        <w:tabs>
          <w:tab w:leader="none" w:pos="11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93,723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10890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10890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89"/>
        <w:spacing w:after="0"/>
        <w:rPr>
          <w:sz w:val="20"/>
          <w:szCs w:val="20"/>
          <w:color w:val="auto"/>
        </w:rPr>
      </w:pPr>
      <w:r>
        <w:rPr>
          <w:rFonts w:ascii="Arial" w:cs="Arial" w:eastAsia="Arial" w:hAnsi="Arial"/>
          <w:sz w:val="14"/>
          <w:szCs w:val="14"/>
          <w:b w:val="1"/>
          <w:bCs w:val="1"/>
          <w:color w:val="auto"/>
        </w:rPr>
        <w:t>Total</w:t>
      </w:r>
    </w:p>
    <w:p>
      <w:pPr>
        <w:spacing w:after="0" w:line="261" w:lineRule="exact"/>
        <w:rPr>
          <w:sz w:val="20"/>
          <w:szCs w:val="20"/>
          <w:color w:val="auto"/>
        </w:rPr>
      </w:pPr>
    </w:p>
    <w:p>
      <w:pPr>
        <w:ind w:left="1069" w:hanging="1069"/>
        <w:spacing w:after="0"/>
        <w:tabs>
          <w:tab w:leader="none" w:pos="10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105,780</w:t>
      </w:r>
    </w:p>
    <w:p>
      <w:pPr>
        <w:spacing w:after="0" w:line="30" w:lineRule="exact"/>
        <w:rPr>
          <w:rFonts w:ascii="Arial" w:cs="Arial" w:eastAsia="Arial" w:hAnsi="Arial"/>
          <w:sz w:val="17"/>
          <w:szCs w:val="17"/>
          <w:color w:val="auto"/>
        </w:rPr>
      </w:pPr>
    </w:p>
    <w:p>
      <w:pPr>
        <w:ind w:left="1069"/>
        <w:spacing w:after="0"/>
        <w:rPr>
          <w:rFonts w:ascii="Arial" w:cs="Arial" w:eastAsia="Arial" w:hAnsi="Arial"/>
          <w:sz w:val="17"/>
          <w:szCs w:val="17"/>
          <w:color w:val="auto"/>
        </w:rPr>
      </w:pPr>
      <w:r>
        <w:rPr>
          <w:rFonts w:ascii="Arial" w:cs="Arial" w:eastAsia="Arial" w:hAnsi="Arial"/>
          <w:sz w:val="16"/>
          <w:szCs w:val="16"/>
          <w:color w:val="auto"/>
        </w:rPr>
        <w:t>(47,456)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10979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35" w:lineRule="exact"/>
        <w:rPr>
          <w:sz w:val="20"/>
          <w:szCs w:val="20"/>
          <w:color w:val="auto"/>
        </w:rPr>
      </w:pPr>
    </w:p>
    <w:p>
      <w:pPr>
        <w:ind w:left="1149" w:hanging="1149"/>
        <w:spacing w:after="0"/>
        <w:tabs>
          <w:tab w:leader="none" w:pos="1149" w:val="left"/>
        </w:tabs>
        <w:numPr>
          <w:ilvl w:val="0"/>
          <w:numId w:val="50"/>
        </w:numPr>
        <w:rPr>
          <w:rFonts w:ascii="Arial" w:cs="Arial" w:eastAsia="Arial" w:hAnsi="Arial"/>
          <w:sz w:val="17"/>
          <w:szCs w:val="17"/>
          <w:color w:val="auto"/>
        </w:rPr>
      </w:pPr>
      <w:r>
        <w:rPr>
          <w:rFonts w:ascii="Arial" w:cs="Arial" w:eastAsia="Arial" w:hAnsi="Arial"/>
          <w:sz w:val="17"/>
          <w:szCs w:val="17"/>
          <w:color w:val="auto"/>
        </w:rPr>
        <w:t>58,324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979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979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44450</wp:posOffset>
            </wp:positionV>
            <wp:extent cx="10979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49" w:hanging="1149"/>
        <w:spacing w:after="0"/>
        <w:tabs>
          <w:tab w:leader="none" w:pos="1149" w:val="left"/>
        </w:tabs>
        <w:numPr>
          <w:ilvl w:val="0"/>
          <w:numId w:val="51"/>
        </w:numPr>
        <w:rPr>
          <w:rFonts w:ascii="Arial" w:cs="Arial" w:eastAsia="Arial" w:hAnsi="Arial"/>
          <w:sz w:val="17"/>
          <w:szCs w:val="17"/>
          <w:color w:val="auto"/>
        </w:rPr>
      </w:pPr>
      <w:r>
        <w:rPr>
          <w:rFonts w:ascii="Arial" w:cs="Arial" w:eastAsia="Arial" w:hAnsi="Arial"/>
          <w:sz w:val="17"/>
          <w:szCs w:val="17"/>
          <w:color w:val="auto"/>
        </w:rPr>
        <w:t>14,605</w:t>
      </w:r>
    </w:p>
    <w:p>
      <w:pPr>
        <w:spacing w:after="0" w:line="31" w:lineRule="exact"/>
        <w:rPr>
          <w:sz w:val="20"/>
          <w:szCs w:val="20"/>
          <w:color w:val="auto"/>
        </w:rPr>
      </w:pPr>
    </w:p>
    <w:p>
      <w:pPr>
        <w:ind w:left="1149" w:hanging="1149"/>
        <w:spacing w:after="0"/>
        <w:tabs>
          <w:tab w:leader="none" w:pos="1149" w:val="left"/>
        </w:tabs>
        <w:numPr>
          <w:ilvl w:val="0"/>
          <w:numId w:val="52"/>
        </w:numPr>
        <w:rPr>
          <w:rFonts w:ascii="Arial" w:cs="Arial" w:eastAsia="Arial" w:hAnsi="Arial"/>
          <w:sz w:val="17"/>
          <w:szCs w:val="17"/>
          <w:color w:val="auto"/>
        </w:rPr>
      </w:pPr>
      <w:r>
        <w:rPr>
          <w:rFonts w:ascii="Arial" w:cs="Arial" w:eastAsia="Arial" w:hAnsi="Arial"/>
          <w:sz w:val="17"/>
          <w:szCs w:val="17"/>
          <w:color w:val="auto"/>
        </w:rPr>
        <w:t>13,662</w:t>
      </w:r>
    </w:p>
    <w:p>
      <w:pPr>
        <w:spacing w:after="0" w:line="31" w:lineRule="exact"/>
        <w:rPr>
          <w:sz w:val="20"/>
          <w:szCs w:val="20"/>
          <w:color w:val="auto"/>
        </w:rPr>
      </w:pPr>
    </w:p>
    <w:p>
      <w:pPr>
        <w:ind w:left="1149" w:hanging="1149"/>
        <w:spacing w:after="0"/>
        <w:tabs>
          <w:tab w:leader="none" w:pos="1149" w:val="left"/>
        </w:tabs>
        <w:numPr>
          <w:ilvl w:val="0"/>
          <w:numId w:val="53"/>
        </w:numPr>
        <w:rPr>
          <w:rFonts w:ascii="Arial" w:cs="Arial" w:eastAsia="Arial" w:hAnsi="Arial"/>
          <w:sz w:val="17"/>
          <w:szCs w:val="17"/>
          <w:color w:val="auto"/>
        </w:rPr>
      </w:pPr>
      <w:r>
        <w:rPr>
          <w:rFonts w:ascii="Arial" w:cs="Arial" w:eastAsia="Arial" w:hAnsi="Arial"/>
          <w:sz w:val="17"/>
          <w:szCs w:val="17"/>
          <w:color w:val="auto"/>
        </w:rPr>
        <w:t>13,267</w:t>
      </w:r>
    </w:p>
    <w:p>
      <w:pPr>
        <w:spacing w:after="0" w:line="31" w:lineRule="exact"/>
        <w:rPr>
          <w:sz w:val="20"/>
          <w:szCs w:val="20"/>
          <w:color w:val="auto"/>
        </w:rPr>
      </w:pPr>
    </w:p>
    <w:p>
      <w:pPr>
        <w:ind w:left="1149" w:hanging="1149"/>
        <w:spacing w:after="0"/>
        <w:tabs>
          <w:tab w:leader="none" w:pos="1149" w:val="left"/>
        </w:tabs>
        <w:numPr>
          <w:ilvl w:val="0"/>
          <w:numId w:val="54"/>
        </w:numPr>
        <w:rPr>
          <w:rFonts w:ascii="Arial" w:cs="Arial" w:eastAsia="Arial" w:hAnsi="Arial"/>
          <w:sz w:val="17"/>
          <w:szCs w:val="17"/>
          <w:color w:val="auto"/>
        </w:rPr>
      </w:pPr>
      <w:r>
        <w:rPr>
          <w:rFonts w:ascii="Arial" w:cs="Arial" w:eastAsia="Arial" w:hAnsi="Arial"/>
          <w:sz w:val="17"/>
          <w:szCs w:val="17"/>
          <w:color w:val="auto"/>
        </w:rPr>
        <w:t>12,469</w:t>
      </w:r>
    </w:p>
    <w:p>
      <w:pPr>
        <w:spacing w:after="0" w:line="31" w:lineRule="exact"/>
        <w:rPr>
          <w:sz w:val="20"/>
          <w:szCs w:val="20"/>
          <w:color w:val="auto"/>
        </w:rPr>
      </w:pPr>
    </w:p>
    <w:p>
      <w:pPr>
        <w:ind w:left="1169" w:hanging="1169"/>
        <w:spacing w:after="0"/>
        <w:tabs>
          <w:tab w:leader="none" w:pos="1169" w:val="left"/>
        </w:tabs>
        <w:numPr>
          <w:ilvl w:val="0"/>
          <w:numId w:val="55"/>
        </w:numPr>
        <w:rPr>
          <w:rFonts w:ascii="Arial" w:cs="Arial" w:eastAsia="Arial" w:hAnsi="Arial"/>
          <w:sz w:val="17"/>
          <w:szCs w:val="17"/>
          <w:color w:val="auto"/>
        </w:rPr>
      </w:pPr>
      <w:r>
        <w:rPr>
          <w:rFonts w:ascii="Arial" w:cs="Arial" w:eastAsia="Arial" w:hAnsi="Arial"/>
          <w:sz w:val="17"/>
          <w:szCs w:val="17"/>
          <w:color w:val="auto"/>
        </w:rPr>
        <w:t>11,022</w:t>
      </w:r>
    </w:p>
    <w:p>
      <w:pPr>
        <w:spacing w:after="0" w:line="30" w:lineRule="exact"/>
        <w:rPr>
          <w:rFonts w:ascii="Arial" w:cs="Arial" w:eastAsia="Arial" w:hAnsi="Arial"/>
          <w:sz w:val="17"/>
          <w:szCs w:val="17"/>
          <w:color w:val="auto"/>
        </w:rPr>
      </w:pPr>
    </w:p>
    <w:p>
      <w:pPr>
        <w:ind w:left="1149" w:hanging="1149"/>
        <w:spacing w:after="0"/>
        <w:tabs>
          <w:tab w:leader="none" w:pos="1149" w:val="left"/>
        </w:tabs>
        <w:numPr>
          <w:ilvl w:val="0"/>
          <w:numId w:val="55"/>
        </w:numPr>
        <w:rPr>
          <w:rFonts w:ascii="Arial" w:cs="Arial" w:eastAsia="Arial" w:hAnsi="Arial"/>
          <w:sz w:val="17"/>
          <w:szCs w:val="17"/>
          <w:color w:val="auto"/>
        </w:rPr>
      </w:pPr>
      <w:r>
        <w:rPr>
          <w:rFonts w:ascii="Arial" w:cs="Arial" w:eastAsia="Arial" w:hAnsi="Arial"/>
          <w:sz w:val="17"/>
          <w:szCs w:val="17"/>
          <w:color w:val="auto"/>
        </w:rPr>
        <w:t>28,698</w:t>
      </w:r>
    </w:p>
    <w:p>
      <w:pPr>
        <w:spacing w:after="0" w:line="628" w:lineRule="exact"/>
        <w:rPr>
          <w:sz w:val="20"/>
          <w:szCs w:val="20"/>
          <w:color w:val="auto"/>
        </w:rPr>
      </w:pPr>
    </w:p>
    <w:p>
      <w:pPr>
        <w:sectPr>
          <w:pgSz w:w="11900" w:h="16838" w:orient="portrait"/>
          <w:cols w:equalWidth="0" w:num="2">
            <w:col w:w="9420" w:space="111"/>
            <w:col w:w="1709"/>
          </w:cols>
          <w:pgMar w:left="320" w:top="118" w:right="339" w:bottom="1440" w:gutter="0" w:footer="0" w:header="0"/>
          <w:type w:val="continuous"/>
        </w:sectPr>
      </w:pPr>
    </w:p>
    <w:p>
      <w:pPr>
        <w:ind w:right="20"/>
        <w:spacing w:after="0" w:line="294" w:lineRule="auto"/>
        <w:rPr>
          <w:sz w:val="20"/>
          <w:szCs w:val="20"/>
          <w:color w:val="auto"/>
        </w:rPr>
      </w:pPr>
      <w:r>
        <w:rPr>
          <w:rFonts w:ascii="Arial" w:cs="Arial" w:eastAsia="Arial" w:hAnsi="Arial"/>
          <w:sz w:val="16"/>
          <w:szCs w:val="16"/>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accrued final capping, closure and post-closure liabilities are as follows:</w:t>
      </w:r>
    </w:p>
    <w:p>
      <w:pPr>
        <w:spacing w:after="0" w:line="23"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Fiscal Year Ended</w:t>
      </w:r>
    </w:p>
    <w:p>
      <w:pPr>
        <w:ind w:left="8780"/>
        <w:spacing w:after="0"/>
        <w:rPr>
          <w:sz w:val="20"/>
          <w:szCs w:val="20"/>
          <w:color w:val="auto"/>
        </w:rPr>
      </w:pPr>
      <w:r>
        <w:rPr>
          <w:rFonts w:ascii="Arial" w:cs="Arial" w:eastAsia="Arial" w:hAnsi="Arial"/>
          <w:sz w:val="14"/>
          <w:szCs w:val="14"/>
          <w:b w:val="1"/>
          <w:bCs w:val="1"/>
          <w:color w:val="auto"/>
        </w:rPr>
        <w:t>December 31,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20"/>
        </w:trPr>
        <w:tc>
          <w:tcPr>
            <w:tcW w:w="75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Beginning balance</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71,927</w:t>
            </w:r>
          </w:p>
        </w:tc>
      </w:tr>
      <w:tr>
        <w:trPr>
          <w:trHeight w:val="225"/>
        </w:trPr>
        <w:tc>
          <w:tcPr>
            <w:tcW w:w="7500" w:type="dxa"/>
            <w:vAlign w:val="bottom"/>
          </w:tcPr>
          <w:p>
            <w:pPr>
              <w:ind w:left="340"/>
              <w:spacing w:after="0"/>
              <w:rPr>
                <w:sz w:val="20"/>
                <w:szCs w:val="20"/>
                <w:color w:val="auto"/>
              </w:rPr>
            </w:pPr>
            <w:r>
              <w:rPr>
                <w:rFonts w:ascii="Arial" w:cs="Arial" w:eastAsia="Arial" w:hAnsi="Arial"/>
                <w:sz w:val="18"/>
                <w:szCs w:val="18"/>
                <w:color w:val="auto"/>
              </w:rPr>
              <w:t>Obligations incurred</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3,840</w:t>
            </w:r>
          </w:p>
        </w:tc>
      </w:tr>
      <w:tr>
        <w:trPr>
          <w:trHeight w:val="227"/>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r>
      <w:tr>
        <w:trPr>
          <w:trHeight w:val="225"/>
        </w:trPr>
        <w:tc>
          <w:tcPr>
            <w:tcW w:w="75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6,436</w:t>
            </w:r>
          </w:p>
        </w:tc>
      </w:tr>
      <w:tr>
        <w:trPr>
          <w:trHeight w:val="227"/>
        </w:trPr>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r>
      <w:tr>
        <w:trPr>
          <w:trHeight w:val="219"/>
        </w:trPr>
        <w:tc>
          <w:tcPr>
            <w:tcW w:w="7500" w:type="dxa"/>
            <w:vAlign w:val="bottom"/>
          </w:tcPr>
          <w:p>
            <w:pPr>
              <w:ind w:left="20"/>
              <w:spacing w:after="0" w:line="205" w:lineRule="exact"/>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82,533</w:t>
            </w:r>
          </w:p>
        </w:tc>
      </w:tr>
      <w:tr>
        <w:trPr>
          <w:trHeight w:val="20"/>
        </w:trPr>
        <w:tc>
          <w:tcPr>
            <w:tcW w:w="7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80" w:right="220" w:hanging="314"/>
        <w:spacing w:after="0" w:line="266" w:lineRule="auto"/>
        <w:tabs>
          <w:tab w:leader="none" w:pos="4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Relates to changes in estimates and assumptions concerning anticipated waste flow, cost and timing of future final capping, closure and post-closure activities at our landfills.</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May include amounts paid and amounts that are being processed through accounts payable as a part of our disbursement cycle.</w:t>
      </w:r>
    </w:p>
    <w:p>
      <w:pPr>
        <w:spacing w:after="0" w:line="212" w:lineRule="exact"/>
        <w:rPr>
          <w:rFonts w:ascii="Arial" w:cs="Arial" w:eastAsia="Arial" w:hAnsi="Arial"/>
          <w:sz w:val="18"/>
          <w:szCs w:val="18"/>
          <w:color w:val="auto"/>
        </w:rPr>
      </w:pPr>
    </w:p>
    <w:p>
      <w:pPr>
        <w:ind w:left="440" w:hanging="434"/>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35"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21590</wp:posOffset>
            </wp:positionV>
            <wp:extent cx="1426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8" w:lineRule="exact"/>
        <w:rPr>
          <w:sz w:val="20"/>
          <w:szCs w:val="20"/>
          <w:color w:val="auto"/>
        </w:rPr>
      </w:pPr>
    </w:p>
    <w:p>
      <w:pPr>
        <w:ind w:left="9380"/>
        <w:spacing w:after="0"/>
        <w:tabs>
          <w:tab w:leader="none" w:pos="105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00"/>
          </w:cols>
          <w:pgMar w:left="320" w:top="118" w:right="37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225" cy="143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85" w:lineRule="exact"/>
        <w:rPr>
          <w:sz w:val="20"/>
          <w:szCs w:val="20"/>
          <w:color w:val="auto"/>
        </w:rPr>
      </w:pPr>
    </w:p>
    <w:p>
      <w:pPr>
        <w:ind w:left="20" w:right="360"/>
        <w:spacing w:after="0" w:line="230" w:lineRule="auto"/>
        <w:rPr>
          <w:sz w:val="20"/>
          <w:szCs w:val="20"/>
          <w:color w:val="auto"/>
        </w:rPr>
      </w:pPr>
      <w:r>
        <w:rPr>
          <w:rFonts w:ascii="Arial" w:cs="Arial" w:eastAsia="Arial" w:hAnsi="Arial"/>
          <w:sz w:val="18"/>
          <w:szCs w:val="18"/>
          <w:color w:val="auto"/>
        </w:rPr>
        <w:t>Amended and Restated Revolving Credit Facility due December 2026 ("Revolving Credit Facility"); bearing interest at LIBOR plus 1.375%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225" cy="2533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25336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Revolving Credit Facility due May 2023 amended and restated in December 2021; bore interest at LIBOR plus 1.75%</w:t>
      </w:r>
    </w:p>
    <w:p>
      <w:pPr>
        <w:spacing w:after="0" w:line="203" w:lineRule="exact"/>
        <w:rPr>
          <w:sz w:val="20"/>
          <w:szCs w:val="20"/>
          <w:color w:val="auto"/>
        </w:rPr>
      </w:pPr>
    </w:p>
    <w:p>
      <w:pPr>
        <w:ind w:left="20" w:right="160"/>
        <w:spacing w:after="0" w:line="230" w:lineRule="auto"/>
        <w:rPr>
          <w:sz w:val="20"/>
          <w:szCs w:val="20"/>
          <w:color w:val="auto"/>
        </w:rPr>
      </w:pPr>
      <w:r>
        <w:rPr>
          <w:rFonts w:ascii="Arial" w:cs="Arial" w:eastAsia="Arial" w:hAnsi="Arial"/>
          <w:sz w:val="18"/>
          <w:szCs w:val="18"/>
          <w:color w:val="auto"/>
        </w:rPr>
        <w:t>Amended and Restated Term Loan A Facility due December 2026 ("Term Loan Facility"); bearing interest at LIBOR plus 1.375%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225" cy="2533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25336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 Loan A Facility due May 2023 amended and restated in December 2021; bore interest at LIBOR plus 1.75%</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225" cy="2533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253365"/>
                    </a:xfrm>
                    <a:prstGeom prst="rect">
                      <a:avLst/>
                    </a:prstGeom>
                    <a:noFill/>
                  </pic:spPr>
                </pic:pic>
              </a:graphicData>
            </a:graphic>
          </wp:anchor>
        </w:drawing>
      </w:r>
    </w:p>
    <w:p>
      <w:pPr>
        <w:spacing w:after="0" w:line="5" w:lineRule="exact"/>
        <w:rPr>
          <w:sz w:val="20"/>
          <w:szCs w:val="20"/>
          <w:color w:val="auto"/>
        </w:rPr>
      </w:pPr>
    </w:p>
    <w:p>
      <w:pPr>
        <w:ind w:left="20"/>
        <w:spacing w:after="0" w:line="244" w:lineRule="auto"/>
        <w:rPr>
          <w:sz w:val="20"/>
          <w:szCs w:val="20"/>
          <w:color w:val="auto"/>
        </w:rPr>
      </w:pPr>
      <w:r>
        <w:rPr>
          <w:rFonts w:ascii="Arial" w:cs="Arial" w:eastAsia="Arial" w:hAnsi="Arial"/>
          <w:sz w:val="17"/>
          <w:szCs w:val="17"/>
          <w:color w:val="auto"/>
        </w:rPr>
        <w:t>New York State Environmental Facilities Corporation Solid Waste Disposal Revenue Bonds Series 2014 ("New York Bonds 2014R-1") due December 2044 - fixed rate interest period through 2029; bearing interest at 2.875%</w:t>
      </w:r>
    </w:p>
    <w:p>
      <w:pPr>
        <w:spacing w:after="0" w:line="1" w:lineRule="exact"/>
        <w:rPr>
          <w:sz w:val="20"/>
          <w:szCs w:val="20"/>
          <w:color w:val="auto"/>
        </w:rPr>
      </w:pPr>
    </w:p>
    <w:p>
      <w:pPr>
        <w:ind w:left="20" w:right="240"/>
        <w:spacing w:after="0" w:line="260" w:lineRule="auto"/>
        <w:rPr>
          <w:sz w:val="20"/>
          <w:szCs w:val="20"/>
          <w:color w:val="auto"/>
        </w:rPr>
      </w:pPr>
      <w:r>
        <w:rPr>
          <w:rFonts w:ascii="Arial" w:cs="Arial" w:eastAsia="Arial" w:hAnsi="Arial"/>
          <w:sz w:val="16"/>
          <w:szCs w:val="16"/>
          <w:color w:val="auto"/>
        </w:rPr>
        <w:t>New York State Environmental Facilities Corporation Solid Waste Disposal Revenue Bonds Series 2014R-2 ("New York Bonds 2014R-2") due December 2044 - fixed rate interest period through 2026; bearing interest at 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225" cy="2533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253365"/>
                    </a:xfrm>
                    <a:prstGeom prst="rect">
                      <a:avLst/>
                    </a:prstGeom>
                    <a:noFill/>
                  </pic:spPr>
                </pic:pic>
              </a:graphicData>
            </a:graphic>
          </wp:anchor>
        </w:drawing>
      </w:r>
    </w:p>
    <w:p>
      <w:pPr>
        <w:ind w:left="20"/>
        <w:spacing w:after="0" w:line="230" w:lineRule="auto"/>
        <w:rPr>
          <w:sz w:val="20"/>
          <w:szCs w:val="20"/>
          <w:color w:val="auto"/>
        </w:rPr>
      </w:pPr>
      <w:r>
        <w:rPr>
          <w:rFonts w:ascii="Arial" w:cs="Arial" w:eastAsia="Arial" w:hAnsi="Arial"/>
          <w:sz w:val="18"/>
          <w:szCs w:val="18"/>
          <w:color w:val="auto"/>
        </w:rPr>
        <w:t>New York State Environmental Facilities Corporation Solid Waste Disposal Revenue Bonds Series 2020 ("New York Bonds 2020") due September 2050 - fixed rate interest period through 2025; bearing interest at 2.750%</w:t>
      </w:r>
    </w:p>
    <w:p>
      <w:pPr>
        <w:spacing w:after="0" w:line="2" w:lineRule="exact"/>
        <w:rPr>
          <w:sz w:val="20"/>
          <w:szCs w:val="20"/>
          <w:color w:val="auto"/>
        </w:rPr>
      </w:pPr>
    </w:p>
    <w:p>
      <w:pPr>
        <w:ind w:left="20" w:right="120"/>
        <w:spacing w:after="0" w:line="230" w:lineRule="auto"/>
        <w:rPr>
          <w:sz w:val="20"/>
          <w:szCs w:val="20"/>
          <w:color w:val="auto"/>
        </w:rPr>
      </w:pPr>
      <w:r>
        <w:rPr>
          <w:rFonts w:ascii="Arial" w:cs="Arial" w:eastAsia="Arial" w:hAnsi="Arial"/>
          <w:sz w:val="18"/>
          <w:szCs w:val="18"/>
          <w:color w:val="auto"/>
        </w:rPr>
        <w:t>Finance Authority of Maine Solid Waste Disposal Revenue Bonds Series 2005R-3 ("FAME Bonds 2005R-3") due January 2025 - fixed rate interest period through 2025; bearing interest at 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225" cy="2533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253365"/>
                    </a:xfrm>
                    <a:prstGeom prst="rect">
                      <a:avLst/>
                    </a:prstGeom>
                    <a:noFill/>
                  </pic:spPr>
                </pic:pic>
              </a:graphicData>
            </a:graphic>
          </wp:anchor>
        </w:drawing>
      </w:r>
    </w:p>
    <w:p>
      <w:pPr>
        <w:ind w:left="20" w:right="160"/>
        <w:spacing w:after="0" w:line="230" w:lineRule="auto"/>
        <w:rPr>
          <w:sz w:val="20"/>
          <w:szCs w:val="20"/>
          <w:color w:val="auto"/>
        </w:rPr>
      </w:pPr>
      <w:r>
        <w:rPr>
          <w:rFonts w:ascii="Arial" w:cs="Arial" w:eastAsia="Arial" w:hAnsi="Arial"/>
          <w:sz w:val="18"/>
          <w:szCs w:val="18"/>
          <w:color w:val="auto"/>
        </w:rPr>
        <w:t>Finance Authority of Maine Solid Waste Disposal Revenue Bonds Series 2015R-1 ("FAME Bonds 2015R-1") due August 2035 - fixed rate interest period through 2025; bearing interest at 5.125%</w:t>
      </w:r>
    </w:p>
    <w:p>
      <w:pPr>
        <w:spacing w:after="0" w:line="82" w:lineRule="exact"/>
        <w:rPr>
          <w:sz w:val="20"/>
          <w:szCs w:val="20"/>
          <w:color w:val="auto"/>
        </w:rPr>
      </w:pPr>
    </w:p>
    <w:p>
      <w:pPr>
        <w:ind w:left="20" w:right="160"/>
        <w:spacing w:after="0" w:line="230" w:lineRule="auto"/>
        <w:rPr>
          <w:sz w:val="20"/>
          <w:szCs w:val="20"/>
          <w:color w:val="auto"/>
        </w:rPr>
      </w:pPr>
      <w:r>
        <w:rPr>
          <w:rFonts w:ascii="Arial" w:cs="Arial" w:eastAsia="Arial" w:hAnsi="Arial"/>
          <w:sz w:val="18"/>
          <w:szCs w:val="18"/>
          <w:color w:val="auto"/>
        </w:rPr>
        <w:t>Finance Authority of Maine Solid Waste Disposal Revenue Bonds Series 2015R-2 ("FAME Bonds 2015R-2") due August 2035 - fixed rate interest period through 2025; bearing interest at 4.375%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34225" cy="3632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363220"/>
                    </a:xfrm>
                    <a:prstGeom prst="rect">
                      <a:avLst/>
                    </a:prstGeom>
                    <a:noFill/>
                  </pic:spPr>
                </pic:pic>
              </a:graphicData>
            </a:graphic>
          </wp:anchor>
        </w:drawing>
      </w:r>
    </w:p>
    <w:p>
      <w:pPr>
        <w:spacing w:after="0" w:line="155" w:lineRule="exact"/>
        <w:rPr>
          <w:sz w:val="20"/>
          <w:szCs w:val="20"/>
          <w:color w:val="auto"/>
        </w:rPr>
      </w:pPr>
    </w:p>
    <w:p>
      <w:pPr>
        <w:ind w:left="20" w:right="480"/>
        <w:spacing w:after="0" w:line="247" w:lineRule="auto"/>
        <w:rPr>
          <w:sz w:val="20"/>
          <w:szCs w:val="20"/>
          <w:color w:val="auto"/>
        </w:rPr>
      </w:pPr>
      <w:r>
        <w:rPr>
          <w:rFonts w:ascii="Arial" w:cs="Arial" w:eastAsia="Arial" w:hAnsi="Arial"/>
          <w:sz w:val="17"/>
          <w:szCs w:val="17"/>
          <w:color w:val="auto"/>
        </w:rPr>
        <w:t>Vermont Economic Development Authority Solid Waste Disposal Long-Term Revenue Bonds Series 2013 ("Vermont Bonds") due April 2036 - fixed rate interest period through 2028; bearing interest at 4.625%</w:t>
      </w:r>
    </w:p>
    <w:p>
      <w:pPr>
        <w:spacing w:after="0" w:line="90" w:lineRule="exact"/>
        <w:rPr>
          <w:sz w:val="20"/>
          <w:szCs w:val="20"/>
          <w:color w:val="auto"/>
        </w:rPr>
      </w:pPr>
    </w:p>
    <w:p>
      <w:pPr>
        <w:ind w:left="20" w:right="500"/>
        <w:spacing w:after="0" w:line="243" w:lineRule="auto"/>
        <w:rPr>
          <w:sz w:val="20"/>
          <w:szCs w:val="20"/>
          <w:color w:val="auto"/>
        </w:rPr>
      </w:pPr>
      <w:r>
        <w:rPr>
          <w:rFonts w:ascii="Arial" w:cs="Arial" w:eastAsia="Arial" w:hAnsi="Arial"/>
          <w:sz w:val="17"/>
          <w:szCs w:val="17"/>
          <w:color w:val="auto"/>
        </w:rPr>
        <w:t>Business Finance Authority of the State of New Hampshire Solid Waste Disposal Revenue Bonds Series 2013 ("New Hampshire Bonds") due April 2029 - fixed rate interest period through 2029; bearing interest at 2.95%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225" cy="143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134225" cy="2533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253365"/>
                    </a:xfrm>
                    <a:prstGeom prst="rect">
                      <a:avLst/>
                    </a:prstGeom>
                    <a:noFill/>
                  </pic:spPr>
                </pic:pic>
              </a:graphicData>
            </a:graphic>
          </wp:anchor>
        </w:drawing>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payable maturing through June 2027; bearing interest at a weighted average of 3.1%</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Less—unamortized debt issuance costs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less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Less—current maturities of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780" w:val="left"/>
          <w:tab w:leader="none" w:pos="114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192"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65" w:lineRule="exact"/>
        <w:rPr>
          <w:sz w:val="20"/>
          <w:szCs w:val="20"/>
          <w:color w:val="auto"/>
        </w:rPr>
      </w:pPr>
    </w:p>
    <w:p>
      <w:pPr>
        <w:ind w:left="400"/>
        <w:spacing w:after="0"/>
        <w:tabs>
          <w:tab w:leader="none" w:pos="1960" w:val="left"/>
        </w:tabs>
        <w:rPr>
          <w:sz w:val="20"/>
          <w:szCs w:val="20"/>
          <w:color w:val="auto"/>
        </w:rPr>
      </w:pPr>
      <w:r>
        <w:rPr>
          <w:rFonts w:ascii="Arial" w:cs="Arial" w:eastAsia="Arial" w:hAnsi="Arial"/>
          <w:sz w:val="18"/>
          <w:szCs w:val="18"/>
          <w:color w:val="auto"/>
        </w:rPr>
        <w:t>350,000</w:t>
      </w:r>
      <w:r>
        <w:rPr>
          <w:sz w:val="20"/>
          <w:szCs w:val="20"/>
          <w:color w:val="auto"/>
        </w:rPr>
        <w:tab/>
      </w:r>
      <w:r>
        <w:rPr>
          <w:rFonts w:ascii="Arial" w:cs="Arial" w:eastAsia="Arial" w:hAnsi="Arial"/>
          <w:sz w:val="18"/>
          <w:szCs w:val="18"/>
          <w:color w:val="auto"/>
        </w:rPr>
        <w:t>—</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350,000</w:t>
      </w:r>
    </w:p>
    <w:p>
      <w:pPr>
        <w:spacing w:after="0" w:line="200" w:lineRule="exact"/>
        <w:rPr>
          <w:sz w:val="20"/>
          <w:szCs w:val="20"/>
          <w:color w:val="auto"/>
        </w:rPr>
      </w:pPr>
    </w:p>
    <w:p>
      <w:pPr>
        <w:spacing w:after="0" w:line="218"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25,000</w:t>
      </w:r>
    </w:p>
    <w:p>
      <w:pPr>
        <w:spacing w:after="0" w:line="215"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15,000</w:t>
      </w:r>
    </w:p>
    <w:p>
      <w:pPr>
        <w:spacing w:after="0" w:line="215"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40,000</w:t>
      </w:r>
      <w:r>
        <w:rPr>
          <w:sz w:val="20"/>
          <w:szCs w:val="20"/>
          <w:color w:val="auto"/>
        </w:rPr>
        <w:tab/>
      </w:r>
      <w:r>
        <w:rPr>
          <w:rFonts w:ascii="Arial" w:cs="Arial" w:eastAsia="Arial" w:hAnsi="Arial"/>
          <w:sz w:val="16"/>
          <w:szCs w:val="16"/>
          <w:color w:val="auto"/>
        </w:rPr>
        <w:t>40,000</w:t>
      </w:r>
    </w:p>
    <w:p>
      <w:pPr>
        <w:spacing w:after="0" w:line="215"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25,000</w:t>
      </w:r>
      <w:r>
        <w:rPr>
          <w:sz w:val="20"/>
          <w:szCs w:val="20"/>
          <w:color w:val="auto"/>
        </w:rPr>
        <w:tab/>
      </w:r>
      <w:r>
        <w:rPr>
          <w:rFonts w:ascii="Arial" w:cs="Arial" w:eastAsia="Arial" w:hAnsi="Arial"/>
          <w:sz w:val="16"/>
          <w:szCs w:val="16"/>
          <w:color w:val="auto"/>
        </w:rPr>
        <w:t>25,000</w:t>
      </w:r>
    </w:p>
    <w:p>
      <w:pPr>
        <w:spacing w:after="0" w:line="215"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15,000</w:t>
      </w:r>
    </w:p>
    <w:p>
      <w:pPr>
        <w:spacing w:after="0" w:line="388"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15,000</w:t>
      </w:r>
      <w:r>
        <w:rPr>
          <w:sz w:val="20"/>
          <w:szCs w:val="20"/>
          <w:color w:val="auto"/>
        </w:rPr>
        <w:tab/>
      </w:r>
      <w:r>
        <w:rPr>
          <w:rFonts w:ascii="Arial" w:cs="Arial" w:eastAsia="Arial" w:hAnsi="Arial"/>
          <w:sz w:val="16"/>
          <w:szCs w:val="16"/>
          <w:color w:val="auto"/>
        </w:rPr>
        <w:t>15,000</w:t>
      </w:r>
    </w:p>
    <w:p>
      <w:pPr>
        <w:spacing w:after="0" w:line="388"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16,000</w:t>
      </w:r>
      <w:r>
        <w:rPr>
          <w:sz w:val="20"/>
          <w:szCs w:val="20"/>
          <w:color w:val="auto"/>
        </w:rPr>
        <w:tab/>
      </w:r>
      <w:r>
        <w:rPr>
          <w:rFonts w:ascii="Arial" w:cs="Arial" w:eastAsia="Arial" w:hAnsi="Arial"/>
          <w:sz w:val="16"/>
          <w:szCs w:val="16"/>
          <w:color w:val="auto"/>
        </w:rPr>
        <w:t>16,000</w:t>
      </w:r>
    </w:p>
    <w:p>
      <w:pPr>
        <w:spacing w:after="0" w:line="215" w:lineRule="exact"/>
        <w:rPr>
          <w:sz w:val="20"/>
          <w:szCs w:val="20"/>
          <w:color w:val="auto"/>
        </w:rPr>
      </w:pPr>
    </w:p>
    <w:p>
      <w:pPr>
        <w:ind w:left="480"/>
        <w:spacing w:after="0"/>
        <w:tabs>
          <w:tab w:leader="none" w:pos="1660" w:val="left"/>
        </w:tabs>
        <w:rPr>
          <w:sz w:val="20"/>
          <w:szCs w:val="20"/>
          <w:color w:val="auto"/>
        </w:rPr>
      </w:pPr>
      <w:r>
        <w:rPr>
          <w:rFonts w:ascii="Arial" w:cs="Arial" w:eastAsia="Arial" w:hAnsi="Arial"/>
          <w:sz w:val="14"/>
          <w:szCs w:val="14"/>
          <w:color w:val="auto"/>
        </w:rPr>
        <w:t>11,000</w:t>
      </w:r>
      <w:r>
        <w:rPr>
          <w:sz w:val="20"/>
          <w:szCs w:val="20"/>
          <w:color w:val="auto"/>
        </w:rPr>
        <w:tab/>
      </w:r>
      <w:r>
        <w:rPr>
          <w:rFonts w:ascii="Arial" w:cs="Arial" w:eastAsia="Arial" w:hAnsi="Arial"/>
          <w:sz w:val="14"/>
          <w:szCs w:val="14"/>
          <w:color w:val="auto"/>
        </w:rPr>
        <w:t>11,000</w:t>
      </w:r>
    </w:p>
    <w:p>
      <w:pPr>
        <w:spacing w:after="0" w:line="200" w:lineRule="exact"/>
        <w:rPr>
          <w:sz w:val="20"/>
          <w:szCs w:val="20"/>
          <w:color w:val="auto"/>
        </w:rPr>
      </w:pPr>
    </w:p>
    <w:p>
      <w:pPr>
        <w:spacing w:after="0" w:line="264"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6"/>
          <w:szCs w:val="16"/>
          <w:color w:val="auto"/>
        </w:rPr>
        <w:t>45,724</w:t>
      </w:r>
      <w:r>
        <w:rPr>
          <w:sz w:val="20"/>
          <w:szCs w:val="20"/>
          <w:color w:val="auto"/>
        </w:rPr>
        <w:tab/>
      </w:r>
      <w:r>
        <w:rPr>
          <w:rFonts w:ascii="Arial" w:cs="Arial" w:eastAsia="Arial" w:hAnsi="Arial"/>
          <w:sz w:val="16"/>
          <w:szCs w:val="16"/>
          <w:color w:val="auto"/>
        </w:rPr>
        <w:t>31,486</w:t>
      </w:r>
    </w:p>
    <w:p>
      <w:pPr>
        <w:spacing w:after="0" w:line="215"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4"/>
          <w:szCs w:val="14"/>
          <w:color w:val="auto"/>
        </w:rPr>
        <w:t>4,846</w:t>
      </w:r>
      <w:r>
        <w:rPr>
          <w:sz w:val="20"/>
          <w:szCs w:val="20"/>
          <w:color w:val="auto"/>
        </w:rPr>
        <w:tab/>
      </w:r>
      <w:r>
        <w:rPr>
          <w:rFonts w:ascii="Arial" w:cs="Arial" w:eastAsia="Arial" w:hAnsi="Arial"/>
          <w:sz w:val="14"/>
          <w:szCs w:val="14"/>
          <w:color w:val="auto"/>
        </w:rPr>
        <w:t>4,933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40640</wp:posOffset>
            </wp:positionV>
            <wp:extent cx="1426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58" w:lineRule="exact"/>
        <w:rPr>
          <w:sz w:val="20"/>
          <w:szCs w:val="20"/>
          <w:color w:val="auto"/>
        </w:rPr>
      </w:pPr>
    </w:p>
    <w:p>
      <w:pPr>
        <w:ind w:left="400"/>
        <w:spacing w:after="0"/>
        <w:tabs>
          <w:tab w:leader="none" w:pos="1560" w:val="left"/>
        </w:tabs>
        <w:rPr>
          <w:sz w:val="20"/>
          <w:szCs w:val="20"/>
          <w:color w:val="auto"/>
        </w:rPr>
      </w:pPr>
      <w:r>
        <w:rPr>
          <w:rFonts w:ascii="Arial" w:cs="Arial" w:eastAsia="Arial" w:hAnsi="Arial"/>
          <w:sz w:val="16"/>
          <w:szCs w:val="16"/>
          <w:color w:val="auto"/>
        </w:rPr>
        <w:t>562,570</w:t>
      </w:r>
      <w:r>
        <w:rPr>
          <w:sz w:val="20"/>
          <w:szCs w:val="20"/>
          <w:color w:val="auto"/>
        </w:rPr>
        <w:tab/>
      </w:r>
      <w:r>
        <w:rPr>
          <w:rFonts w:ascii="Arial" w:cs="Arial" w:eastAsia="Arial" w:hAnsi="Arial"/>
          <w:sz w:val="16"/>
          <w:szCs w:val="16"/>
          <w:color w:val="auto"/>
        </w:rPr>
        <w:t>548,419</w:t>
      </w:r>
    </w:p>
    <w:p>
      <w:pPr>
        <w:spacing w:after="0" w:line="42" w:lineRule="exact"/>
        <w:rPr>
          <w:sz w:val="20"/>
          <w:szCs w:val="20"/>
          <w:color w:val="auto"/>
        </w:rPr>
      </w:pPr>
    </w:p>
    <w:p>
      <w:pPr>
        <w:ind w:left="480"/>
        <w:spacing w:after="0"/>
        <w:tabs>
          <w:tab w:leader="none" w:pos="1740" w:val="left"/>
        </w:tabs>
        <w:rPr>
          <w:sz w:val="20"/>
          <w:szCs w:val="20"/>
          <w:color w:val="auto"/>
        </w:rPr>
      </w:pPr>
      <w:r>
        <w:rPr>
          <w:rFonts w:ascii="Arial" w:cs="Arial" w:eastAsia="Arial" w:hAnsi="Arial"/>
          <w:sz w:val="14"/>
          <w:szCs w:val="14"/>
          <w:color w:val="auto"/>
        </w:rPr>
        <w:t>10,166</w:t>
      </w:r>
      <w:r>
        <w:rPr>
          <w:sz w:val="20"/>
          <w:szCs w:val="20"/>
          <w:color w:val="auto"/>
        </w:rPr>
        <w:tab/>
      </w:r>
      <w:r>
        <w:rPr>
          <w:rFonts w:ascii="Arial" w:cs="Arial" w:eastAsia="Arial" w:hAnsi="Arial"/>
          <w:sz w:val="14"/>
          <w:szCs w:val="14"/>
          <w:color w:val="auto"/>
        </w:rPr>
        <w:t>8,768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40640</wp:posOffset>
            </wp:positionV>
            <wp:extent cx="1426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58" w:lineRule="exact"/>
        <w:rPr>
          <w:sz w:val="20"/>
          <w:szCs w:val="20"/>
          <w:color w:val="auto"/>
        </w:rPr>
      </w:pPr>
    </w:p>
    <w:p>
      <w:pPr>
        <w:ind w:left="400"/>
        <w:spacing w:after="0"/>
        <w:tabs>
          <w:tab w:leader="none" w:pos="1560" w:val="left"/>
        </w:tabs>
        <w:rPr>
          <w:sz w:val="20"/>
          <w:szCs w:val="20"/>
          <w:color w:val="auto"/>
        </w:rPr>
      </w:pPr>
      <w:r>
        <w:rPr>
          <w:rFonts w:ascii="Arial" w:cs="Arial" w:eastAsia="Arial" w:hAnsi="Arial"/>
          <w:sz w:val="16"/>
          <w:szCs w:val="16"/>
          <w:color w:val="auto"/>
        </w:rPr>
        <w:t>552,404</w:t>
      </w:r>
      <w:r>
        <w:rPr>
          <w:sz w:val="20"/>
          <w:szCs w:val="20"/>
          <w:color w:val="auto"/>
        </w:rPr>
        <w:tab/>
      </w:r>
      <w:r>
        <w:rPr>
          <w:rFonts w:ascii="Arial" w:cs="Arial" w:eastAsia="Arial" w:hAnsi="Arial"/>
          <w:sz w:val="16"/>
          <w:szCs w:val="16"/>
          <w:color w:val="auto"/>
        </w:rPr>
        <w:t>539,651</w:t>
      </w:r>
    </w:p>
    <w:p>
      <w:pPr>
        <w:spacing w:after="0" w:line="42"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4"/>
          <w:szCs w:val="14"/>
          <w:color w:val="auto"/>
        </w:rPr>
        <w:t>9,901</w:t>
      </w:r>
      <w:r>
        <w:rPr>
          <w:sz w:val="20"/>
          <w:szCs w:val="20"/>
          <w:color w:val="auto"/>
        </w:rPr>
        <w:tab/>
      </w:r>
      <w:r>
        <w:rPr>
          <w:rFonts w:ascii="Arial" w:cs="Arial" w:eastAsia="Arial" w:hAnsi="Arial"/>
          <w:sz w:val="14"/>
          <w:szCs w:val="14"/>
          <w:color w:val="auto"/>
        </w:rPr>
        <w:t>9,240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40640</wp:posOffset>
            </wp:positionV>
            <wp:extent cx="1426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58" w:lineRule="exact"/>
        <w:rPr>
          <w:sz w:val="20"/>
          <w:szCs w:val="20"/>
          <w:color w:val="auto"/>
        </w:rPr>
      </w:pPr>
    </w:p>
    <w:p>
      <w:pPr>
        <w:spacing w:after="0"/>
        <w:tabs>
          <w:tab w:leader="none" w:pos="380" w:val="left"/>
          <w:tab w:leader="none" w:pos="1140" w:val="left"/>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542,503</w:t>
        <w:tab/>
        <w:t>$</w:t>
      </w:r>
      <w:r>
        <w:rPr>
          <w:sz w:val="20"/>
          <w:szCs w:val="20"/>
          <w:color w:val="auto"/>
        </w:rPr>
        <w:tab/>
      </w:r>
      <w:r>
        <w:rPr>
          <w:rFonts w:ascii="Arial" w:cs="Arial" w:eastAsia="Arial" w:hAnsi="Arial"/>
          <w:sz w:val="16"/>
          <w:szCs w:val="16"/>
          <w:color w:val="auto"/>
        </w:rPr>
        <w:t>530,411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11430</wp:posOffset>
            </wp:positionV>
            <wp:extent cx="1426845" cy="33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26845" cy="33655"/>
                    </a:xfrm>
                    <a:prstGeom prst="rect">
                      <a:avLst/>
                    </a:prstGeom>
                    <a:noFill/>
                  </pic:spPr>
                </pic:pic>
              </a:graphicData>
            </a:graphic>
          </wp:anchor>
        </w:drawing>
      </w:r>
    </w:p>
    <w:p>
      <w:pPr>
        <w:sectPr>
          <w:pgSz w:w="11900" w:h="16838" w:orient="portrait"/>
          <w:cols w:equalWidth="0" w:num="2">
            <w:col w:w="8840" w:space="180"/>
            <w:col w:w="2180"/>
          </w:cols>
          <w:pgMar w:left="320" w:top="118" w:right="37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24"/>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8540" w:type="dxa"/>
            <w:vAlign w:val="bottom"/>
          </w:tcPr>
          <w:p>
            <w:pPr>
              <w:ind w:left="220"/>
              <w:spacing w:after="0"/>
              <w:rPr>
                <w:sz w:val="20"/>
                <w:szCs w:val="20"/>
                <w:color w:val="auto"/>
              </w:rPr>
            </w:pPr>
            <w:r>
              <w:rPr>
                <w:rFonts w:ascii="Arial" w:cs="Arial" w:eastAsia="Arial" w:hAnsi="Arial"/>
                <w:sz w:val="18"/>
                <w:szCs w:val="18"/>
                <w:color w:val="auto"/>
              </w:rPr>
              <w:t>A summary of unamortized debt issuance costs by debt instrument follows: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20" w:type="dxa"/>
            <w:vAlign w:val="bottom"/>
            <w:tcBorders>
              <w:bottom w:val="single" w:sz="8" w:color="CCEEFF"/>
            </w:tcBorders>
          </w:tcPr>
          <w:p>
            <w:pPr>
              <w:spacing w:after="0"/>
              <w:rPr>
                <w:sz w:val="16"/>
                <w:szCs w:val="16"/>
                <w:color w:val="auto"/>
              </w:rPr>
            </w:pPr>
          </w:p>
        </w:tc>
        <w:tc>
          <w:tcPr>
            <w:tcW w:w="8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Amended and Restated Revolving Credit Facility and Term Loan Facility (collectively, the "Credit Facility")</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and Term Loan A Facility amended and restated in December 2021</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2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Bonds 2014R-1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New York Bonds 2014R-2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Bonds 2020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5"/>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FAME Bonds 2005R-3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31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FAME Bonds 2015R-1</w:t>
            </w:r>
          </w:p>
        </w:tc>
        <w:tc>
          <w:tcPr>
            <w:tcW w:w="26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81"/>
        </w:trPr>
        <w:tc>
          <w:tcPr>
            <w:tcW w:w="420" w:type="dxa"/>
            <w:vAlign w:val="bottom"/>
            <w:shd w:val="clear" w:color="auto" w:fill="CCEEFF"/>
          </w:tcPr>
          <w:p>
            <w:pPr>
              <w:spacing w:after="0"/>
              <w:rPr>
                <w:sz w:val="7"/>
                <w:szCs w:val="7"/>
                <w:color w:val="auto"/>
              </w:rPr>
            </w:pPr>
          </w:p>
        </w:tc>
        <w:tc>
          <w:tcPr>
            <w:tcW w:w="8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FAME Bonds 2015R-2</w:t>
            </w:r>
          </w:p>
        </w:tc>
        <w:tc>
          <w:tcPr>
            <w:tcW w:w="2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80"/>
        </w:trPr>
        <w:tc>
          <w:tcPr>
            <w:tcW w:w="420" w:type="dxa"/>
            <w:vAlign w:val="bottom"/>
          </w:tcPr>
          <w:p>
            <w:pPr>
              <w:spacing w:after="0"/>
              <w:rPr>
                <w:sz w:val="6"/>
                <w:szCs w:val="6"/>
                <w:color w:val="auto"/>
              </w:rPr>
            </w:pPr>
          </w:p>
        </w:tc>
        <w:tc>
          <w:tcPr>
            <w:tcW w:w="8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Vermont Bonds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5"/>
        </w:trPr>
        <w:tc>
          <w:tcPr>
            <w:tcW w:w="8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New Hampshire Bonds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4"/>
        </w:trPr>
        <w:tc>
          <w:tcPr>
            <w:tcW w:w="42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8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2021, we entered into an amended and restated credit agreement ("Amended and Restated Credit Agreement"), which provides for a</w:t>
      </w:r>
    </w:p>
    <w:p>
      <w:pPr>
        <w:spacing w:after="0" w:line="4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$350,000 aggregate principal amount Term Loan Facility and a $300,000 Revolving Credit Facility, with a $75,000 sublimit for letters of credit. The previous credit agreement included $347,375 aggregate principal amount of outstanding term loan and a revolving line of credit facility that had not been borrowed against at the time of amendment. The incremental proceeds from this transaction were used to pay related transaction expenses. We have the right to request, at our discretion, an increase in the amount of loans under the Credit Facility by an aggregate amount of $125,000, subject to the terms and conditions set forth in the Amended and Restated Credit Agreement. The Credit Facility has a 5-year term that matures in December 2026 and bears interest at a rate of LIBOR plus 1.375% per annum, which will be reduced to a rate of LIBOR plus as low as 1.125% upon us reaching a consolidated net leverage ratio of less than 2.25x. The Credit Facility contains customary benchmark replacement provisions pursuant to which, upon certain triggering events, the LIBOR benchmark used to calculate the LIBOR rate will be replaced with a secured overnight financing rate, as adjusted, on the terms and conditions in the Credit Facility. The Credit Facility is guaranteed jointly and severally, fully and unconditionally by all of our significant wholly-owned subsidiaries and secured by substantially all of our assets. As of December 31, 2021, further advances were available under the Credit Facility in the amount of $271,945. The available amount is net of outstanding irrevocable letters of credit totaling $28,055, at which date no amount had been drawn.</w:t>
      </w:r>
    </w:p>
    <w:p>
      <w:pPr>
        <w:spacing w:after="0" w:line="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Amended and Restated Credit Agreement requires us to maintain a minimum interest coverage ratio and a maximum consolidated net leverage ratio, to be measured at the end of each fiscal quarter. In addition to these financial covenants, the Amended and Restated Credit Agreement also contains a number of important customary affirmative and negative covenants which restrict, among other things, our ability to sell assets, incur additional debt, create liens, make investments, and pay dividends. As of December 31, 2021, we were in compliance with the covenants contained in the Amended and Restated Credit Agreement.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i w:val="1"/>
          <w:iCs w:val="1"/>
          <w:color w:val="auto"/>
        </w:rPr>
        <w:t xml:space="preserve">New York Bonds. </w:t>
      </w:r>
      <w:r>
        <w:rPr>
          <w:rFonts w:ascii="Arial" w:cs="Arial" w:eastAsia="Arial" w:hAnsi="Arial"/>
          <w:sz w:val="18"/>
          <w:szCs w:val="18"/>
          <w:color w:val="auto"/>
        </w:rPr>
        <w:t>In fiscal year 2020, we completed the issuance of $40,000 aggregate principal amount of New York Bonds 2020. The New York Bonds</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are unsecured and guaranteed jointly and severally, fully and unconditionally by all of our significant wholly-owned subsidiaries, accrue interest at 2.75% per annum from September 2, 2020 through September 1, 2025, at which time they may be converted to a variable interest rate period or to a new term interest rate period. The New York Bonds 2020 mature on September 1, 2050. As of December 31, 2021, we had outstanding $40,000 aggregate principal amount of New York Bonds 2020.</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fiscal year 2019, we completed the remarketing of $25,000 aggregate principal amount of New York Bonds 2014R-1. As of December 31, 2021, we had outstanding $25,000 aggregate principal amount of New York Bonds 2014R-1 and $15,000 aggregate principal amount of New York Bonds 2014R-2 issued by the New York State Environmental Facilities Corporation under the indenture dated December 1, 2014 (collectively, the “New York Bonds 2014”). The New York Bonds 2014R-1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2014, which are unsecured and guaranteed jointly and severally, fully and unconditionally by all of our significant wholly-owned subsidiaries, require interest payments on June 1 and December 1 of each year and mature on December 1, 2044. We borrowed the proceeds of the New York Bonds 2014 to finance or refinance certain capital projects in the state of New York and to pay certain costs of issuance of the New York Bonds 2014.</w:t>
      </w:r>
    </w:p>
    <w:p>
      <w:pPr>
        <w:spacing w:after="0" w:line="7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As of December 31, 2021, we had outstanding $25,000 aggregate principal amount of FAME Bonds 2005R-3, $15,000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FAME Bonds 2015R-1, and $15,000 aggregate principal amount of FAME Bonds 2015R-2 (collectively,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64"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As of December 31, 2021, we had outstanding $16,000 aggregate principal amount of Vermont Bonds. The Vermont Bonds,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In fiscal year 2019, we completed the remarketing of $11,000 aggregate principal amount of senior unsecured New Hampshire</w:t>
      </w:r>
      <w:r>
        <w:rPr>
          <w:rFonts w:ascii="Arial" w:cs="Arial" w:eastAsia="Arial" w:hAnsi="Arial"/>
          <w:sz w:val="17"/>
          <w:szCs w:val="17"/>
          <w:i w:val="1"/>
          <w:iCs w:val="1"/>
          <w:color w:val="auto"/>
        </w:rPr>
        <w:t xml:space="preserve"> </w:t>
      </w:r>
      <w:r>
        <w:rPr>
          <w:rFonts w:ascii="Arial" w:cs="Arial" w:eastAsia="Arial" w:hAnsi="Arial"/>
          <w:sz w:val="17"/>
          <w:szCs w:val="17"/>
          <w:color w:val="auto"/>
        </w:rPr>
        <w:t>Bonds. As of December 31, 2021, we had outstanding $11,000 aggregate principal amount of New Hampshire Bonds. The New Hampshire Bonds, which are guaranteed jointly and severally, fully and unconditionally by all of our significant wholly-owned subsidiaries, accrue interest at 2.95% per annum through maturity on April 1, 2029 and interest.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0"/>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Interest expense on long-term debt and finance leases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w:t>
            </w: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2,293</w:t>
            </w: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 of credit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4"/>
        </w:trPr>
        <w:tc>
          <w:tcPr>
            <w:tcW w:w="70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As of December 31, 2021 and December 31, 2020, our active interest rate derivative agreements had a total notional amount of $195,000 and $190,000, respectively. According to the terms of the agreements, we receive interest based on the 1-month LIBOR index, in some instances restricted by a 0.0% floor, and pay interest at a weighted average rate of approximately 2.51%. The agreements mature between February 2022 and December 2026.</w:t>
      </w:r>
    </w:p>
    <w:p>
      <w:pPr>
        <w:spacing w:after="0" w:line="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Additionally, we have forward starting interest rate derivative agreements that replace active agreements with a total notional amount of $85,000 that mature between February 2027 and May 2028. We will receive interest based on the 1-month LIBOR index, restricted by a 0.0% floor, and will pay interest at a weighted average rate of approximately 1.55%.</w:t>
      </w:r>
    </w:p>
    <w:p>
      <w:pPr>
        <w:spacing w:after="0" w:line="8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960" w:type="dxa"/>
            <w:vAlign w:val="bottom"/>
          </w:tcPr>
          <w:p>
            <w:pPr>
              <w:spacing w:after="0"/>
              <w:rPr>
                <w:sz w:val="11"/>
                <w:szCs w:val="11"/>
                <w:color w:val="auto"/>
              </w:rPr>
            </w:pPr>
          </w:p>
        </w:tc>
        <w:tc>
          <w:tcPr>
            <w:tcW w:w="420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00"/>
              <w:spacing w:after="0" w:line="132"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140" w:type="dxa"/>
            <w:vAlign w:val="bottom"/>
          </w:tcPr>
          <w:p>
            <w:pPr>
              <w:jc w:val="right"/>
              <w:ind w:right="215"/>
              <w:spacing w:after="0" w:line="132"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CCEEFF"/>
            </w:tcBorders>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8"/>
                <w:szCs w:val="18"/>
                <w:color w:val="auto"/>
              </w:rPr>
              <w:t>Interest rate swaps</w:t>
            </w:r>
          </w:p>
        </w:tc>
        <w:tc>
          <w:tcPr>
            <w:tcW w:w="4300" w:type="dxa"/>
            <w:vAlign w:val="bottom"/>
            <w:tcBorders>
              <w:bottom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1"/>
              <w:spacing w:after="0" w:line="194"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340"/>
              <w:spacing w:after="0" w:line="20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benefit</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loss, net into earnings follows:</w:t>
      </w:r>
    </w:p>
    <w:p>
      <w:pPr>
        <w:ind w:left="8560"/>
        <w:spacing w:after="0" w:line="224" w:lineRule="auto"/>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2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1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of December 31, 2021, the fair value of our fixed rate debt, including the FAME Bonds, Vermont Bonds, New York Bonds 2020, New York Bonds 2014 and New Hampshire Bonds was approximately $175,330 and the carrying value was $162,000. The fair value of the FAME Bonds, Vermont Bonds, New York Bonds 2020, New York Bonds 2014 and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58"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As of December 31, 2021, the carrying value of our Term Loan Facility was $350,000 and the carrying value of our Revolving Credit Facility was $0. Their fair values are based on current borrowing rates for similar types of borrowing arrangements, or Level 2 inputs, and approximate their carrying values.</w:t>
      </w:r>
    </w:p>
    <w:p>
      <w:pPr>
        <w:spacing w:after="0" w:line="2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Although we have determined the estimated fair value amounts of the FAME Bonds, Vermont Bonds, New York Bonds 2020, New York Bonds 2014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ectPr>
          <w:pgSz w:w="11900" w:h="16838" w:orient="portrait"/>
          <w:cols w:equalWidth="0" w:num="1">
            <w:col w:w="11240"/>
          </w:cols>
          <w:pgMar w:left="320" w:top="118"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of Debt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maturities of debt are as follows: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Future Payments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7117715" cy="143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2022</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17715" cy="143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Fiscal year ending December 31, 2024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17715" cy="143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Fiscal year ending December 31, 2026</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17715" cy="168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7715" cy="168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224"/>
        </w:trPr>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9,901</w:t>
            </w:r>
          </w:p>
        </w:tc>
      </w:tr>
      <w:tr>
        <w:trPr>
          <w:trHeight w:val="226"/>
        </w:trPr>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8,085</w:t>
            </w:r>
          </w:p>
        </w:tc>
      </w:tr>
    </w:tbl>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11,400</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41,975</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345,001</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146,208</w:t>
      </w:r>
    </w:p>
    <w:p>
      <w:pPr>
        <w:spacing w:after="0" w:line="32" w:lineRule="exact"/>
        <w:rPr>
          <w:sz w:val="20"/>
          <w:szCs w:val="20"/>
          <w:color w:val="auto"/>
        </w:rPr>
      </w:pPr>
    </w:p>
    <w:p>
      <w:pPr>
        <w:ind w:left="1362" w:hanging="1362"/>
        <w:spacing w:after="0"/>
        <w:tabs>
          <w:tab w:leader="none" w:pos="13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562,570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51435</wp:posOffset>
            </wp:positionV>
            <wp:extent cx="12915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78" w:space="720"/>
            <w:col w:w="2042"/>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9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On October 9, 2020, North Country Environmental Services, Inc. ("NCES") received a Type I-A Permit Modification (the "Permit") for Expansion in the Stage VI area of the NCES landfill located in Bethlehem, New Hampshire ("NCES Landfill"). On November 9, 2020, the Conservation Law Foundation ("CLF") filed an appeal of the Permit to the New Hampshire Waste Management Council (the “Council”) on the grounds it failed to meet the public benefit criteria. On January 19, 2021, CLF filed a Complaint for Injunctive Relief with the Grafton Superior Court to enjoin NCES from accepting waste pursuant to the new Permit until such a time as CLF has exhausted its appeal rights. A hearing on the Complaint for Injunctive Relief was held on March 10, 2021; the Grafton Superior Court denied the motion on May 14, 2021. CLF did not appeal this decision. The Council denied NCES’s Motion to Dismiss CLF’s appeal for lack of standing by Order dated March 17, 2021. NCES filed a Motion to Reconsider on March 26, 2021, which was denied by the Council on May 11, 2021. A prehearing conference was held and a schedule for the case was established on June 8, 2021. NCES filed a Motion to Dismiss on the merits of the appeal on June 30, 2021. On July 16, 2021, CLF filed its objection to the Motion to Dismiss, and NCES filed its reply on July 26, 2021. The Council issued an Order on September 3, 2021 granting NCES’s Motion to Dismiss, in part. CLF filed a Motion for Reconsideration on September 23, 2021, and NCES filed its objection on September 28, 2021 and CLF filed a reply on September 30, 2021. CLF’s Motion for Reconsideration was granted on November 19, 2021, and its’ dismissed claims reinstated. On January 14, 2022 NCES filed a Motion in Limine seeking to exclude from evidence four potential evidentiary items on the basis that those items were either not directly related, or were not included in CLF’s Notice of Appeal. On January 21, 2022 CLF filed an objection to NCES’s motion, and on January 26, 2022 NCES filed a reply. On January 31, 2022, the Court issued an Order granting NCES’s Motion in Limine with respect to three of the four items it sought to exclude from evidence, and denying its motion with respect to the remaining item. The hearing on the appeal is scheduled for February 18, 2022, and NCES will continue to vigorously defend against this litigation.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Hakes Landfill Litigation</w:t>
      </w:r>
    </w:p>
    <w:p>
      <w:pPr>
        <w:spacing w:after="0" w:line="1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8"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 the State Environmental Quality Review Act, by failing to address certain radioactivity issues alleged by Petitioners to be associated with certain drilling wastes authorized for disposal at the Hakes Landfill. The Department opposed the Hakes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140"/>
        <w:spacing w:after="0" w:line="303" w:lineRule="auto"/>
        <w:rPr>
          <w:sz w:val="20"/>
          <w:szCs w:val="20"/>
          <w:color w:val="auto"/>
        </w:rPr>
      </w:pPr>
      <w:r>
        <w:rPr>
          <w:rFonts w:ascii="Arial" w:cs="Arial" w:eastAsia="Arial" w:hAnsi="Arial"/>
          <w:sz w:val="16"/>
          <w:szCs w:val="16"/>
          <w:color w:val="auto"/>
        </w:rPr>
        <w:t>Litigation on procedural grounds. We and the Town of Campbell opposed the Hakes Litigation on the merits, and on July 31, 2020, the Court dismissed the Hakes Litigation on the merits. The Petitioners filed a notice of appeal. The time to appeal expired on February 10, 2021, and the attorney for the Petitioners confirmed that they are not pursuing the appeal. Accordingly, all approvals issued for the expansion project are now final and binding.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or about September 17, 2019, Richard Vandemortel and Deb Vandemortel ("Named Plaintiffs") filed a class action complaint against us in Ontario County Supreme Court (the "New York Court") on behalf of similarly situated citizens ("Class Members") in Ontario County, New York (the "New York Litigation"). The New York Litigation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which is operated by us pursuant to a long-term Operation, Maintenance and Lease Agreement with Ontario County. The New York Litigation was served on us on October 14, 2019, and the parties commenced settlement negotiations in early 2020. On December 1, 2020, the parties entered into a settlement agreement (the "Settlement Agreement") and thereafter the Named Plaintiffs and Class Members' counsel ("Counsel") moved the New York Court for entry of the Order on Notice/Preliminary Approvals. A settlement fairness hearing was held on July 7, 2021, and the judge issued an Order and Final Judgment that was filed on July 8, 2021. The settlement included a $750 payment to a Qualified Settlement Fund for the benefit of Counsel and one-time lump sum payments to the Named Plaintiffs and Class Members who opt into the Settlement Agreement, and these payments have been made. We also committed $900 in expenses and capital improvements for remediation measures that have been completed.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Conservation Law Foundation, Inc. v Robert R. Scott, Commissioner, New Hampshire Department of Environmental Services</w:t>
      </w:r>
    </w:p>
    <w:p>
      <w:pPr>
        <w:spacing w:after="0" w:line="11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 or about February 11, 2021, the CLF filed a complaint against Robert R. Scott, Commissioner of the New Hampshire Department of Environmental Services (“DES”), in the Merrimac County Superior Court. The complaint alleges that DES has failed to comply with the duty to establish and update a solid waste plan for the State of New Hampshire, and the duty to rely on that solid waste plan in determining whether to grant permits for proposed waste disposal facilities, and seeks a declaratory judgment that DES is violating statutory solid waste planning and regulatory requirements; a writ of mandamus ordering DES to achieve compliance with the statutory solid waste plan requirement; and an order enjoining DES from reviewing, and issuing decisions on, permit applications for new or expanded waste facilities, including a landfill under development by us in Dalton, New Hampshire, as well as any further review and decision-making required for permits it has already granted, including our NCES Landfill, until it has a legally valid state solid waste plan. On or about February 16, 2021, our subsidiary, Granite State Landfill, LLC, filed a Motion to Intervene in the action, which was granted by the Merrimac County Superior Court on February 17, 2021. A hearing on CLF's request for preliminary injunctive relief and the parties' motions to dismiss was held April 9, 2021. The Court issued a decision on May 14, 2021 granting the defendants’ Motions to Dismiss. CLF filed a Motion for Reconsideration which was denied by the Court on July 13, 2021. There has been no further action on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vs. New Hampshire Citizens Group</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 or about March 8, 2018, the National Environmental Law Center ("NELC") and the Conservation Law Foundation ("CLF") (the "NH Citizen Groups") delivered correspondence to our subsidiary, NCES, and us, providing notice of the NH Citizen Groups' intent to sue NCES and us for violations of the Clean Water Act ("CWA") in conjunction with NCES's operation of its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National Pollutant Discharge Elimination System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to navigable waters is too broad. The NH Citizens Groups filed a motion with the New Hampshire Court on July 15, 2020 to amend their complaint based on MAUI. The New Hampshire Court granted the NH Citizen Groups' motion on September 2, 2020 and encouraged the parties to file motions for summary judgment. We filed our Motion for Summary Judgment on November 20, 2020 and the NH Citizens Groups filed a Motion for Summary Judgment on February 19, 2021. A hearing on motions for summary judgment was held on May 14, 2021. On May 24, 2021 the NH Citizens Group submitted a post-hearing filing requesting that the New Hampshire Court consider purported supplemental material facts discovered after the hearing, and to provide a response to questions posed by the Court at the hearing, in response to which we filed a Motion to Strike on June 2, 2021. The NH Citizens Group filed an Objection to the Motion to Strike on June 8, 2021. We filed a response on June 25, 2021. On August 11, 2021, the New Hampshire Court denied the parties’ Motions for Summary Judgment and denied as moot the NH Citizens Groups’ request that the Court consider purported supplemental material facts and NCES’s Motion to Strike. We filed a Motion for Partial Reconsideration on September 7, 2021, and on September 22, 2021 we filed a Motion to Temporarily Suspend the Procedural Schedule (assented to by the NH Citizens Groups) to allow the parties the opportunity to engage in settlement negotiations, which was granted by the New Hampshire Court on October 5, 2021. The parties entered into a Settlement Agreement on January 5, 2022 providing for dismissal of the New Hampshire Litigation, and for NCES to (1) conduct restoration of a stream bed on lands owned by NCES and adjoining the NCES Landfill; and (2) contribute $50 to the Ammonoosuc Conservation Trust (“ACT”), to be used solely for projects designed to promote restoration, preservation, protection, and/or enhancement of water quality in the Ammonoosuc River watershed. The Settlement Agreement, which took effect upon the January 11, 2022 Order of the New Hampshire Court, includes a requirement that we disclose that payments to the ACT were made pursuant to settlement of the New Hampshire Litigation.</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recorded an environmental remediation liability related to our obligation associated with the restoration in other long-term liabilities. We inflate the estimated costs in current dollars to the expected time of payment and discount the total cost to present value using a risk-free interest rate of 1.5%. Our expenditures could be significantly higher if costs exceed estimates.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NCES Landfill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Fiscal Year Ended December 31,</w:t>
            </w:r>
          </w:p>
        </w:tc>
      </w:tr>
      <w:tr>
        <w:trPr>
          <w:trHeight w:val="185"/>
        </w:trPr>
        <w:tc>
          <w:tcPr>
            <w:tcW w:w="9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b w:val="1"/>
                <w:bCs w:val="1"/>
                <w:color w:val="auto"/>
              </w:rPr>
              <w:t>2021</w:t>
            </w:r>
          </w:p>
        </w:tc>
      </w:tr>
      <w:tr>
        <w:trPr>
          <w:trHeight w:val="220"/>
        </w:trPr>
        <w:tc>
          <w:tcPr>
            <w:tcW w:w="90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0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19"/>
        </w:trPr>
        <w:tc>
          <w:tcPr>
            <w:tcW w:w="9000" w:type="dxa"/>
            <w:vAlign w:val="bottom"/>
          </w:tcPr>
          <w:p>
            <w:pPr>
              <w:ind w:left="20"/>
              <w:spacing w:after="0" w:line="205" w:lineRule="exact"/>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w:t>
      </w:r>
    </w:p>
    <w:p>
      <w:pPr>
        <w:spacing w:after="0" w:line="6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$4,089. We have agreed to reimburse the Town for periodic payments under such bond. Construction of the Waterline is complete and homeowners are relying on municipal water supply. Bond reimbursement to the Town commenced in the quarter ended June 30, 2020.</w:t>
      </w:r>
    </w:p>
    <w:p>
      <w:pPr>
        <w:spacing w:after="0" w:line="67"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We have recorded an environmental remediation liability related to our obligation associated with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500" w:type="dxa"/>
            <w:vAlign w:val="bottom"/>
            <w:tcBorders>
              <w:bottom w:val="single" w:sz="8" w:color="auto"/>
            </w:tcBorders>
          </w:tcPr>
          <w:p>
            <w:pPr>
              <w:spacing w:after="0"/>
              <w:rPr>
                <w:sz w:val="16"/>
                <w:szCs w:val="16"/>
                <w:color w:val="auto"/>
              </w:rPr>
            </w:pPr>
          </w:p>
        </w:tc>
      </w:tr>
      <w:tr>
        <w:trPr>
          <w:trHeight w:val="184"/>
        </w:trPr>
        <w:tc>
          <w:tcPr>
            <w:tcW w:w="8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r>
      <w:tr>
        <w:trPr>
          <w:trHeight w:val="220"/>
        </w:trPr>
        <w:tc>
          <w:tcPr>
            <w:tcW w:w="82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4,596</w:t>
            </w:r>
          </w:p>
        </w:tc>
      </w:tr>
      <w:tr>
        <w:trPr>
          <w:trHeight w:val="225"/>
        </w:trPr>
        <w:tc>
          <w:tcPr>
            <w:tcW w:w="82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7"/>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200" w:type="dxa"/>
            <w:vAlign w:val="bottom"/>
          </w:tcPr>
          <w:p>
            <w:pPr>
              <w:ind w:left="34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7"/>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9"/>
        </w:trPr>
        <w:tc>
          <w:tcPr>
            <w:tcW w:w="8200" w:type="dxa"/>
            <w:vAlign w:val="bottom"/>
          </w:tcPr>
          <w:p>
            <w:pPr>
              <w:ind w:left="20"/>
              <w:spacing w:after="0" w:line="205" w:lineRule="exact"/>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auto"/>
            </w:tcBorders>
          </w:tcPr>
          <w:p>
            <w:pPr>
              <w:jc w:val="right"/>
              <w:ind w:right="7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4,089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4,261</w:t>
            </w:r>
          </w:p>
        </w:tc>
      </w:tr>
      <w:tr>
        <w:trPr>
          <w:trHeight w:val="20"/>
        </w:trPr>
        <w:tc>
          <w:tcPr>
            <w:tcW w:w="8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80" w:right="280" w:hanging="314"/>
        <w:spacing w:after="0" w:line="266" w:lineRule="auto"/>
        <w:tabs>
          <w:tab w:leader="none" w:pos="4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revisions in estimates are associated with the completion of the environmental remediation at the site. See Note 17,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to our consolidated financial statements for further discussion.</w:t>
      </w:r>
    </w:p>
    <w:p>
      <w:pPr>
        <w:spacing w:after="0" w:line="73" w:lineRule="exact"/>
        <w:rPr>
          <w:rFonts w:ascii="Arial" w:cs="Arial" w:eastAsia="Arial" w:hAnsi="Arial"/>
          <w:sz w:val="18"/>
          <w:szCs w:val="18"/>
          <w:color w:val="auto"/>
        </w:rPr>
      </w:pPr>
    </w:p>
    <w:p>
      <w:pPr>
        <w:ind w:left="480" w:hanging="314"/>
        <w:spacing w:after="0"/>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On December 3, 2021, the DEC certified the completion of remediation work and approved a post-remediation site management plan at the Potsdam site.</w:t>
      </w:r>
    </w:p>
    <w:p>
      <w:pPr>
        <w:spacing w:after="0" w:line="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site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rPr>
              <w:t>Fiscal Year Ended December 31,</w:t>
            </w:r>
          </w:p>
        </w:tc>
        <w:tc>
          <w:tcPr>
            <w:tcW w:w="620" w:type="dxa"/>
            <w:vAlign w:val="bottom"/>
            <w:tcBorders>
              <w:bottom w:val="single" w:sz="8" w:color="auto"/>
            </w:tcBorders>
          </w:tcPr>
          <w:p>
            <w:pPr>
              <w:spacing w:after="0"/>
              <w:rPr>
                <w:sz w:val="16"/>
                <w:szCs w:val="16"/>
                <w:color w:val="auto"/>
              </w:rPr>
            </w:pPr>
          </w:p>
        </w:tc>
      </w:tr>
      <w:tr>
        <w:trPr>
          <w:trHeight w:val="184"/>
        </w:trPr>
        <w:tc>
          <w:tcPr>
            <w:tcW w:w="74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0"/>
        </w:trPr>
        <w:tc>
          <w:tcPr>
            <w:tcW w:w="74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Beginning balance</w:t>
            </w:r>
          </w:p>
        </w:tc>
        <w:tc>
          <w:tcPr>
            <w:tcW w:w="1280" w:type="dxa"/>
            <w:vAlign w:val="bottom"/>
            <w:shd w:val="clear" w:color="auto" w:fill="CCEEFF"/>
          </w:tcPr>
          <w:p>
            <w:pPr>
              <w:jc w:val="right"/>
              <w:ind w:right="11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939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25"/>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3"/>
              </w:rPr>
              <w:t>(65)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44"/>
        </w:trPr>
        <w:tc>
          <w:tcPr>
            <w:tcW w:w="74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Ending balance</w:t>
            </w:r>
          </w:p>
        </w:tc>
        <w:tc>
          <w:tcPr>
            <w:tcW w:w="1280" w:type="dxa"/>
            <w:vAlign w:val="bottom"/>
            <w:tcBorders>
              <w:bottom w:val="single" w:sz="8" w:color="auto"/>
            </w:tcBorders>
            <w:shd w:val="clear" w:color="auto" w:fill="CCEEFF"/>
          </w:tcPr>
          <w:p>
            <w:pPr>
              <w:jc w:val="right"/>
              <w:ind w:right="110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9"/>
              </w:rPr>
              <w:t>874</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80" w:hanging="314"/>
        <w:spacing w:after="0"/>
        <w:tabs>
          <w:tab w:leader="none" w:pos="480" w:val="left"/>
        </w:tabs>
        <w:numPr>
          <w:ilvl w:val="0"/>
          <w:numId w:val="62"/>
        </w:numPr>
        <w:rPr>
          <w:rFonts w:ascii="Arial" w:cs="Arial" w:eastAsia="Arial" w:hAnsi="Arial"/>
          <w:sz w:val="14"/>
          <w:szCs w:val="14"/>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11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The total expected environmental remediation payments, in today’s dollars, for each of the five succeeding fiscal years and the aggregate amount thereafter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Estimated Future Environmental Remediation Payments as of December 31, 2021</w:t>
            </w: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80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5"/>
        </w:trPr>
        <w:tc>
          <w:tcPr>
            <w:tcW w:w="924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5"/>
        </w:trPr>
        <w:tc>
          <w:tcPr>
            <w:tcW w:w="9240" w:type="dxa"/>
            <w:vAlign w:val="bottom"/>
          </w:tcPr>
          <w:p>
            <w:pPr>
              <w:ind w:left="20"/>
              <w:spacing w:after="0"/>
              <w:rPr>
                <w:sz w:val="20"/>
                <w:szCs w:val="20"/>
                <w:color w:val="auto"/>
              </w:rPr>
            </w:pPr>
            <w:r>
              <w:rPr>
                <w:rFonts w:ascii="Arial" w:cs="Arial" w:eastAsia="Arial" w:hAnsi="Arial"/>
                <w:sz w:val="18"/>
                <w:szCs w:val="18"/>
                <w:color w:val="auto"/>
              </w:rPr>
              <w:t>Fiscal year ending December 31, 2025</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2026</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5"/>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r>
      <w:tr>
        <w:trPr>
          <w:trHeight w:val="244"/>
        </w:trPr>
        <w:tc>
          <w:tcPr>
            <w:tcW w:w="92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A reconciliation of the expected aggregate non-inflated, undiscounted environmental remediation liability to the amount recognized in our consolidated balance sheet at December 31, 2021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Undiscounted liability</w:t>
            </w:r>
          </w:p>
        </w:tc>
        <w:tc>
          <w:tcPr>
            <w:tcW w:w="82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r>
      <w:tr>
        <w:trPr>
          <w:trHeight w:val="22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 net</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r>
      <w:tr>
        <w:trPr>
          <w:trHeight w:val="244"/>
        </w:trPr>
        <w:tc>
          <w:tcPr>
            <w:tcW w:w="92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Liability balance - December 31, 2021</w:t>
            </w: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substantial liability incurred by us arising from environmental damage could have a material adverse effect on our business, financial condition and results of operations. We are not presently aware of any other situations that would have a material adverse impact on our business, financial condition,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Class A Common Stock</w:t>
      </w:r>
    </w:p>
    <w:p>
      <w:pPr>
        <w:spacing w:after="0" w:line="11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fiscal year 2020, we completed a public offering of 2,703 shares of our Class A common stock at a public offering price of $56.00 per share. The offering resulted in net proceeds to us of $144,790, after deducting underwriting discounts, commissions and offering expenses. The net proceeds from the offering were used for general corporate purposes, including acquisitions or development of new operations or assets with the goal of complementing or expanding our business, and for working capital and capital expenditures.</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fiscal year 2019, we completed a public offering of 3,565 shares of our Class A common stock at a public offering price of $29.50 per share. The offering resulted in net proceeds to us of $100,446, after deducting underwriting discounts and commissions and offering expenses. The net proceeds from the offering were used for general corporate purposes, including acquisitions or development of new operations or assets with the goal of complementing or expanding our business, working capital and capital expenditures.</w:t>
      </w:r>
    </w:p>
    <w:p>
      <w:pPr>
        <w:spacing w:after="0" w:line="85"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 xml:space="preserve">In fiscal year 2019, we completed the unregistered sale of 59 shares of our Class A common stock at a price of $44.15 per share. The sale resulted in net proceeds to us of $2,619. The shares were previously held in escrow according to the terms of our acquisition of WSI and released to us for liquidation to offset costs associated with the environmental remediation of the WSI's Potsdam, New York site. We recorded a $2,619 reduction of goodwill in line with business combination standards in place at the time the shares held in escrow were issued.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8"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We are authorized to issue up to 944 shares of preferred stock in one or more series. As of December 31, 2021 and December 31, 2020, we had no shares issued.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i w:val="1"/>
          <w:iCs w:val="1"/>
          <w:color w:val="auto"/>
        </w:rPr>
        <w:t xml:space="preserve">2016 Incentive Plan. </w:t>
      </w:r>
      <w:r>
        <w:rPr>
          <w:rFonts w:ascii="Arial" w:cs="Arial" w:eastAsia="Arial" w:hAnsi="Arial"/>
          <w:sz w:val="18"/>
          <w:szCs w:val="18"/>
          <w:color w:val="auto"/>
        </w:rPr>
        <w:t>In the fiscal year ended December 31, 2016, we adopted the 2016 Incentive Plan (“2016 Plan”). Under the 2016 Plan, we may grant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or otherwise result in shares not being issued.</w:t>
      </w:r>
    </w:p>
    <w:p>
      <w:pPr>
        <w:spacing w:after="0" w:line="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December 31, 2021, there were 933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8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Our equity awards granted consist of stock options, restricted stock, restricted stock units and performance stock units, including market-based performance stock units.</w:t>
      </w:r>
    </w:p>
    <w:p>
      <w:pPr>
        <w:spacing w:after="0" w:line="7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7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Restricted stock, restricted stock units and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Restricted stock granted to non-employee directors vest incrementally over a three 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Performance stock units and market-based performance stock units vest at a future date following the grant date and are based on the attainment of performance targets and market achievements.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229"/>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ind w:left="397"/>
              <w:spacing w:after="0"/>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29"/>
              <w:spacing w:after="0" w:line="133"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49"/>
              <w:spacing w:after="0" w:line="133"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6"/>
              </w:rPr>
              <w:t>Stock Options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97"/>
              <w:spacing w:after="0" w:line="133"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229"/>
              <w:spacing w:after="0" w:line="133" w:lineRule="exact"/>
              <w:rPr>
                <w:sz w:val="20"/>
                <w:szCs w:val="20"/>
                <w:color w:val="auto"/>
              </w:rPr>
            </w:pPr>
            <w:r>
              <w:rPr>
                <w:rFonts w:ascii="Arial" w:cs="Arial" w:eastAsia="Arial" w:hAnsi="Arial"/>
                <w:sz w:val="14"/>
                <w:szCs w:val="14"/>
                <w:b w:val="1"/>
                <w:bCs w:val="1"/>
                <w:color w:val="auto"/>
                <w:w w:val="92"/>
              </w:rPr>
              <w:t>Contractual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Exercise Price</w:t>
            </w:r>
          </w:p>
        </w:tc>
        <w:tc>
          <w:tcPr>
            <w:tcW w:w="1220" w:type="dxa"/>
            <w:vAlign w:val="bottom"/>
          </w:tcPr>
          <w:p>
            <w:pPr>
              <w:jc w:val="center"/>
              <w:ind w:left="249"/>
              <w:spacing w:after="0"/>
              <w:rPr>
                <w:sz w:val="20"/>
                <w:szCs w:val="20"/>
                <w:color w:val="auto"/>
              </w:rPr>
            </w:pPr>
            <w:r>
              <w:rPr>
                <w:rFonts w:ascii="Arial" w:cs="Arial" w:eastAsia="Arial" w:hAnsi="Arial"/>
                <w:sz w:val="14"/>
                <w:szCs w:val="14"/>
                <w:b w:val="1"/>
                <w:bCs w:val="1"/>
                <w:color w:val="auto"/>
                <w:w w:val="92"/>
              </w:rPr>
              <w:t>Term (years)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0"/>
        </w:trPr>
        <w:tc>
          <w:tcPr>
            <w:tcW w:w="48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December 31, 2020</w:t>
            </w:r>
          </w:p>
        </w:tc>
        <w:tc>
          <w:tcPr>
            <w:tcW w:w="1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68.78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Forfeited or expired</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7"/>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December 31, 2021</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December 31, 2021</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7"/>
              <w:spacing w:after="0" w:line="199"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9.18</w:t>
            </w: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1"/>
              <w:spacing w:after="0" w:line="199"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2021, 2020 and 2019, stock-based compensation expense for stock options was $28, $0 and 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years 2021, 2020 and 2019, the aggregate intrinsic value of stock options exercised was $1,238, $296 and $19,475, respectively.</w:t>
      </w:r>
    </w:p>
    <w:p>
      <w:pPr>
        <w:spacing w:after="0" w:line="12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As of December 31, 2021, we had $172 of unrecognized stock-based compensation expense related to outstanding stock options to be recognized over a weighted average period of 2.6 years.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calculation of stock-based compensation expense associated with stock options granted was made using the Black-Scholes valuation model. Expected life is calculated based on the weighted average historical life of the vested stock options, giving consideration to vesting schedules and historical exercise patterns. Risk-free interest rate is based on the U.S. Treasury yield curve for the period of the expected life of the stock option. Expected volatility is calculated using the weekly historical volatility of our Class A common stock over the expected life. The fair value of stock options granted in fiscal year 2021 were calculated assuming no expected dividend yield using a weighted average expected life of 7.1 years, a risk-free interest rate of 0.9%, and an expected volatility of 31.3%. We did not grant any new stock options in fiscal years 2020 or 2019.</w:t>
      </w:r>
    </w:p>
    <w:p>
      <w:pPr>
        <w:spacing w:after="0" w:line="7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Black-Scholes valuation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Restricted Stock,</w:t>
            </w:r>
          </w:p>
        </w:tc>
        <w:tc>
          <w:tcPr>
            <w:tcW w:w="1380" w:type="dxa"/>
            <w:vAlign w:val="bottom"/>
            <w:vMerge w:val="restart"/>
          </w:tcPr>
          <w:p>
            <w:pPr>
              <w:jc w:val="center"/>
              <w:ind w:left="437"/>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left="229"/>
              <w:spacing w:after="0"/>
              <w:rPr>
                <w:sz w:val="20"/>
                <w:szCs w:val="20"/>
                <w:color w:val="auto"/>
              </w:rPr>
            </w:pPr>
            <w:r>
              <w:rPr>
                <w:rFonts w:ascii="Arial" w:cs="Arial" w:eastAsia="Arial" w:hAnsi="Arial"/>
                <w:sz w:val="14"/>
                <w:szCs w:val="14"/>
                <w:b w:val="1"/>
                <w:bCs w:val="1"/>
                <w:color w:val="auto"/>
                <w:w w:val="90"/>
              </w:rPr>
              <w:t>Weighted Average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20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Restricted Stock Units,</w:t>
            </w:r>
          </w:p>
        </w:tc>
        <w:tc>
          <w:tcPr>
            <w:tcW w:w="13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ind w:left="229"/>
              <w:spacing w:after="0" w:line="133"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20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and Performance Stock</w:t>
            </w:r>
          </w:p>
        </w:tc>
        <w:tc>
          <w:tcPr>
            <w:tcW w:w="1380" w:type="dxa"/>
            <w:vAlign w:val="bottom"/>
          </w:tcPr>
          <w:p>
            <w:pPr>
              <w:jc w:val="center"/>
              <w:ind w:left="437"/>
              <w:spacing w:after="0" w:line="133"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ind w:left="249"/>
              <w:spacing w:after="0" w:line="133" w:lineRule="exact"/>
              <w:rPr>
                <w:sz w:val="20"/>
                <w:szCs w:val="20"/>
                <w:color w:val="auto"/>
              </w:rPr>
            </w:pPr>
            <w:r>
              <w:rPr>
                <w:rFonts w:ascii="Arial" w:cs="Arial" w:eastAsia="Arial" w:hAnsi="Arial"/>
                <w:sz w:val="14"/>
                <w:szCs w:val="14"/>
                <w:b w:val="1"/>
                <w:bCs w:val="1"/>
                <w:color w:val="auto"/>
                <w:w w:val="93"/>
              </w:rPr>
              <w:t>Contractual Term</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Units (1)</w:t>
            </w:r>
          </w:p>
        </w:tc>
        <w:tc>
          <w:tcPr>
            <w:tcW w:w="1380" w:type="dxa"/>
            <w:vAlign w:val="bottom"/>
          </w:tcPr>
          <w:p>
            <w:pPr>
              <w:jc w:val="center"/>
              <w:ind w:left="457"/>
              <w:spacing w:after="0"/>
              <w:rPr>
                <w:sz w:val="20"/>
                <w:szCs w:val="20"/>
                <w:color w:val="auto"/>
              </w:rPr>
            </w:pPr>
            <w:r>
              <w:rPr>
                <w:rFonts w:ascii="Arial" w:cs="Arial" w:eastAsia="Arial" w:hAnsi="Arial"/>
                <w:sz w:val="14"/>
                <w:szCs w:val="14"/>
                <w:b w:val="1"/>
                <w:bCs w:val="1"/>
                <w:color w:val="auto"/>
                <w:w w:val="95"/>
              </w:rPr>
              <w:t>Grant Price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left="229"/>
              <w:spacing w:after="0"/>
              <w:rPr>
                <w:sz w:val="20"/>
                <w:szCs w:val="20"/>
                <w:color w:val="auto"/>
              </w:rPr>
            </w:pPr>
            <w:r>
              <w:rPr>
                <w:rFonts w:ascii="Arial" w:cs="Arial" w:eastAsia="Arial" w:hAnsi="Arial"/>
                <w:sz w:val="14"/>
                <w:szCs w:val="14"/>
                <w:b w:val="1"/>
                <w:bCs w:val="1"/>
                <w:color w:val="auto"/>
                <w:w w:val="91"/>
              </w:rPr>
              <w:t>(years)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0"/>
        </w:trPr>
        <w:tc>
          <w:tcPr>
            <w:tcW w:w="33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December 31, 2020</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41.55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80" w:type="dxa"/>
            <w:vAlign w:val="bottom"/>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67.65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7"/>
              </w:rPr>
              <w:t>51.11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Outstanding, December 31, 2021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55.40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December 31, 2021</w:t>
            </w: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417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ind w:right="1197"/>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7"/>
              </w:rPr>
              <w:t>56.44</w:t>
            </w: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1"/>
              <w:spacing w:after="0" w:line="199"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35,602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right="20" w:hanging="314"/>
        <w:spacing w:after="0" w:line="278" w:lineRule="auto"/>
        <w:tabs>
          <w:tab w:leader="none" w:pos="474" w:val="left"/>
        </w:tabs>
        <w:numPr>
          <w:ilvl w:val="0"/>
          <w:numId w:val="64"/>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100%. Attainment of maximum performance targets and market achievements would result in the issuance of an additional 168 shares of Class A common stock currently included in unvested. The market-based performance stock unit grants that vested in fiscal year 2021 resulted in the issuance of 98 additional shares of Class A common stock.</w:t>
      </w:r>
    </w:p>
    <w:p>
      <w:pPr>
        <w:spacing w:after="0" w:line="6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During fiscal years 2021, 2020 and 2019, stock-based compensation expense related to restricted stock, restricted stock units and performance stock units was $11,241, $7,965 and $7,036,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2021, 2020 and 2019, the total fair value of other stock awards vested was $20,106, $18,329 and $8,177, respectively.</w:t>
      </w:r>
    </w:p>
    <w:p>
      <w:pPr>
        <w:spacing w:after="0" w:line="1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December 31, 2021, total unrecognized stock-based compensation expense related to outstanding restricted stock was $83, which will be recognized over a weighted average period of 1.9 years. As of December 31, 2021, total unrecognized stock-based compensation expense related to outstanding restricted stock units was $4,025, which will be recognized over a weighted average period of 1.7 years. As of December 31, 2021, total unrecognized stock-based compensation expense related to performance stock units was $7,121, which will be recognized over a weighted average period of 1.7 years.</w:t>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weighted average fair value of market-based performance stock units granted during fiscal year 2021 was $69.86 per award, which was calculated using a Monte Carlo pricing model assuming a risk free interest rate of 0.29% and an expected volatility of 37.1%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8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We also recorded $281, $254 and $186 of stock-based compensation expense related to our Amended and Restated 1997 Employee Stock Purchase Plan during fiscal years 2021, 2020 and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Tax benefit for income taxes associated with stock-based compensation during fiscal years 2021, 2020 and 2019 of $(2,304), $(6,796) and $(97),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 Net of Tax</w:t>
      </w:r>
    </w:p>
    <w:p>
      <w:pPr>
        <w:spacing w:after="0" w:line="118"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auto"/>
        </w:rPr>
        <w:t>Accumulated other comprehensive loss, net of tax is a component of stockholders' equity included in the accompanying consolidated balance sheets and includes, as applicable, the effective portion of changes in the fair value of our cash flow hedges and the changes in fair value of our marketable securities.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each component of accumulated other comprehensive loss, net of tax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4"/>
              </w:rPr>
              <w:t>Interest Rate Swaps</w:t>
            </w:r>
          </w:p>
        </w:tc>
      </w:tr>
      <w:tr>
        <w:trPr>
          <w:trHeight w:val="225"/>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9"/>
        </w:trPr>
        <w:tc>
          <w:tcPr>
            <w:tcW w:w="9480" w:type="dxa"/>
            <w:vAlign w:val="bottom"/>
          </w:tcPr>
          <w:p>
            <w:pPr>
              <w:ind w:left="440"/>
              <w:spacing w:after="0" w:line="205" w:lineRule="exact"/>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(5,286)</w:t>
            </w:r>
          </w:p>
        </w:tc>
      </w:tr>
      <w:tr>
        <w:trPr>
          <w:trHeight w:val="22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19"/>
        </w:trPr>
        <w:tc>
          <w:tcPr>
            <w:tcW w:w="9480" w:type="dxa"/>
            <w:vAlign w:val="bottom"/>
            <w:tcBorders>
              <w:bottom w:val="single" w:sz="8" w:color="CCEEFF"/>
            </w:tcBorders>
          </w:tcPr>
          <w:p>
            <w:pPr>
              <w:ind w:left="220"/>
              <w:spacing w:after="0" w:line="205" w:lineRule="exact"/>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w:t>
            </w:r>
          </w:p>
        </w:tc>
      </w:tr>
      <w:tr>
        <w:trPr>
          <w:trHeight w:val="219"/>
        </w:trPr>
        <w:tc>
          <w:tcPr>
            <w:tcW w:w="94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Balance as of December 31, 2019</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460"/>
        <w:spacing w:after="0"/>
        <w:rPr>
          <w:sz w:val="20"/>
          <w:szCs w:val="20"/>
          <w:color w:val="auto"/>
        </w:rPr>
      </w:pPr>
      <w:r>
        <w:rPr>
          <w:rFonts w:ascii="Arial" w:cs="Arial" w:eastAsia="Arial" w:hAnsi="Arial"/>
          <w:sz w:val="18"/>
          <w:szCs w:val="18"/>
          <w:color w:val="auto"/>
        </w:rPr>
        <w:t>Other comprehensive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225" cy="143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Amounts reclassified from accumulated other comprehensive loss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tax benefit related to items in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225" cy="151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loss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225" cy="151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comprehensive income before reclassifications</w:t>
      </w:r>
    </w:p>
    <w:p>
      <w:pPr>
        <w:spacing w:after="0" w:line="32" w:lineRule="exact"/>
        <w:rPr>
          <w:sz w:val="20"/>
          <w:szCs w:val="20"/>
          <w:color w:val="auto"/>
        </w:rPr>
      </w:pPr>
    </w:p>
    <w:p>
      <w:pPr>
        <w:ind w:left="460" w:right="3400"/>
        <w:spacing w:after="0" w:line="294" w:lineRule="auto"/>
        <w:rPr>
          <w:sz w:val="20"/>
          <w:szCs w:val="20"/>
          <w:color w:val="auto"/>
        </w:rPr>
      </w:pPr>
      <w:r>
        <w:rPr>
          <w:rFonts w:ascii="Arial" w:cs="Arial" w:eastAsia="Arial" w:hAnsi="Arial"/>
          <w:sz w:val="16"/>
          <w:szCs w:val="16"/>
          <w:color w:val="auto"/>
        </w:rPr>
        <w:t>Amounts reclassified from accumulated other comprehensive loss Income tax provision related to items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225" cy="143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225" cy="168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(11,184)</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3,679</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2,029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11144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(11,517)</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3,737</w:t>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4,763</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11144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6,414</w:t>
      </w:r>
    </w:p>
    <w:p>
      <w:pPr>
        <w:spacing w:after="0" w:line="44" w:lineRule="exact"/>
        <w:rPr>
          <w:sz w:val="20"/>
          <w:szCs w:val="20"/>
          <w:color w:val="auto"/>
        </w:rPr>
      </w:pPr>
    </w:p>
    <w:p>
      <w:pPr>
        <w:ind w:left="1200" w:hanging="1196"/>
        <w:spacing w:after="0"/>
        <w:tabs>
          <w:tab w:leader="none" w:pos="12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(5,103)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11144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780" w:space="720"/>
            <w:col w:w="1740"/>
          </w:cols>
          <w:pgMar w:left="320" w:top="118" w:right="3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for fiscal years 2021, 2020 and 2019 is as follows:</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Fiscal Year Ended</w:t>
      </w:r>
    </w:p>
    <w:p>
      <w:pPr>
        <w:ind w:left="51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660" w:type="dxa"/>
            <w:vAlign w:val="bottom"/>
          </w:tcPr>
          <w:p>
            <w:pPr>
              <w:spacing w:after="0"/>
              <w:rPr>
                <w:sz w:val="16"/>
                <w:szCs w:val="16"/>
                <w:color w:val="auto"/>
              </w:rPr>
            </w:pPr>
          </w:p>
        </w:tc>
      </w:tr>
      <w:tr>
        <w:trPr>
          <w:trHeight w:val="128"/>
        </w:trPr>
        <w:tc>
          <w:tcPr>
            <w:tcW w:w="35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1"/>
              </w:rPr>
              <w:t>Details About Accumulated Other Comprehensive Loss,</w:t>
            </w:r>
          </w:p>
        </w:tc>
        <w:tc>
          <w:tcPr>
            <w:tcW w:w="4000" w:type="dxa"/>
            <w:vAlign w:val="bottom"/>
            <w:gridSpan w:val="8"/>
          </w:tcPr>
          <w:p>
            <w:pPr>
              <w:ind w:left="20"/>
              <w:spacing w:after="0" w:line="128" w:lineRule="exact"/>
              <w:rPr>
                <w:sz w:val="20"/>
                <w:szCs w:val="20"/>
                <w:color w:val="auto"/>
              </w:rPr>
            </w:pPr>
            <w:r>
              <w:rPr>
                <w:rFonts w:ascii="Arial" w:cs="Arial" w:eastAsia="Arial" w:hAnsi="Arial"/>
                <w:sz w:val="14"/>
                <w:szCs w:val="14"/>
                <w:b w:val="1"/>
                <w:bCs w:val="1"/>
                <w:color w:val="auto"/>
                <w:w w:val="91"/>
              </w:rPr>
              <w:t>Amounts Reclassified Out of Accumulated Other Comprehensive</w:t>
            </w:r>
          </w:p>
        </w:tc>
        <w:tc>
          <w:tcPr>
            <w:tcW w:w="3660" w:type="dxa"/>
            <w:vAlign w:val="bottom"/>
          </w:tcPr>
          <w:p>
            <w:pPr>
              <w:ind w:left="700"/>
              <w:spacing w:after="0" w:line="128"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85"/>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Net of Tax Components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Loss, Net of Tax</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60" w:type="dxa"/>
            <w:vAlign w:val="bottom"/>
          </w:tcPr>
          <w:p>
            <w:pPr>
              <w:ind w:left="1120"/>
              <w:spacing w:after="0"/>
              <w:rPr>
                <w:sz w:val="20"/>
                <w:szCs w:val="20"/>
                <w:color w:val="auto"/>
              </w:rPr>
            </w:pPr>
            <w:r>
              <w:rPr>
                <w:rFonts w:ascii="Arial" w:cs="Arial" w:eastAsia="Arial" w:hAnsi="Arial"/>
                <w:sz w:val="14"/>
                <w:szCs w:val="14"/>
                <w:b w:val="1"/>
                <w:bCs w:val="1"/>
                <w:color w:val="auto"/>
              </w:rPr>
              <w:t>Statements of Operations</w:t>
            </w:r>
          </w:p>
        </w:tc>
      </w:tr>
      <w:tr>
        <w:trPr>
          <w:trHeight w:val="227"/>
        </w:trPr>
        <w:tc>
          <w:tcPr>
            <w:tcW w:w="3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Interest rate swaps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84"/>
              </w:rPr>
              <w:t>4,763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8"/>
              </w:rPr>
              <w:t>3,679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19"/>
        </w:trPr>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w w:val="84"/>
              </w:rPr>
              <w:t>4,763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left="517"/>
              <w:spacing w:after="0"/>
              <w:rPr>
                <w:sz w:val="20"/>
                <w:szCs w:val="20"/>
                <w:color w:val="auto"/>
              </w:rPr>
            </w:pPr>
            <w:r>
              <w:rPr>
                <w:rFonts w:ascii="Arial" w:cs="Arial" w:eastAsia="Arial" w:hAnsi="Arial"/>
                <w:sz w:val="18"/>
                <w:szCs w:val="18"/>
                <w:color w:val="auto"/>
                <w:w w:val="88"/>
              </w:rPr>
              <w:t>3,679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366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r>
      <w:tr>
        <w:trPr>
          <w:trHeight w:val="226"/>
        </w:trPr>
        <w:tc>
          <w:tcPr>
            <w:tcW w:w="3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(1,142)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91"/>
              </w:rPr>
              <w:t>(2,029)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r>
      <w:tr>
        <w:trPr>
          <w:trHeight w:val="220"/>
        </w:trPr>
        <w:tc>
          <w:tcPr>
            <w:tcW w:w="35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84"/>
              </w:rPr>
              <w:t>5,905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8"/>
              </w:rPr>
              <w:t>5,708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660" w:type="dxa"/>
            <w:vAlign w:val="bottom"/>
          </w:tcPr>
          <w:p>
            <w:pPr>
              <w:ind w:left="120"/>
              <w:spacing w:after="0"/>
              <w:rPr>
                <w:sz w:val="20"/>
                <w:szCs w:val="20"/>
                <w:color w:val="auto"/>
              </w:rPr>
            </w:pPr>
            <w:r>
              <w:rPr>
                <w:rFonts w:ascii="Arial" w:cs="Arial" w:eastAsia="Arial" w:hAnsi="Arial"/>
                <w:sz w:val="18"/>
                <w:szCs w:val="18"/>
                <w:color w:val="auto"/>
              </w:rPr>
              <w:t>Net income</w:t>
            </w: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440" w:hanging="434"/>
        <w:spacing w:after="0"/>
        <w:tabs>
          <w:tab w:leader="none" w:pos="4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 on a Recurring Basis and Non-Recurring Basis</w:t>
      </w:r>
    </w:p>
    <w:p>
      <w:pPr>
        <w:spacing w:after="0" w:line="11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 xml:space="preserve">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the one month LIBOR yield curves that are observable at commonly quoted intervals for the full term of the swaps. We recognize all derivatives accounted for on the balance sheet at fair value. See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disclosure about the fair value of debt.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11"/>
          </w:tcPr>
          <w:p>
            <w:pPr>
              <w:jc w:val="center"/>
              <w:ind w:right="180"/>
              <w:spacing w:after="0"/>
              <w:rPr>
                <w:sz w:val="20"/>
                <w:szCs w:val="20"/>
                <w:color w:val="auto"/>
              </w:rPr>
            </w:pPr>
            <w:r>
              <w:rPr>
                <w:rFonts w:ascii="Arial" w:cs="Arial" w:eastAsia="Arial" w:hAnsi="Arial"/>
                <w:sz w:val="14"/>
                <w:szCs w:val="14"/>
                <w:b w:val="1"/>
                <w:bCs w:val="1"/>
                <w:color w:val="auto"/>
                <w:w w:val="91"/>
              </w:rPr>
              <w:t>Fair Value Measurement at December 31, 2021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ind w:left="200"/>
              <w:spacing w:after="0" w:line="13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Active Markets for</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90"/>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tcBorders>
              <w:top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Assets:</w:t>
            </w: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CCEEFF"/>
          </w:tcPr>
          <w:p>
            <w:pPr>
              <w:spacing w:after="0"/>
              <w:rPr>
                <w:sz w:val="19"/>
                <w:szCs w:val="19"/>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Restricted investment securities - landfill closure</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040" w:type="dxa"/>
            <w:vAlign w:val="bottom"/>
          </w:tcPr>
          <w:p>
            <w:pPr>
              <w:ind w:left="30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2,122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8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00"/>
              <w:spacing w:after="0"/>
              <w:rPr>
                <w:sz w:val="20"/>
                <w:szCs w:val="20"/>
                <w:color w:val="auto"/>
              </w:rPr>
            </w:pPr>
            <w:r>
              <w:rPr>
                <w:rFonts w:ascii="Arial" w:cs="Arial" w:eastAsia="Arial" w:hAnsi="Arial"/>
                <w:sz w:val="18"/>
                <w:szCs w:val="18"/>
                <w:color w:val="auto"/>
              </w:rPr>
              <w:t>Interest rate swaps</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11"/>
          </w:tcPr>
          <w:p>
            <w:pPr>
              <w:jc w:val="right"/>
              <w:ind w:right="1320"/>
              <w:spacing w:after="0"/>
              <w:rPr>
                <w:sz w:val="20"/>
                <w:szCs w:val="20"/>
                <w:color w:val="auto"/>
              </w:rPr>
            </w:pPr>
            <w:r>
              <w:rPr>
                <w:rFonts w:ascii="Arial" w:cs="Arial" w:eastAsia="Arial" w:hAnsi="Arial"/>
                <w:sz w:val="14"/>
                <w:szCs w:val="14"/>
                <w:b w:val="1"/>
                <w:bCs w:val="1"/>
                <w:color w:val="auto"/>
              </w:rPr>
              <w:t>Fair Value Measurement at December 31, 2020 Using:</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2"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Active Markets for</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Unobservable 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ind w:left="4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5040" w:type="dxa"/>
            <w:vAlign w:val="bottom"/>
          </w:tcPr>
          <w:p>
            <w:pPr>
              <w:ind w:left="320"/>
              <w:spacing w:after="0" w:line="200" w:lineRule="exact"/>
              <w:rPr>
                <w:sz w:val="20"/>
                <w:szCs w:val="20"/>
                <w:color w:val="auto"/>
              </w:rPr>
            </w:pPr>
            <w:r>
              <w:rPr>
                <w:rFonts w:ascii="Arial" w:cs="Arial" w:eastAsia="Arial" w:hAnsi="Arial"/>
                <w:sz w:val="18"/>
                <w:szCs w:val="18"/>
                <w:color w:val="auto"/>
              </w:rPr>
              <w:t>Restricted investment securities - landfill closure</w:t>
            </w:r>
          </w:p>
        </w:tc>
        <w:tc>
          <w:tcPr>
            <w:tcW w:w="28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0" w:lineRule="exact"/>
              <w:rPr>
                <w:sz w:val="20"/>
                <w:szCs w:val="20"/>
                <w:color w:val="auto"/>
              </w:rPr>
            </w:pPr>
            <w:r>
              <w:rPr>
                <w:rFonts w:ascii="Arial" w:cs="Arial" w:eastAsia="Arial" w:hAnsi="Arial"/>
                <w:sz w:val="18"/>
                <w:szCs w:val="18"/>
                <w:color w:val="auto"/>
              </w:rPr>
              <w:t>1,848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w w:val="99"/>
              </w:rPr>
              <w:t>$</w:t>
            </w:r>
          </w:p>
        </w:tc>
        <w:tc>
          <w:tcPr>
            <w:tcW w:w="180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50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13,237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non-recurring basis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7"/>
          </w:tcPr>
          <w:p>
            <w:pPr>
              <w:jc w:val="center"/>
              <w:ind w:right="165"/>
              <w:spacing w:after="0"/>
              <w:rPr>
                <w:sz w:val="20"/>
                <w:szCs w:val="20"/>
                <w:color w:val="auto"/>
              </w:rPr>
            </w:pPr>
            <w:r>
              <w:rPr>
                <w:rFonts w:ascii="Arial" w:cs="Arial" w:eastAsia="Arial" w:hAnsi="Arial"/>
                <w:sz w:val="14"/>
                <w:szCs w:val="14"/>
                <w:b w:val="1"/>
                <w:bCs w:val="1"/>
                <w:color w:val="auto"/>
                <w:w w:val="92"/>
              </w:rPr>
              <w:t>Fair Value Measurement at December 31, 2021 Using:</w:t>
            </w: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3"/>
          </w:tcPr>
          <w:p>
            <w:pPr>
              <w:jc w:val="center"/>
              <w:ind w:right="600"/>
              <w:spacing w:after="0" w:line="132" w:lineRule="exact"/>
              <w:rPr>
                <w:sz w:val="20"/>
                <w:szCs w:val="20"/>
                <w:color w:val="auto"/>
              </w:rPr>
            </w:pPr>
            <w:r>
              <w:rPr>
                <w:rFonts w:ascii="Arial" w:cs="Arial" w:eastAsia="Arial" w:hAnsi="Arial"/>
                <w:sz w:val="14"/>
                <w:szCs w:val="14"/>
                <w:b w:val="1"/>
                <w:bCs w:val="1"/>
                <w:color w:val="auto"/>
                <w:w w:val="89"/>
              </w:rPr>
              <w:t>Quoted Prices in</w:t>
            </w:r>
          </w:p>
        </w:tc>
        <w:tc>
          <w:tcPr>
            <w:tcW w:w="20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Significant Other</w:t>
            </w:r>
          </w:p>
        </w:tc>
        <w:tc>
          <w:tcPr>
            <w:tcW w:w="1740" w:type="dxa"/>
            <w:vAlign w:val="bottom"/>
            <w:vMerge w:val="restart"/>
          </w:tcPr>
          <w:p>
            <w:pPr>
              <w:jc w:val="center"/>
              <w:ind w:right="145"/>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3"/>
          </w:tcPr>
          <w:p>
            <w:pPr>
              <w:jc w:val="center"/>
              <w:ind w:right="600"/>
              <w:spacing w:after="0" w:line="133" w:lineRule="exact"/>
              <w:rPr>
                <w:sz w:val="20"/>
                <w:szCs w:val="20"/>
                <w:color w:val="auto"/>
              </w:rPr>
            </w:pPr>
            <w:r>
              <w:rPr>
                <w:rFonts w:ascii="Arial" w:cs="Arial" w:eastAsia="Arial" w:hAnsi="Arial"/>
                <w:sz w:val="14"/>
                <w:szCs w:val="14"/>
                <w:b w:val="1"/>
                <w:bCs w:val="1"/>
                <w:color w:val="auto"/>
                <w:w w:val="95"/>
              </w:rPr>
              <w:t>Active Markets for</w:t>
            </w:r>
          </w:p>
        </w:tc>
        <w:tc>
          <w:tcPr>
            <w:tcW w:w="2020" w:type="dxa"/>
            <w:vAlign w:val="bottom"/>
            <w:gridSpan w:val="3"/>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3"/>
          </w:tcPr>
          <w:p>
            <w:pPr>
              <w:jc w:val="center"/>
              <w:ind w:right="600"/>
              <w:spacing w:after="0" w:line="133" w:lineRule="exact"/>
              <w:rPr>
                <w:sz w:val="20"/>
                <w:szCs w:val="20"/>
                <w:color w:val="auto"/>
              </w:rPr>
            </w:pPr>
            <w:r>
              <w:rPr>
                <w:rFonts w:ascii="Arial" w:cs="Arial" w:eastAsia="Arial" w:hAnsi="Arial"/>
                <w:sz w:val="14"/>
                <w:szCs w:val="14"/>
                <w:b w:val="1"/>
                <w:bCs w:val="1"/>
                <w:color w:val="auto"/>
                <w:w w:val="90"/>
              </w:rPr>
              <w:t>Identical Assets</w:t>
            </w:r>
          </w:p>
        </w:tc>
        <w:tc>
          <w:tcPr>
            <w:tcW w:w="2020" w:type="dxa"/>
            <w:vAlign w:val="bottom"/>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91"/>
              </w:rPr>
              <w:t>Observable Inputs</w:t>
            </w:r>
          </w:p>
        </w:tc>
        <w:tc>
          <w:tcPr>
            <w:tcW w:w="1740" w:type="dxa"/>
            <w:vAlign w:val="bottom"/>
          </w:tcPr>
          <w:p>
            <w:pPr>
              <w:jc w:val="center"/>
              <w:ind w:right="165"/>
              <w:spacing w:after="0" w:line="133"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3"/>
          </w:tcPr>
          <w:p>
            <w:pPr>
              <w:jc w:val="center"/>
              <w:ind w:right="600"/>
              <w:spacing w:after="0" w:line="159" w:lineRule="exact"/>
              <w:rPr>
                <w:sz w:val="20"/>
                <w:szCs w:val="20"/>
                <w:color w:val="auto"/>
              </w:rPr>
            </w:pPr>
            <w:r>
              <w:rPr>
                <w:rFonts w:ascii="Arial" w:cs="Arial" w:eastAsia="Arial" w:hAnsi="Arial"/>
                <w:sz w:val="14"/>
                <w:szCs w:val="14"/>
                <w:b w:val="1"/>
                <w:bCs w:val="1"/>
                <w:color w:val="auto"/>
                <w:w w:val="91"/>
              </w:rPr>
              <w:t>(Level 1)</w:t>
            </w:r>
          </w:p>
        </w:tc>
        <w:tc>
          <w:tcPr>
            <w:tcW w:w="2020" w:type="dxa"/>
            <w:vAlign w:val="bottom"/>
            <w:gridSpan w:val="3"/>
          </w:tcPr>
          <w:p>
            <w:pPr>
              <w:jc w:val="center"/>
              <w:ind w:right="580"/>
              <w:spacing w:after="0" w:line="159" w:lineRule="exact"/>
              <w:rPr>
                <w:sz w:val="20"/>
                <w:szCs w:val="20"/>
                <w:color w:val="auto"/>
              </w:rPr>
            </w:pPr>
            <w:r>
              <w:rPr>
                <w:rFonts w:ascii="Arial" w:cs="Arial" w:eastAsia="Arial" w:hAnsi="Arial"/>
                <w:sz w:val="14"/>
                <w:szCs w:val="14"/>
                <w:b w:val="1"/>
                <w:bCs w:val="1"/>
                <w:color w:val="auto"/>
                <w:w w:val="91"/>
              </w:rPr>
              <w:t>(Level 2)</w:t>
            </w:r>
          </w:p>
        </w:tc>
        <w:tc>
          <w:tcPr>
            <w:tcW w:w="1740" w:type="dxa"/>
            <w:vAlign w:val="bottom"/>
          </w:tcPr>
          <w:p>
            <w:pPr>
              <w:jc w:val="center"/>
              <w:ind w:right="145"/>
              <w:spacing w:after="0" w:line="159"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6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340"/>
              <w:spacing w:after="0"/>
              <w:rPr>
                <w:sz w:val="20"/>
                <w:szCs w:val="20"/>
                <w:color w:val="auto"/>
              </w:rPr>
            </w:pPr>
            <w:r>
              <w:rPr>
                <w:rFonts w:ascii="Arial" w:cs="Arial" w:eastAsia="Arial" w:hAnsi="Arial"/>
                <w:sz w:val="18"/>
                <w:szCs w:val="18"/>
                <w:color w:val="auto"/>
              </w:rPr>
              <w:t>Contingent consideration - acquisition</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2080" w:type="dxa"/>
            <w:vAlign w:val="bottom"/>
            <w:gridSpan w:val="3"/>
          </w:tcPr>
          <w:p>
            <w:pPr>
              <w:ind w:left="1480"/>
              <w:spacing w:after="0"/>
              <w:rPr>
                <w:sz w:val="20"/>
                <w:szCs w:val="20"/>
                <w:color w:val="auto"/>
              </w:rPr>
            </w:pPr>
            <w:r>
              <w:rPr>
                <w:rFonts w:ascii="Arial" w:cs="Arial" w:eastAsia="Arial" w:hAnsi="Arial"/>
                <w:sz w:val="18"/>
                <w:szCs w:val="18"/>
                <w:color w:val="auto"/>
              </w:rPr>
              <w:t>—  $</w:t>
            </w:r>
          </w:p>
        </w:tc>
        <w:tc>
          <w:tcPr>
            <w:tcW w:w="2020" w:type="dxa"/>
            <w:vAlign w:val="bottom"/>
            <w:gridSpan w:val="3"/>
          </w:tcPr>
          <w:p>
            <w:pPr>
              <w:ind w:left="1460"/>
              <w:spacing w:after="0"/>
              <w:rPr>
                <w:sz w:val="20"/>
                <w:szCs w:val="20"/>
                <w:color w:val="auto"/>
              </w:rPr>
            </w:pPr>
            <w:r>
              <w:rPr>
                <w:rFonts w:ascii="Arial" w:cs="Arial" w:eastAsia="Arial" w:hAnsi="Arial"/>
                <w:sz w:val="18"/>
                <w:szCs w:val="18"/>
                <w:color w:val="auto"/>
              </w:rPr>
              <w:t>—  $</w:t>
            </w:r>
          </w:p>
        </w:tc>
        <w:tc>
          <w:tcPr>
            <w:tcW w:w="174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The fair value of contingent consideration - acquisition included in the Level 3 tier is calculated using a discounted cash flow valuation methodology based upon a probability-weighted analysis of success payments related to permit expansion.</w:t>
      </w:r>
    </w:p>
    <w:p>
      <w:pPr>
        <w:spacing w:after="0" w:line="173" w:lineRule="exact"/>
        <w:rPr>
          <w:sz w:val="20"/>
          <w:szCs w:val="20"/>
          <w:color w:val="auto"/>
        </w:rPr>
      </w:pPr>
    </w:p>
    <w:p>
      <w:pPr>
        <w:ind w:left="440" w:hanging="434"/>
        <w:spacing w:after="0"/>
        <w:tabs>
          <w:tab w:leader="none" w:pos="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offer our eligible employees the opportunity to contribute to a 401(k) plan (“401(k) Plan”). Under the provisions of the 401(k) Plan participants may direct us to defer a portion of their compensation to the 401(k) Plan, subject to Internal Revenue Code limitations. In fiscal year 2021, we provided an employer matching contribution for hourly employees equal to 100% of every dollar an employee invests up to 1% of annual income and 50% of additional employee contributions up to a maximum contribution into the 401(k) Plan of 3% of annual income. In fiscal year 2021, we provided an employer matching contribution for salaried employees equal to 50% of every dollar an employee invests in the 401(k) Plan up to a maximum contribution of one thousand five hundred dollars or up to 2% of annual income, whichever is greater, per employee per calendar year. Participants vest in employer contributions ratable over a two-year period. Employer contributions for fiscal years 2021, 2020 and 2019 amounted to $2,811, $2,357 and $1,608,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offer our eligible employees the opportunity to participate in an employee stock purchase plan. Under this plan, qualified employees may purchase shares of Class A common stock by payroll deduction at a 15% discount from the market price. During fiscal years 2021, 2020 and 2019, 20, 20 and 23 shares, respectively, of Class A common stock were issued under this plan. As of December 31, 2021, 54 shares of Class A common stock were available for distribution under this plan.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11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EIN or Pension Plan Number for the Pension Plan is 04-6372430. The Pension Plan provides retirement benefits to participants based on their service to contributing employers. We do not administer the Pension Plan. The risks of participating in a multiemployer pension plan are different from a single-employer pension plan in that:</w:t>
      </w:r>
    </w:p>
    <w:p>
      <w:pPr>
        <w:ind w:right="40" w:firstLine="6"/>
        <w:spacing w:after="0" w:line="248" w:lineRule="auto"/>
        <w:tabs>
          <w:tab w:leader="none" w:pos="21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9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fiscal year 2019, we reached an agreement to withdraw from the Pension Plan by entering into Withdrawal and Re-entry Agreements with the Pension Plan. In accordance with FASB ASC 450 - Contingencies, because of our withdrawal from the Pension Plan, we recorded an obligation of $3,194 and a charge of $3,591 as pension withdrawal expense, offset by a $397 retroactive contribution credit recorded as cost of operations, in fiscal year 2019. While the withdrawal generates a fixed yearly contingent liability for us for a period of approximately seventeen (17) years, it caps our gross payments at $4,224 significantly reducing our cash exposure from the potential $18,511 withdrawal liability as determined based on a complete withdrawal prior to withdrawing from the Pension Plan. As per the Re-entry Agreements and upon withdrawal, we re-entered the Pension Plan as a new employer with certainty from a liability perspective. As of December 31, 2021, we had a remaining obligation of $1,674 in aggregate principal amount associated with our withdrawal. We did not, however, change the terms of our CBA with Local 170, which remained in effect until it expired on June 30, 2020, at which time a new agreement was entered into. As a new employer in the Pension Plan, our contributions are projected to fully fund the benefits accrued by our employees in the Pension Plan. As of December 31, 2021, our employees were fully funded as a new employer in the Pension Plan, subject to the terms of the Agreements. Subsequent withdrawal from the Pension Plan, under certain circumstances, may result in a change in the payment schedule required to settle the remaining obligation associated with our withdrawal. During fiscal years 2021, 2020 and 2019, we made contributions to the Pension Plan of $398, $390 and $409, respectively.</w:t>
      </w:r>
    </w:p>
    <w:p>
      <w:pPr>
        <w:spacing w:after="0" w:line="165" w:lineRule="exact"/>
        <w:rPr>
          <w:sz w:val="20"/>
          <w:szCs w:val="20"/>
          <w:color w:val="auto"/>
        </w:rPr>
      </w:pPr>
    </w:p>
    <w:p>
      <w:pPr>
        <w:ind w:left="440" w:hanging="434"/>
        <w:spacing w:after="0"/>
        <w:tabs>
          <w:tab w:leader="none" w:pos="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provision (benefit) for income taxes is as follows:</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07"/>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Current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2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r>
      <w:tr>
        <w:trPr>
          <w:trHeight w:val="207"/>
        </w:trPr>
        <w:tc>
          <w:tcPr>
            <w:tcW w:w="7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040" w:type="dxa"/>
            <w:vAlign w:val="bottom"/>
          </w:tcPr>
          <w:p>
            <w:pPr>
              <w:ind w:left="340"/>
              <w:spacing w:after="0"/>
              <w:rPr>
                <w:sz w:val="20"/>
                <w:szCs w:val="20"/>
                <w:color w:val="auto"/>
              </w:rPr>
            </w:pPr>
            <w:r>
              <w:rPr>
                <w:rFonts w:ascii="Arial" w:cs="Arial" w:eastAsia="Arial" w:hAnsi="Arial"/>
                <w:sz w:val="18"/>
                <w:szCs w:val="18"/>
                <w:color w:val="auto"/>
              </w:rPr>
              <w:t>Current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19"/>
        </w:trPr>
        <w:tc>
          <w:tcPr>
            <w:tcW w:w="7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44"/>
        </w:trPr>
        <w:tc>
          <w:tcPr>
            <w:tcW w:w="70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On a periodic basis, we reassess the valuation allowance on our deferred income tax assets, weighing positive and negative evidence to assess the recoverability of the deferred tax assets. In the fourth quarter of fiscal year 2020, we assessed the valuation allowance and considered positive evidence, including significant cumulative consolidated income over the three years ended December 31, 2020, revenue growth and expectations of future profitability, and negative evidence, including the impact of a negative change in the economic climate, significant risks and uncertainties in the business and restrictions on tax loss utilization in certain state jurisdictions. After assessing both the positive evidence and the negative evidence, we determined it was more likely than not that the majority of our deferred tax assets would be realized in the future and released the valuation allowance on the majority of our net operating loss carryforwards and other deferred tax assets as of December 31, 2020, resulting in a benefit from income taxes of $61,317. Following reassessment in fiscal year 2021, our judgement with regard to the realizability of our deferred tax assets remains consistent. As of December 31, 2021, we maintained a valuation allowance of $6,094 primarily related to deferred tax assets that would generate capital losses when realized and deferred tax assets related to certain state jurisdictions.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was a decrease of $388 for fiscal year 2021 and $61,317 for fiscal year 2020.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fiscal year 2020, we recognized a $(297) deferred tax benefit due to a reduction of the deferred tax liability related to indefinite lived assets. The financial statement value of indefinite lived goodwill was reduced as a result of a settlement of an acquisition contingency that pre-dated the effective date of ASC 805, which resulted in a reduction of the related deferred tax liability.</w:t>
      </w:r>
    </w:p>
    <w:p>
      <w:pPr>
        <w:spacing w:after="0" w:line="8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fiscal year 2019, we recognized a $(2,385) deferred tax benefit, due to a reduction of the valuation allowance on acquisitions. In determining the need for a valuation allowance, we assessed the available means of recovering deferred tax assets, including the existence of reversing temporary differences. The valuation allowance decreased due to the recognition of additional reversing temporary differences from the $2,385 deferred tax liability recorded through goodwill on the acquisition of a company in May 2019. The deferred tax liabilities related to the acquisition was based on the impact of temporary differences between the amounts of assets and liabilities recognized for financial reporting purposes and such amounts recognized for income tax purposes.</w:t>
      </w:r>
    </w:p>
    <w:p>
      <w:pPr>
        <w:spacing w:after="0" w:line="5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differences in the provision (benefit) for income taxes and the amounts determined by applying the Federal statutory rate to income before income taxes are as follows:</w:t>
      </w:r>
    </w:p>
    <w:p>
      <w:pPr>
        <w:ind w:left="8440"/>
        <w:spacing w:after="0" w:line="224" w:lineRule="auto"/>
        <w:rPr>
          <w:sz w:val="20"/>
          <w:szCs w:val="20"/>
          <w:color w:val="auto"/>
        </w:rPr>
      </w:pPr>
      <w:r>
        <w:rPr>
          <w:rFonts w:ascii="Arial" w:cs="Arial" w:eastAsia="Arial" w:hAnsi="Arial"/>
          <w:sz w:val="14"/>
          <w:szCs w:val="14"/>
          <w:b w:val="1"/>
          <w:bCs w:val="1"/>
          <w:color w:val="auto"/>
        </w:rPr>
        <w:t>Fiscal Year Ended</w:t>
      </w:r>
    </w:p>
    <w:p>
      <w:pPr>
        <w:ind w:left="86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Federal statutory rate</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Tax at statutory rate</w:t>
            </w: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6,254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effect of change in state valuation allowance</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Non-deductible officer compensation</w:t>
            </w: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Deductible stock awards</w:t>
            </w: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(3,790)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Deferred tax adjustments</w:t>
            </w: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0"/>
              <w:spacing w:after="0" w:line="205" w:lineRule="exact"/>
              <w:rPr>
                <w:sz w:val="20"/>
                <w:szCs w:val="20"/>
                <w:color w:val="auto"/>
              </w:rPr>
            </w:pPr>
            <w:r>
              <w:rPr>
                <w:rFonts w:ascii="Arial" w:cs="Arial" w:eastAsia="Arial" w:hAnsi="Arial"/>
                <w:sz w:val="18"/>
                <w:szCs w:val="18"/>
                <w:color w:val="auto"/>
              </w:rPr>
              <w:t>Provision (benefit) for income taxes</w:t>
            </w: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16,946</w:t>
            </w:r>
          </w:p>
        </w:tc>
        <w:tc>
          <w:tcPr>
            <w:tcW w:w="100" w:type="dxa"/>
            <w:vAlign w:val="bottom"/>
          </w:tcPr>
          <w:p>
            <w:pPr>
              <w:spacing w:after="0"/>
              <w:rPr>
                <w:sz w:val="18"/>
                <w:szCs w:val="18"/>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(52,804)</w:t>
            </w:r>
          </w:p>
        </w:tc>
        <w:tc>
          <w:tcPr>
            <w:tcW w:w="100" w:type="dxa"/>
            <w:vAlign w:val="bottom"/>
          </w:tcPr>
          <w:p>
            <w:pPr>
              <w:spacing w:after="0"/>
              <w:rPr>
                <w:sz w:val="18"/>
                <w:szCs w:val="18"/>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180" w:type="dxa"/>
            <w:vAlign w:val="bottom"/>
            <w:vMerge w:val="restart"/>
          </w:tcPr>
          <w:p>
            <w:pPr>
              <w:jc w:val="right"/>
              <w:ind w:right="1011"/>
              <w:spacing w:after="0"/>
              <w:rPr>
                <w:sz w:val="20"/>
                <w:szCs w:val="20"/>
                <w:color w:val="auto"/>
              </w:rPr>
            </w:pPr>
            <w:r>
              <w:rPr>
                <w:rFonts w:ascii="Arial" w:cs="Arial" w:eastAsia="Arial" w:hAnsi="Arial"/>
                <w:sz w:val="18"/>
                <w:szCs w:val="18"/>
                <w:color w:val="auto"/>
              </w:rPr>
              <w:t>98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3"/>
        </w:trPr>
        <w:tc>
          <w:tcPr>
            <w:tcW w:w="46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4"/>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07"/>
        </w:trPr>
        <w:tc>
          <w:tcPr>
            <w:tcW w:w="81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Accrued expenses and reserves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41,723</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35,444</w:t>
            </w:r>
          </w:p>
        </w:tc>
      </w:tr>
      <w:tr>
        <w:trPr>
          <w:trHeight w:val="227"/>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34,364</w:t>
            </w: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General business and state tax credit carryforwards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8,044</w:t>
            </w:r>
          </w:p>
        </w:tc>
      </w:tr>
      <w:tr>
        <w:trPr>
          <w:trHeight w:val="227"/>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awards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Unrealized loss on swaps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3,798</w:t>
            </w:r>
          </w:p>
        </w:tc>
      </w:tr>
      <w:tr>
        <w:trPr>
          <w:trHeight w:val="227"/>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r>
      <w:tr>
        <w:trPr>
          <w:trHeight w:val="219"/>
        </w:trPr>
        <w:tc>
          <w:tcPr>
            <w:tcW w:w="8180" w:type="dxa"/>
            <w:vAlign w:val="bottom"/>
          </w:tcPr>
          <w:p>
            <w:pPr>
              <w:ind w:left="660"/>
              <w:spacing w:after="0" w:line="205" w:lineRule="exact"/>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80,678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86,781</w:t>
            </w:r>
          </w:p>
        </w:tc>
      </w:tr>
      <w:tr>
        <w:trPr>
          <w:trHeight w:val="227"/>
        </w:trPr>
        <w:tc>
          <w:tcPr>
            <w:tcW w:w="8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19"/>
        </w:trPr>
        <w:tc>
          <w:tcPr>
            <w:tcW w:w="8180" w:type="dxa"/>
            <w:vAlign w:val="bottom"/>
            <w:tcBorders>
              <w:bottom w:val="single" w:sz="8" w:color="CCEEFF"/>
            </w:tcBorders>
          </w:tcPr>
          <w:p>
            <w:pPr>
              <w:ind w:left="660"/>
              <w:spacing w:after="0" w:line="205" w:lineRule="exact"/>
              <w:rPr>
                <w:sz w:val="20"/>
                <w:szCs w:val="20"/>
                <w:color w:val="auto"/>
              </w:rPr>
            </w:pPr>
            <w:r>
              <w:rPr>
                <w:rFonts w:ascii="Arial" w:cs="Arial" w:eastAsia="Arial" w:hAnsi="Arial"/>
                <w:sz w:val="18"/>
                <w:szCs w:val="18"/>
                <w:color w:val="auto"/>
              </w:rPr>
              <w:t>Total deferred tax assets after valuation allowance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80,299</w:t>
            </w:r>
          </w:p>
        </w:tc>
      </w:tr>
      <w:tr>
        <w:trPr>
          <w:trHeight w:val="207"/>
        </w:trPr>
        <w:tc>
          <w:tcPr>
            <w:tcW w:w="81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(18,044)</w:t>
            </w:r>
          </w:p>
        </w:tc>
      </w:tr>
      <w:tr>
        <w:trPr>
          <w:trHeight w:val="227"/>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over book depreciation of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25"/>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0"/>
        </w:trPr>
        <w:tc>
          <w:tcPr>
            <w:tcW w:w="8180" w:type="dxa"/>
            <w:vAlign w:val="bottom"/>
            <w:shd w:val="clear" w:color="auto" w:fill="CCEEFF"/>
          </w:tcPr>
          <w:p>
            <w:pPr>
              <w:ind w:left="660"/>
              <w:spacing w:after="0" w:line="206" w:lineRule="exact"/>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(20,048)</w:t>
            </w:r>
          </w:p>
        </w:tc>
      </w:tr>
      <w:tr>
        <w:trPr>
          <w:trHeight w:val="219"/>
        </w:trPr>
        <w:tc>
          <w:tcPr>
            <w:tcW w:w="8180" w:type="dxa"/>
            <w:vAlign w:val="bottom"/>
          </w:tcPr>
          <w:p>
            <w:pPr>
              <w:ind w:left="660"/>
              <w:spacing w:after="0" w:line="205" w:lineRule="exact"/>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60,251</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net deferred tax asset at December 31, 2021 is reflected on the balance sheet as a long-term deferred federal and state tax asset of $43,957 and a long-term deferred state tax liability of $(868).</w:t>
      </w:r>
    </w:p>
    <w:p>
      <w:pPr>
        <w:spacing w:after="0" w:line="7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As of December 31, 2021, we have, for federal income tax purposes, net operating loss carryforwards of approximately $52,384 that expire in the fiscal years ending December 31, 2032 through 2037 and $46,453, which do not expire. We have state net operating loss carryforwards of approximately $41,105 that expire in the fiscal years ending December 31, 2022 through 2041 or that do not expire in certain jurisdictions. In addition, we have $6,575 general business credit carryforwards which expire in the fiscal years ending December 31, 2022 through 2041 and $1,319 state credit carryforwards which expire in fiscal years ending December 31, 2038 through 2039. Sections 382 and 383 of the Internal Revenue Code can limit the amount of net operating loss and credit carryforwards which may be used in a tax year in the event of certain stock ownership changes. With the exception of $1,756 federal net operating losses we acquired through acquisitions, we are not currently subject to these limitations but could become subject to them if there were significant changes in the ownership of our stock.</w:t>
      </w:r>
    </w:p>
    <w:p>
      <w:pPr>
        <w:spacing w:after="0" w:line="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 To the extent interest and penalties are not assessed with respect to uncertain tax positions, amounts accrued are reflected as a reduction of the overall income tax provision. As of December 31, 2021 and 2020, we did not have any uncertain tax positions.</w:t>
      </w:r>
    </w:p>
    <w:p>
      <w:pPr>
        <w:spacing w:after="0" w:line="5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We are subject to U.S. federal income tax, as well as income tax of multiple state jurisdictions. Due to Federal and state net operating loss carryforwards, income tax returns from years ending in 1998 through 2021 remain open for examination, with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AND CHARGES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 Net</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fiscal year ended December 31, 2017, we initiated the plan to cease operations of the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fiscal years 2021, 2020 and 2019, we recorded charges associated with the closure of the Southbridge Landfill as follows:</w:t>
      </w:r>
    </w:p>
    <w:p>
      <w:pPr>
        <w:ind w:left="8380"/>
        <w:spacing w:after="0" w:line="230" w:lineRule="auto"/>
        <w:rPr>
          <w:sz w:val="20"/>
          <w:szCs w:val="20"/>
          <w:color w:val="auto"/>
        </w:rPr>
      </w:pPr>
      <w:r>
        <w:rPr>
          <w:rFonts w:ascii="Arial" w:cs="Arial" w:eastAsia="Arial" w:hAnsi="Arial"/>
          <w:sz w:val="14"/>
          <w:szCs w:val="14"/>
          <w:b w:val="1"/>
          <w:bCs w:val="1"/>
          <w:color w:val="auto"/>
        </w:rPr>
        <w:t>Fiscal Year Ended</w:t>
      </w:r>
    </w:p>
    <w:p>
      <w:pPr>
        <w:ind w:left="852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0"/>
        </w:trPr>
        <w:tc>
          <w:tcPr>
            <w:tcW w:w="66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(1)</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(2)</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Landfill closure project (credit) charge </w:t>
            </w:r>
            <w:r>
              <w:rPr>
                <w:rFonts w:ascii="Arial" w:cs="Arial" w:eastAsia="Arial" w:hAnsi="Arial"/>
                <w:sz w:val="14"/>
                <w:szCs w:val="14"/>
                <w:color w:val="auto"/>
              </w:rPr>
              <w:t>(3)</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 xml:space="preserve">Legal settlement charge </w:t>
            </w:r>
            <w:r>
              <w:rPr>
                <w:rFonts w:ascii="Arial" w:cs="Arial" w:eastAsia="Arial" w:hAnsi="Arial"/>
                <w:sz w:val="14"/>
                <w:szCs w:val="14"/>
                <w:color w:val="auto"/>
              </w:rPr>
              <w:t>(4)</w:t>
            </w:r>
          </w:p>
        </w:tc>
        <w:tc>
          <w:tcPr>
            <w:tcW w:w="9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Environmental remediation charge </w:t>
            </w:r>
            <w:r>
              <w:rPr>
                <w:rFonts w:ascii="Arial" w:cs="Arial" w:eastAsia="Arial" w:hAnsi="Arial"/>
                <w:sz w:val="14"/>
                <w:szCs w:val="14"/>
                <w:color w:val="auto"/>
              </w:rPr>
              <w:t>(5)</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640" w:type="dxa"/>
            <w:vAlign w:val="bottom"/>
          </w:tcPr>
          <w:p>
            <w:pPr>
              <w:ind w:left="20"/>
              <w:spacing w:after="0" w:line="205" w:lineRule="exact"/>
              <w:rPr>
                <w:sz w:val="20"/>
                <w:szCs w:val="20"/>
                <w:color w:val="auto"/>
              </w:rPr>
            </w:pPr>
            <w:r>
              <w:rPr>
                <w:rFonts w:ascii="Arial" w:cs="Arial" w:eastAsia="Arial" w:hAnsi="Arial"/>
                <w:sz w:val="18"/>
                <w:szCs w:val="18"/>
                <w:color w:val="auto"/>
              </w:rPr>
              <w:t>Southbridge Landfill closure charge, net</w:t>
            </w: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80" w:hanging="31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incurred legal costs as well as other transaction costs associated with various matters as part of the Southbridge Landfill closure.</w:t>
      </w:r>
    </w:p>
    <w:p>
      <w:pPr>
        <w:spacing w:after="0" w:line="58" w:lineRule="exact"/>
        <w:rPr>
          <w:rFonts w:ascii="Arial" w:cs="Arial" w:eastAsia="Arial" w:hAnsi="Arial"/>
          <w:sz w:val="18"/>
          <w:szCs w:val="18"/>
          <w:color w:val="auto"/>
        </w:rPr>
      </w:pPr>
    </w:p>
    <w:p>
      <w:pPr>
        <w:ind w:left="480" w:right="200" w:hanging="314"/>
        <w:spacing w:after="0" w:line="293" w:lineRule="auto"/>
        <w:tabs>
          <w:tab w:leader="none" w:pos="474"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updated the cost estimates associated with a contract settlement charge associated with the Southbridge Landfill closure and the remaining future obligations due to the Town of Southbridge under the landfill operating agreement with the Town of Southbridge.</w:t>
      </w:r>
    </w:p>
    <w:p>
      <w:pPr>
        <w:spacing w:after="0" w:line="1" w:lineRule="exact"/>
        <w:rPr>
          <w:rFonts w:ascii="Arial" w:cs="Arial" w:eastAsia="Arial" w:hAnsi="Arial"/>
          <w:sz w:val="17"/>
          <w:szCs w:val="17"/>
          <w:color w:val="auto"/>
        </w:rPr>
      </w:pPr>
    </w:p>
    <w:p>
      <w:pPr>
        <w:ind w:left="480" w:hanging="31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recorded a landfill closure project (credit) charge associated with revised costs under the closure plan at Southbridge Landfill.</w:t>
      </w:r>
    </w:p>
    <w:p>
      <w:pPr>
        <w:spacing w:after="0" w:line="58" w:lineRule="exact"/>
        <w:rPr>
          <w:rFonts w:ascii="Arial" w:cs="Arial" w:eastAsia="Arial" w:hAnsi="Arial"/>
          <w:sz w:val="18"/>
          <w:szCs w:val="18"/>
          <w:color w:val="auto"/>
        </w:rPr>
      </w:pPr>
    </w:p>
    <w:p>
      <w:pPr>
        <w:ind w:left="480" w:right="380" w:hanging="314"/>
        <w:spacing w:after="0" w:line="266" w:lineRule="auto"/>
        <w:tabs>
          <w:tab w:leader="none" w:pos="4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established reserves and made payments associated with legal settlements associated with claims against us as part of the Southbridge Landfill closure.</w:t>
      </w:r>
    </w:p>
    <w:p>
      <w:pPr>
        <w:spacing w:after="0" w:line="19" w:lineRule="exact"/>
        <w:rPr>
          <w:rFonts w:ascii="Arial" w:cs="Arial" w:eastAsia="Arial" w:hAnsi="Arial"/>
          <w:sz w:val="18"/>
          <w:szCs w:val="18"/>
          <w:color w:val="auto"/>
        </w:rPr>
      </w:pPr>
    </w:p>
    <w:p>
      <w:pPr>
        <w:ind w:left="480" w:hanging="314"/>
        <w:spacing w:after="0"/>
        <w:tabs>
          <w:tab w:leader="none" w:pos="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recorded an environmental remediation reversal associated with the completion of environmental remediation at the Southbridge Landfill.</w:t>
      </w:r>
    </w:p>
    <w:p>
      <w:pPr>
        <w:spacing w:after="0" w:line="12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further disclosure about the environmental remediation charge associated with the Southbridge Landfill 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 the fiscal years 2021, 2020 and 2019, we recorded charges of $5,304, $1,862 and $2,687, respectively, comprised primarily of legal, consulting and other similar costs associated with the acquisition and integration of acquired businesses or select development projects.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regarding acquisition activity.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is as follows:</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Fiscal Year Ended</w:t>
      </w:r>
    </w:p>
    <w:p>
      <w:pPr>
        <w:ind w:left="87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31,653</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4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46,803</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5"/>
        </w:trPr>
        <w:tc>
          <w:tcPr>
            <w:tcW w:w="7040" w:type="dxa"/>
            <w:vAlign w:val="bottom"/>
          </w:tcPr>
          <w:p>
            <w:pPr>
              <w:ind w:left="20"/>
              <w:spacing w:after="0"/>
              <w:rPr>
                <w:sz w:val="20"/>
                <w:szCs w:val="20"/>
                <w:color w:val="auto"/>
              </w:rPr>
            </w:pPr>
            <w:r>
              <w:rPr>
                <w:rFonts w:ascii="Arial" w:cs="Arial" w:eastAsia="Arial" w:hAnsi="Arial"/>
                <w:sz w:val="18"/>
                <w:szCs w:val="18"/>
                <w:color w:val="auto"/>
              </w:rPr>
              <w:t>Shares to be issued - acquisition</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weighted average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line="205" w:lineRule="exact"/>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47,966</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Antidilutive potentially issuable shares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19.</w:t>
        <w:tab/>
        <w:t>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years 2021, 2020 and 2019,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and construction services. Total purchased services charged to operations or capitalized to landfills for fiscal years 2021, 2020 and 2019 were $15,206, $12,601 and $7,574, respectively, of which $1,325 and $1,297 were outstanding and included in either accounts payable or other current liabilities as of December 31, 2021 and December 31, 2020, respectively.</w:t>
      </w:r>
    </w:p>
    <w:p>
      <w:pPr>
        <w:spacing w:after="0" w:line="7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 addition to the total purchased services, we provided various waste collection and disposal services to CCI. Total revenues recorded for fiscal years 2021, 2020 and 2019 were $430, $288 and $132,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August 2023. The terms of the lease agreements require monthly payments of approximately $29. Total expense charged to operations for fiscal years 2021, 2020 and 2019 under these agreements was $297, $319 and $339,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Post-closure</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the fiscal year ending December 31, 2024. In fiscal years 2021, 2020 and 2019, we paid $12, $8 and $9, respectively, pursuant to this agreement. As of December 31, 2021 and December 31, 2020, we have accrued $14 and $25, respectively, for costs associated with its post-closure obligations.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hanging="434"/>
        <w:spacing w:after="0"/>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1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transfer, transportation and disposal, landfill gas-to-energy, processing, and recycling services in the northeastern United States. We manage our resource-renewal operations through the Resource Solutions operating segment. Effective January 1, 2021, we realigned the Resource Solutions operating segment, which includes our larger-scale recycling and commodity brokerage operations along with our organics services and large scale commercial and industrial services, from our historical lines-of-service of recycling, organics and customer solutions into two lines-of-service: processing and non-processing. We realigned the Resource Solutions operating segment to leverage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from processing services are derived from municipalities and customers in the form of processing fees, tipping fees, commodity sales, and organic material sales. Revenues from non-processing services are derived from brokerage services and overall resource management services providing a wide range of environmental services and zero waste solutions to large and complex organizations, as well as traditional collection, disposal and recycling services provided to large account multi-site customers. Revenues classification by service line reported in fiscal years 2020 and 2019 have been reclassified to conform with the presentation for fiscal year 2021.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Outside</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Inter-company</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85"/>
        </w:trPr>
        <w:tc>
          <w:tcPr>
            <w:tcW w:w="1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4"/>
              </w:rPr>
              <w:t>revenues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expense, net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expenditures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357,446</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688,826</w:t>
            </w:r>
          </w:p>
        </w:tc>
        <w:tc>
          <w:tcPr>
            <w:tcW w:w="0" w:type="dxa"/>
            <w:vAlign w:val="bottom"/>
          </w:tcPr>
          <w:p>
            <w:pPr>
              <w:spacing w:after="0"/>
              <w:rPr>
                <w:sz w:val="1"/>
                <w:szCs w:val="1"/>
                <w:color w:val="auto"/>
              </w:rPr>
            </w:pPr>
          </w:p>
        </w:tc>
      </w:tr>
      <w:tr>
        <w:trPr>
          <w:trHeight w:val="227"/>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127,304</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Corporate Entities</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110,004</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889,211</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103,590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77,660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123,295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232,860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1,283,580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6"/>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56"/>
              <w:spacing w:after="0"/>
              <w:rPr>
                <w:sz w:val="20"/>
                <w:szCs w:val="20"/>
                <w:color w:val="auto"/>
              </w:rPr>
            </w:pPr>
            <w:r>
              <w:rPr>
                <w:rFonts w:ascii="Arial" w:cs="Arial" w:eastAsia="Arial" w:hAnsi="Arial"/>
                <w:sz w:val="18"/>
                <w:szCs w:val="18"/>
                <w:color w:val="auto"/>
                <w:w w:val="99"/>
              </w:rPr>
              <w:t>102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Outside</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Inter-company</w:t>
            </w:r>
          </w:p>
        </w:tc>
        <w:tc>
          <w:tcPr>
            <w:tcW w:w="12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680" w:type="dxa"/>
            <w:vAlign w:val="bottom"/>
          </w:tcPr>
          <w:p>
            <w:pPr>
              <w:jc w:val="center"/>
              <w:ind w:left="7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85"/>
        </w:trPr>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1"/>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51"/>
              <w:spacing w:after="0"/>
              <w:rPr>
                <w:sz w:val="20"/>
                <w:szCs w:val="20"/>
                <w:color w:val="auto"/>
              </w:rPr>
            </w:pPr>
            <w:r>
              <w:rPr>
                <w:rFonts w:ascii="Arial" w:cs="Arial" w:eastAsia="Arial" w:hAnsi="Arial"/>
                <w:sz w:val="14"/>
                <w:szCs w:val="14"/>
                <w:b w:val="1"/>
                <w:bCs w:val="1"/>
                <w:color w:val="auto"/>
                <w:w w:val="84"/>
              </w:rPr>
              <w:t>expense, net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expenditures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53,102</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116,658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56,457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71,989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149,984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Corporate Entities</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(180,435)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774,584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90,782</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59,297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22,068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108,108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194,901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1,193,898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3100" w:type="dxa"/>
            <w:vAlign w:val="bottom"/>
            <w:gridSpan w:val="5"/>
          </w:tcPr>
          <w:p>
            <w:pPr>
              <w:spacing w:after="0"/>
              <w:rPr>
                <w:sz w:val="20"/>
                <w:szCs w:val="20"/>
                <w:color w:val="auto"/>
              </w:rPr>
            </w:pPr>
            <w:r>
              <w:rPr>
                <w:rFonts w:ascii="Arial" w:cs="Arial" w:eastAsia="Arial" w:hAnsi="Arial"/>
                <w:sz w:val="18"/>
                <w:szCs w:val="18"/>
                <w:b w:val="1"/>
                <w:bCs w:val="1"/>
                <w:color w:val="auto"/>
                <w:w w:val="95"/>
              </w:rPr>
              <w:t>Fiscal Year Ended December 31, 2019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Outside</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Inter-company</w:t>
            </w:r>
          </w:p>
        </w:tc>
        <w:tc>
          <w:tcPr>
            <w:tcW w:w="12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3"/>
                <w:szCs w:val="13"/>
                <w:color w:val="auto"/>
              </w:rPr>
            </w:pPr>
          </w:p>
        </w:tc>
        <w:tc>
          <w:tcPr>
            <w:tcW w:w="680" w:type="dxa"/>
            <w:vAlign w:val="bottom"/>
          </w:tcPr>
          <w:p>
            <w:pPr>
              <w:jc w:val="center"/>
              <w:ind w:left="7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85"/>
        </w:trPr>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1"/>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51"/>
              <w:spacing w:after="0"/>
              <w:rPr>
                <w:sz w:val="20"/>
                <w:szCs w:val="20"/>
                <w:color w:val="auto"/>
              </w:rPr>
            </w:pPr>
            <w:r>
              <w:rPr>
                <w:rFonts w:ascii="Arial" w:cs="Arial" w:eastAsia="Arial" w:hAnsi="Arial"/>
                <w:sz w:val="14"/>
                <w:szCs w:val="14"/>
                <w:b w:val="1"/>
                <w:bCs w:val="1"/>
                <w:color w:val="auto"/>
                <w:w w:val="84"/>
              </w:rPr>
              <w:t>expense, net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expenditures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54,738</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9,503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98,420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47,650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63,547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141,055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Corporate Entities</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(163,920)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79,790</w:t>
            </w:r>
          </w:p>
        </w:tc>
        <w:tc>
          <w:tcPr>
            <w:tcW w:w="10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53,075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24,735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103,165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185,819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5560" w:type="dxa"/>
            <w:vAlign w:val="bottom"/>
            <w:gridSpan w:val="16"/>
          </w:tcPr>
          <w:p>
            <w:pPr>
              <w:spacing w:after="0"/>
              <w:rPr>
                <w:sz w:val="20"/>
                <w:szCs w:val="20"/>
                <w:color w:val="auto"/>
              </w:rPr>
            </w:pPr>
            <w:r>
              <w:rPr>
                <w:rFonts w:ascii="Arial" w:cs="Arial" w:eastAsia="Arial" w:hAnsi="Arial"/>
                <w:sz w:val="18"/>
                <w:szCs w:val="18"/>
                <w:color w:val="auto"/>
                <w:w w:val="92"/>
              </w:rPr>
              <w:t>Amount of our total revenue attributable to services provided are as follows: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Fiscal Year Ended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Collection</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442,685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9"/>
              </w:rPr>
              <w:t>49.8 %</w:t>
            </w:r>
          </w:p>
        </w:tc>
        <w:tc>
          <w:tcPr>
            <w:tcW w:w="5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391,438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372,041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Disposal</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196,985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w w:val="89"/>
              </w:rPr>
              <w:t>22.2 %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175,546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5,138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Processing</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9,281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7,218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40" w:type="dxa"/>
            <w:vAlign w:val="bottom"/>
            <w:gridSpan w:val="2"/>
            <w:shd w:val="clear" w:color="auto" w:fill="CCEEFF"/>
          </w:tcPr>
          <w:p>
            <w:pPr>
              <w:ind w:left="340"/>
              <w:spacing w:after="0" w:line="206" w:lineRule="exact"/>
              <w:rPr>
                <w:sz w:val="20"/>
                <w:szCs w:val="20"/>
                <w:color w:val="auto"/>
              </w:rPr>
            </w:pPr>
            <w:r>
              <w:rPr>
                <w:rFonts w:ascii="Arial" w:cs="Arial" w:eastAsia="Arial" w:hAnsi="Arial"/>
                <w:sz w:val="18"/>
                <w:szCs w:val="18"/>
                <w:color w:val="auto"/>
                <w:w w:val="87"/>
              </w:rPr>
              <w:t>Solid waste operations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654,089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89"/>
              </w:rPr>
              <w:t>73.6 %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578,274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564,687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Processing</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93,323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3"/>
          </w:tcPr>
          <w:p>
            <w:pPr>
              <w:ind w:left="120"/>
              <w:spacing w:after="0"/>
              <w:rPr>
                <w:sz w:val="20"/>
                <w:szCs w:val="20"/>
                <w:color w:val="auto"/>
              </w:rPr>
            </w:pPr>
            <w:r>
              <w:rPr>
                <w:rFonts w:ascii="Arial" w:cs="Arial" w:eastAsia="Arial" w:hAnsi="Arial"/>
                <w:sz w:val="18"/>
                <w:szCs w:val="18"/>
                <w:color w:val="auto"/>
                <w:w w:val="89"/>
              </w:rPr>
              <w:t>10.5 %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62,539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w w:val="89"/>
              </w:rPr>
              <w:t>15.9 %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133,771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124,622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gridSpan w:val="5"/>
          </w:tcPr>
          <w:p>
            <w:pPr>
              <w:ind w:left="340"/>
              <w:spacing w:after="0" w:line="205" w:lineRule="exact"/>
              <w:rPr>
                <w:sz w:val="20"/>
                <w:szCs w:val="20"/>
                <w:color w:val="auto"/>
              </w:rPr>
            </w:pPr>
            <w:r>
              <w:rPr>
                <w:rFonts w:ascii="Arial" w:cs="Arial" w:eastAsia="Arial" w:hAnsi="Arial"/>
                <w:sz w:val="18"/>
                <w:szCs w:val="18"/>
                <w:color w:val="auto"/>
              </w:rPr>
              <w:t>Resource Solutions operations</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235,122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89"/>
              </w:rPr>
              <w:t>26.4 %</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196,310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178,603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889,211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5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774,584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743,290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180"/>
        <w:spacing w:after="0" w:line="458"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2021.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2021. In making this assessment, our management used the criteria set forth by the Committee of Sponsoring Organizations of the Treadway Commission in Internal Control-Integrated Framework in 2013. Based on its assessment, management concluded that, as of December 31, 2021, our internal control over financial reporting is effective based on those criteria. The effectiveness of our internal control over financial reporting as of December 31, 2021 has been audited by RSM US LLP, an independent registered public accounting firm. RSM US LLP has issued an attestation report on our internal control over financial reporting, which is included herein.</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completed the acquisitions of Mark Wright Construction ("Mark Wright") on August 1, 2021; Willimantic Waste Paper Co., Inc. ("Willimantic") on July 26, 2021; Guard Contracting Corp., 3755 River Road LLC and Triad Recycling and Energy Corp., (collectively "Triad") on September 1, 2021; Union Transfer, LLC and 1700 Union Road, LLC (collectively "Union") on October 1, 2021; and Stateline Waste Management, LLC ("Stateline") on December 1, 2021. Since we have not yet fully incorporated the internal controls and procedures of Mark Wright, Willimantic, Triad and Stateline into our internal control over financial reporting, management excluded Mark Wright, Willimantic, Triad and Stateline from its assessment of the effectiveness of the Company’s internal control over financial reporting as of December 31, 2021. Collectively, Mark Wright, Willimantic, Triad and Stateline constituted approximately 14% of our total assets as of December 31, 2021 and 4% of our total revenues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ind w:right="480"/>
        <w:spacing w:after="0" w:line="266" w:lineRule="auto"/>
        <w:rPr>
          <w:sz w:val="20"/>
          <w:szCs w:val="20"/>
          <w:color w:val="auto"/>
        </w:rPr>
      </w:pPr>
      <w:r>
        <w:rPr>
          <w:rFonts w:ascii="Arial" w:cs="Arial" w:eastAsia="Arial" w:hAnsi="Arial"/>
          <w:sz w:val="18"/>
          <w:szCs w:val="18"/>
          <w:color w:val="auto"/>
        </w:rPr>
        <w:t>No change in our internal control over financial reporting occurred during the fiscal quarter ended December 31, 2021 that has materially affected, or is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right="3140"/>
        <w:spacing w:after="0" w:line="39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information required by this Item (except for information required with respect to our executive officers which is set forth under “</w:t>
      </w:r>
      <w:r>
        <w:rPr>
          <w:rFonts w:ascii="Arial" w:cs="Arial" w:eastAsia="Arial" w:hAnsi="Arial"/>
          <w:sz w:val="18"/>
          <w:szCs w:val="18"/>
          <w:i w:val="1"/>
          <w:iCs w:val="1"/>
          <w:color w:val="auto"/>
        </w:rPr>
        <w:t>Information about our</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 in Item 1 of Part I of this Annual Report on Form 10-K) has been omitted from this Annual Report on Form 10-K, and is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 from our definitive proxy statement for the 2022 Annual Meeting of Stockholders that we intend to file with the Securities and Exchange Commission within 120 days after the end of fiscal year ended December 31, 2021 (the "Proxy Statement"), under the sections captioned "Board of Directors", "Corporate Governance" and "Ownership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sections captioned "Executive and Director Compensation and Related Matters" and "Corporate Governance".</w:t>
      </w:r>
    </w:p>
    <w:p>
      <w:pPr>
        <w:spacing w:after="0" w:line="173" w:lineRule="exact"/>
        <w:rPr>
          <w:sz w:val="20"/>
          <w:szCs w:val="20"/>
          <w:color w:val="auto"/>
        </w:rPr>
      </w:pPr>
    </w:p>
    <w:p>
      <w:pPr>
        <w:ind w:right="700"/>
        <w:spacing w:after="0" w:line="273"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about the securities authorized for issuance under our equity compensation plans as of December 31,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2"/>
        </w:trPr>
        <w:tc>
          <w:tcPr>
            <w:tcW w:w="5400" w:type="dxa"/>
            <w:vAlign w:val="bottom"/>
          </w:tcPr>
          <w:p>
            <w:pPr>
              <w:spacing w:after="0"/>
              <w:rPr>
                <w:sz w:val="11"/>
                <w:szCs w:val="11"/>
                <w:color w:val="auto"/>
              </w:rPr>
            </w:pPr>
          </w:p>
        </w:tc>
        <w:tc>
          <w:tcPr>
            <w:tcW w:w="1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available for future</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Weighted-average</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to be issued upon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under equity</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exercise price of</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7"/>
              </w:rPr>
              <w:t>outstanding</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33"/>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options, warrants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options, warrants</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securities reflected</w:t>
            </w:r>
          </w:p>
        </w:tc>
        <w:tc>
          <w:tcPr>
            <w:tcW w:w="0" w:type="dxa"/>
            <w:vAlign w:val="bottom"/>
          </w:tcPr>
          <w:p>
            <w:pPr>
              <w:spacing w:after="0"/>
              <w:rPr>
                <w:sz w:val="1"/>
                <w:szCs w:val="1"/>
                <w:color w:val="auto"/>
              </w:rPr>
            </w:pPr>
          </w:p>
        </w:tc>
      </w:tr>
      <w:tr>
        <w:trPr>
          <w:trHeight w:val="185"/>
        </w:trPr>
        <w:tc>
          <w:tcPr>
            <w:tcW w:w="54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and rights (1)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2"/>
              </w:rPr>
              <w:t>and rights (2)</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column (a) (3))</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Equity compensation plans approved by security holders</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324,386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986,543</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324,386</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986,543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480" w:right="700" w:hanging="314"/>
        <w:spacing w:after="0" w:line="312" w:lineRule="auto"/>
        <w:tabs>
          <w:tab w:leader="none" w:pos="474"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Performance stock units, including market-based performance stock units are included at the 100% attainment level. Attainment of maximum performance targets and market achievements could result in the issuance of an additional 167,638 shares of Class A common stock.</w:t>
      </w:r>
    </w:p>
    <w:p>
      <w:pPr>
        <w:ind w:left="480" w:right="160" w:hanging="314"/>
        <w:spacing w:after="0" w:line="266" w:lineRule="auto"/>
        <w:tabs>
          <w:tab w:leader="none" w:pos="4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restricted stock units and other equity-based awards that do not have an exercise price.</w:t>
      </w:r>
    </w:p>
    <w:p>
      <w:pPr>
        <w:spacing w:after="0" w:line="19" w:lineRule="exact"/>
        <w:rPr>
          <w:rFonts w:ascii="Arial" w:cs="Arial" w:eastAsia="Arial" w:hAnsi="Arial"/>
          <w:sz w:val="18"/>
          <w:szCs w:val="18"/>
          <w:color w:val="auto"/>
        </w:rPr>
      </w:pPr>
    </w:p>
    <w:p>
      <w:pPr>
        <w:ind w:left="480" w:hanging="314"/>
        <w:spacing w:after="0" w:line="266" w:lineRule="auto"/>
        <w:tabs>
          <w:tab w:leader="none" w:pos="4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932,620 shares of our Class A common stock issuable under our 2016 Incentive Plan and 53,923 shares of our Class A common stock issuable under our Amended and Restated 1997 Employee Stock Purchase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from the Proxy Statement under the section captioned "Corporate Governance".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1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60" w:type="dxa"/>
            <w:vAlign w:val="bottom"/>
          </w:tcPr>
          <w:p>
            <w:pPr>
              <w:jc w:val="right"/>
              <w:ind w:right="954"/>
              <w:spacing w:after="0"/>
              <w:rPr>
                <w:sz w:val="20"/>
                <w:szCs w:val="20"/>
                <w:color w:val="auto"/>
              </w:rPr>
            </w:pPr>
            <w:r>
              <w:rPr>
                <w:rFonts w:ascii="Arial" w:cs="Arial" w:eastAsia="Arial" w:hAnsi="Arial"/>
                <w:sz w:val="18"/>
                <w:szCs w:val="18"/>
                <w:color w:val="auto"/>
                <w:w w:val="90"/>
              </w:rPr>
              <w:t>(a)(1)</w:t>
            </w: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Consolidated Financial Statements included under Item 8.</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Report of Independent Registered Public Accounting Firm – RSM US LLP.</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Consolidated Balance Sheets as of December 31, 2021 and December 31, 2020.</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Consolidated Statements of Operations for fiscal years 2021, 2020 and 2019.</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Consolidated Statements of Comprehensive Income for fiscal years 2021, 2020 and 2019.</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Consolidated Statement of Stockholders’ Equity (Deficit) for fiscal years 2021, 2020 and 2019.</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Consolidated Statements of Cash Flows for fiscal years 2021, 2020 and 2019.</w:t>
            </w: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0" w:type="dxa"/>
            <w:vAlign w:val="bottom"/>
          </w:tcPr>
          <w:p>
            <w:pPr>
              <w:spacing w:after="0"/>
              <w:rPr>
                <w:sz w:val="1"/>
                <w:szCs w:val="1"/>
                <w:color w:val="auto"/>
              </w:rPr>
            </w:pPr>
          </w:p>
        </w:tc>
      </w:tr>
      <w:tr>
        <w:trPr>
          <w:trHeight w:val="492"/>
        </w:trPr>
        <w:tc>
          <w:tcPr>
            <w:tcW w:w="1460" w:type="dxa"/>
            <w:vAlign w:val="bottom"/>
          </w:tcPr>
          <w:p>
            <w:pPr>
              <w:jc w:val="right"/>
              <w:ind w:right="954"/>
              <w:spacing w:after="0"/>
              <w:rPr>
                <w:sz w:val="20"/>
                <w:szCs w:val="20"/>
                <w:color w:val="auto"/>
              </w:rPr>
            </w:pPr>
            <w:r>
              <w:rPr>
                <w:rFonts w:ascii="Arial" w:cs="Arial" w:eastAsia="Arial" w:hAnsi="Arial"/>
                <w:sz w:val="18"/>
                <w:szCs w:val="18"/>
                <w:color w:val="auto"/>
                <w:w w:val="90"/>
              </w:rPr>
              <w:t>(a)(2)</w:t>
            </w: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Financial Statement Schedules:</w:t>
            </w:r>
          </w:p>
        </w:tc>
        <w:tc>
          <w:tcPr>
            <w:tcW w:w="0" w:type="dxa"/>
            <w:vAlign w:val="bottom"/>
          </w:tcPr>
          <w:p>
            <w:pPr>
              <w:spacing w:after="0"/>
              <w:rPr>
                <w:sz w:val="1"/>
                <w:szCs w:val="1"/>
                <w:color w:val="auto"/>
              </w:rPr>
            </w:pPr>
          </w:p>
        </w:tc>
      </w:tr>
      <w:tr>
        <w:trPr>
          <w:trHeight w:val="175"/>
        </w:trPr>
        <w:tc>
          <w:tcPr>
            <w:tcW w:w="1460" w:type="dxa"/>
            <w:vAlign w:val="bottom"/>
          </w:tcPr>
          <w:p>
            <w:pPr>
              <w:spacing w:after="0"/>
              <w:rPr>
                <w:sz w:val="15"/>
                <w:szCs w:val="15"/>
                <w:color w:val="auto"/>
              </w:rPr>
            </w:pPr>
          </w:p>
        </w:tc>
        <w:tc>
          <w:tcPr>
            <w:tcW w:w="9780" w:type="dxa"/>
            <w:vAlign w:val="bottom"/>
            <w:gridSpan w:val="30"/>
          </w:tcPr>
          <w:p>
            <w:pPr>
              <w:ind w:left="420"/>
              <w:spacing w:after="0" w:line="175" w:lineRule="exact"/>
              <w:rPr>
                <w:sz w:val="20"/>
                <w:szCs w:val="20"/>
                <w:color w:val="auto"/>
              </w:rPr>
            </w:pPr>
            <w:r>
              <w:rPr>
                <w:rFonts w:ascii="Arial" w:cs="Arial" w:eastAsia="Arial" w:hAnsi="Arial"/>
                <w:sz w:val="18"/>
                <w:szCs w:val="18"/>
                <w:color w:val="auto"/>
                <w:w w:val="93"/>
              </w:rPr>
              <w:t>All schedules have been omitted because the required information is not significant or is included in the consolidated financial</w:t>
            </w: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statements or notes thereto, or is not applicable.</w:t>
            </w:r>
          </w:p>
        </w:tc>
        <w:tc>
          <w:tcPr>
            <w:tcW w:w="0" w:type="dxa"/>
            <w:vAlign w:val="bottom"/>
          </w:tcPr>
          <w:p>
            <w:pPr>
              <w:spacing w:after="0"/>
              <w:rPr>
                <w:sz w:val="1"/>
                <w:szCs w:val="1"/>
                <w:color w:val="auto"/>
              </w:rPr>
            </w:pPr>
          </w:p>
        </w:tc>
      </w:tr>
      <w:tr>
        <w:trPr>
          <w:trHeight w:val="492"/>
        </w:trPr>
        <w:tc>
          <w:tcPr>
            <w:tcW w:w="1460" w:type="dxa"/>
            <w:vAlign w:val="bottom"/>
          </w:tcPr>
          <w:p>
            <w:pPr>
              <w:jc w:val="right"/>
              <w:ind w:right="954"/>
              <w:spacing w:after="0"/>
              <w:rPr>
                <w:sz w:val="20"/>
                <w:szCs w:val="20"/>
                <w:color w:val="auto"/>
              </w:rPr>
            </w:pPr>
            <w:r>
              <w:rPr>
                <w:rFonts w:ascii="Arial" w:cs="Arial" w:eastAsia="Arial" w:hAnsi="Arial"/>
                <w:sz w:val="18"/>
                <w:szCs w:val="18"/>
                <w:color w:val="auto"/>
                <w:w w:val="90"/>
              </w:rPr>
              <w:t>(a)(3)</w:t>
            </w:r>
          </w:p>
        </w:tc>
        <w:tc>
          <w:tcPr>
            <w:tcW w:w="9780" w:type="dxa"/>
            <w:vAlign w:val="bottom"/>
            <w:gridSpan w:val="30"/>
          </w:tcPr>
          <w:p>
            <w:pPr>
              <w:ind w:left="42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254"/>
        </w:trPr>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80" w:type="dxa"/>
            <w:vAlign w:val="bottom"/>
            <w:gridSpan w:val="23"/>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4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2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28"/>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Second Amended and Restated Certificate of Incorporation of Casella Waste Systems, Inc., as amended (incorporated herein by</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2"/>
          </w:tcPr>
          <w:p>
            <w:pPr>
              <w:spacing w:after="0" w:line="153" w:lineRule="exact"/>
              <w:rPr>
                <w:rFonts w:ascii="Arial" w:cs="Arial" w:eastAsia="Arial" w:hAnsi="Arial"/>
                <w:sz w:val="17"/>
                <w:szCs w:val="17"/>
                <w:color w:val="0000FF"/>
                <w:w w:val="95"/>
              </w:rPr>
            </w:pPr>
            <w:hyperlink r:id="rId175">
              <w:r>
                <w:rPr>
                  <w:rFonts w:ascii="Arial" w:cs="Arial" w:eastAsia="Arial" w:hAnsi="Arial"/>
                  <w:sz w:val="17"/>
                  <w:szCs w:val="17"/>
                  <w:color w:val="0000FF"/>
                  <w:w w:val="95"/>
                </w:rPr>
                <w:t>reference to Exhibit 3.1 to the quarterly report on Form 10-Q of Casella as filed on December 7, 2007(file no. 000-23211)).</w:t>
              </w:r>
            </w:hyperlink>
          </w:p>
        </w:tc>
        <w:tc>
          <w:tcPr>
            <w:tcW w:w="3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Third Amended and Restated By-Laws of Casella Waste Systems, Inc., as amended (incorporated herein by reference to Exhibit</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176">
              <w:r>
                <w:rPr>
                  <w:rFonts w:ascii="Arial" w:cs="Arial" w:eastAsia="Arial" w:hAnsi="Arial"/>
                  <w:sz w:val="17"/>
                  <w:szCs w:val="17"/>
                  <w:color w:val="0000FF"/>
                  <w:w w:val="95"/>
                </w:rPr>
                <w:t>3.</w:t>
              </w:r>
              <w:r>
                <w:rPr>
                  <w:rFonts w:ascii="Arial" w:cs="Arial" w:eastAsia="Arial" w:hAnsi="Arial"/>
                  <w:sz w:val="17"/>
                  <w:szCs w:val="17"/>
                  <w:u w:val="single" w:color="auto"/>
                  <w:color w:val="0000FF"/>
                  <w:w w:val="95"/>
                </w:rPr>
                <w:t>1</w:t>
              </w:r>
              <w:r>
                <w:rPr>
                  <w:rFonts w:ascii="Arial" w:cs="Arial" w:eastAsia="Arial" w:hAnsi="Arial"/>
                  <w:sz w:val="17"/>
                  <w:szCs w:val="17"/>
                  <w:color w:val="0000FF"/>
                  <w:w w:val="95"/>
                </w:rPr>
                <w:t xml:space="preserve"> to the annual report on Form 10-K of Casella as filed on February 19, 2021 (file no. 000-23211)).</w:t>
              </w:r>
            </w:hyperlink>
          </w:p>
        </w:tc>
        <w:tc>
          <w:tcPr>
            <w:tcW w:w="19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Form of stock certificate of Casella Class A common stock (incorporated herein by reference to Exhibit 4 to Amendment No. 2 to</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3"/>
          </w:tcPr>
          <w:p>
            <w:pPr>
              <w:spacing w:after="0" w:line="153" w:lineRule="exact"/>
              <w:rPr>
                <w:rFonts w:ascii="Arial" w:cs="Arial" w:eastAsia="Arial" w:hAnsi="Arial"/>
                <w:sz w:val="17"/>
                <w:szCs w:val="17"/>
                <w:color w:val="0000FF"/>
              </w:rPr>
            </w:pPr>
            <w:hyperlink r:id="rId177">
              <w:r>
                <w:rPr>
                  <w:rFonts w:ascii="Arial" w:cs="Arial" w:eastAsia="Arial" w:hAnsi="Arial"/>
                  <w:sz w:val="17"/>
                  <w:szCs w:val="17"/>
                  <w:color w:val="0000FF"/>
                </w:rPr>
                <w:t>the registration statement on Form S-1 of Casella as filed on October 9, 1997 (file no. 333-33135)).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Certificate of Designation creating Series A Convertible Preferred Stock (incorporated herein by reference to Exhibit 4.1 to the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178">
              <w:r>
                <w:rPr>
                  <w:rFonts w:ascii="Arial" w:cs="Arial" w:eastAsia="Arial" w:hAnsi="Arial"/>
                  <w:sz w:val="17"/>
                  <w:szCs w:val="17"/>
                  <w:color w:val="0000FF"/>
                  <w:w w:val="95"/>
                </w:rPr>
                <w:t>current report on Form 8-K of Casella as filed on August 18, 2000 (file no. 000-23211)).</w:t>
              </w:r>
            </w:hyperlink>
          </w:p>
        </w:tc>
        <w:tc>
          <w:tcPr>
            <w:tcW w:w="27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20" w:type="dxa"/>
            <w:vAlign w:val="bottom"/>
            <w:tcBorders>
              <w:bottom w:val="single" w:sz="8" w:color="0000FF"/>
            </w:tcBorders>
            <w:gridSpan w:val="24"/>
          </w:tcPr>
          <w:p>
            <w:pPr>
              <w:spacing w:after="0"/>
              <w:rPr>
                <w:rFonts w:ascii="Arial" w:cs="Arial" w:eastAsia="Arial" w:hAnsi="Arial"/>
                <w:sz w:val="18"/>
                <w:szCs w:val="18"/>
                <w:color w:val="0000FF"/>
                <w:w w:val="89"/>
              </w:rPr>
            </w:pPr>
            <w:hyperlink r:id="rId179">
              <w:r>
                <w:rPr>
                  <w:rFonts w:ascii="Arial" w:cs="Arial" w:eastAsia="Arial" w:hAnsi="Arial"/>
                  <w:sz w:val="18"/>
                  <w:szCs w:val="18"/>
                  <w:color w:val="0000FF"/>
                  <w:w w:val="89"/>
                </w:rPr>
                <w:t xml:space="preserve">Description of Securities Registered Under Section 12 of the Exchange Act </w:t>
              </w:r>
            </w:hyperlink>
            <w:r>
              <w:rPr>
                <w:rFonts w:ascii="Arial" w:cs="Arial" w:eastAsia="Arial" w:hAnsi="Arial"/>
                <w:sz w:val="18"/>
                <w:szCs w:val="18"/>
                <w:color w:val="0000FF"/>
                <w:w w:val="89"/>
              </w:rPr>
              <w:t>(incorporated herein by reference to Exhibit 4.3 to the</w:t>
            </w:r>
          </w:p>
        </w:tc>
        <w:tc>
          <w:tcPr>
            <w:tcW w:w="10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gridSpan w:val="28"/>
          </w:tcPr>
          <w:p>
            <w:pPr>
              <w:spacing w:after="0" w:line="180" w:lineRule="exact"/>
              <w:rPr>
                <w:sz w:val="20"/>
                <w:szCs w:val="20"/>
                <w:color w:val="auto"/>
              </w:rPr>
            </w:pPr>
            <w:r>
              <w:rPr>
                <w:rFonts w:ascii="Arial" w:cs="Arial" w:eastAsia="Arial" w:hAnsi="Arial"/>
                <w:sz w:val="18"/>
                <w:szCs w:val="18"/>
                <w:color w:val="0000FF"/>
              </w:rPr>
              <w:t>annual report on Form 10-K of Casella as filed on February 19, 2021 (file no. 000-23211)).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900" w:type="dxa"/>
            <w:vAlign w:val="bottom"/>
            <w:tcBorders>
              <w:bottom w:val="single" w:sz="8" w:color="0000FF"/>
            </w:tcBorders>
            <w:gridSpan w:val="14"/>
          </w:tcPr>
          <w:p>
            <w:pPr>
              <w:spacing w:after="0"/>
              <w:rPr>
                <w:rFonts w:ascii="Arial" w:cs="Arial" w:eastAsia="Arial" w:hAnsi="Arial"/>
                <w:sz w:val="18"/>
                <w:szCs w:val="18"/>
                <w:color w:val="0000FF"/>
                <w:w w:val="89"/>
              </w:rPr>
            </w:pPr>
            <w:hyperlink r:id="rId180">
              <w:r>
                <w:rPr>
                  <w:rFonts w:ascii="Arial" w:cs="Arial" w:eastAsia="Arial" w:hAnsi="Arial"/>
                  <w:sz w:val="18"/>
                  <w:szCs w:val="18"/>
                  <w:color w:val="0000FF"/>
                  <w:w w:val="89"/>
                </w:rPr>
                <w:t>FAME Financing Agreement, dated as of August 1, 2015, between Casella and the Finance Authority of Maine (incorporated</w:t>
              </w:r>
            </w:hyperlink>
          </w:p>
        </w:tc>
        <w:tc>
          <w:tcPr>
            <w:tcW w:w="42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8"/>
          </w:tcPr>
          <w:p>
            <w:pPr>
              <w:spacing w:after="0" w:line="153" w:lineRule="exact"/>
              <w:rPr>
                <w:rFonts w:ascii="Arial" w:cs="Arial" w:eastAsia="Arial" w:hAnsi="Arial"/>
                <w:sz w:val="17"/>
                <w:szCs w:val="17"/>
                <w:color w:val="0000FF"/>
                <w:w w:val="97"/>
              </w:rPr>
            </w:pPr>
            <w:hyperlink r:id="rId180">
              <w:r>
                <w:rPr>
                  <w:rFonts w:ascii="Arial" w:cs="Arial" w:eastAsia="Arial" w:hAnsi="Arial"/>
                  <w:sz w:val="17"/>
                  <w:szCs w:val="17"/>
                  <w:color w:val="0000FF"/>
                  <w:w w:val="97"/>
                </w:rPr>
                <w:t>herein by reference to Exhibit 4.1 to the current report on Form 8-K of Casella as filed on August 27, 2015 (file no. 000-23211)).</w:t>
              </w:r>
            </w:hyperlink>
          </w:p>
        </w:tc>
        <w:tc>
          <w:tcPr>
            <w:tcW w:w="0" w:type="dxa"/>
            <w:vAlign w:val="bottom"/>
          </w:tcPr>
          <w:p>
            <w:pPr>
              <w:spacing w:after="0"/>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40" w:type="dxa"/>
            <w:vAlign w:val="bottom"/>
            <w:tcBorders>
              <w:top w:val="single" w:sz="8" w:color="0000FF"/>
            </w:tcBorders>
            <w:gridSpan w:val="22"/>
          </w:tcPr>
          <w:p>
            <w:pPr>
              <w:spacing w:after="0"/>
              <w:rPr>
                <w:rFonts w:ascii="Arial" w:cs="Arial" w:eastAsia="Arial" w:hAnsi="Arial"/>
                <w:sz w:val="18"/>
                <w:szCs w:val="18"/>
                <w:color w:val="0000FF"/>
                <w:w w:val="89"/>
              </w:rPr>
            </w:pPr>
            <w:hyperlink r:id="rId181">
              <w:r>
                <w:rPr>
                  <w:rFonts w:ascii="Arial" w:cs="Arial" w:eastAsia="Arial" w:hAnsi="Arial"/>
                  <w:sz w:val="18"/>
                  <w:szCs w:val="18"/>
                  <w:color w:val="0000FF"/>
                  <w:w w:val="89"/>
                </w:rPr>
                <w:t>FAME Guaranty Agreement, dated as of August 1, 2015, by and between the guarantors named therein and U.S. Bank National</w:t>
              </w:r>
            </w:hyperlink>
          </w:p>
        </w:tc>
        <w:tc>
          <w:tcPr>
            <w:tcW w:w="1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8"/>
          </w:tcPr>
          <w:p>
            <w:pPr>
              <w:spacing w:after="0" w:line="153" w:lineRule="exact"/>
              <w:rPr>
                <w:rFonts w:ascii="Arial" w:cs="Arial" w:eastAsia="Arial" w:hAnsi="Arial"/>
                <w:sz w:val="17"/>
                <w:szCs w:val="17"/>
                <w:color w:val="0000FF"/>
                <w:w w:val="95"/>
              </w:rPr>
            </w:pPr>
            <w:hyperlink r:id="rId181">
              <w:r>
                <w:rPr>
                  <w:rFonts w:ascii="Arial" w:cs="Arial" w:eastAsia="Arial" w:hAnsi="Arial"/>
                  <w:sz w:val="17"/>
                  <w:szCs w:val="17"/>
                  <w:color w:val="0000FF"/>
                  <w:w w:val="95"/>
                </w:rPr>
                <w:t>Association, as trustee (incorporated herein by reference to Exhibit 4.2 to the current report on Form 8-K of Casella as filed on</w:t>
              </w:r>
            </w:hyperlink>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5"/>
              </w:rPr>
            </w:pPr>
            <w:hyperlink r:id="rId181">
              <w:r>
                <w:rPr>
                  <w:rFonts w:ascii="Arial" w:cs="Arial" w:eastAsia="Arial" w:hAnsi="Arial"/>
                  <w:sz w:val="17"/>
                  <w:szCs w:val="17"/>
                  <w:color w:val="0000FF"/>
                  <w:w w:val="95"/>
                </w:rPr>
                <w:t>August 27, 2015 (file no. 000-23211)).</w:t>
              </w:r>
            </w:hyperlink>
          </w:p>
        </w:tc>
        <w:tc>
          <w:tcPr>
            <w:tcW w:w="622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4"/>
              </w:rPr>
            </w:pPr>
            <w:hyperlink r:id="rId182">
              <w:r>
                <w:rPr>
                  <w:rFonts w:ascii="Arial" w:cs="Arial" w:eastAsia="Arial" w:hAnsi="Arial"/>
                  <w:sz w:val="18"/>
                  <w:szCs w:val="18"/>
                  <w:color w:val="0000FF"/>
                  <w:w w:val="94"/>
                </w:rPr>
                <w:t>Loan Agreement, dated as of December 1, 2014, between New York State Environmental Facilities Corporation and Casella</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3"/>
          </w:tcPr>
          <w:p>
            <w:pPr>
              <w:spacing w:after="0" w:line="153" w:lineRule="exact"/>
              <w:rPr>
                <w:rFonts w:ascii="Arial" w:cs="Arial" w:eastAsia="Arial" w:hAnsi="Arial"/>
                <w:sz w:val="17"/>
                <w:szCs w:val="17"/>
                <w:color w:val="0000FF"/>
                <w:w w:val="95"/>
              </w:rPr>
            </w:pPr>
            <w:hyperlink r:id="rId182">
              <w:r>
                <w:rPr>
                  <w:rFonts w:ascii="Arial" w:cs="Arial" w:eastAsia="Arial" w:hAnsi="Arial"/>
                  <w:sz w:val="17"/>
                  <w:szCs w:val="17"/>
                  <w:color w:val="0000FF"/>
                  <w:w w:val="95"/>
                </w:rPr>
                <w:t>(incorporated herein by reference to Exhibit 4.1 to the current report on Form 8-K of Casella as filed on December 18, 2014</w:t>
              </w:r>
            </w:hyperlink>
          </w:p>
        </w:tc>
        <w:tc>
          <w:tcPr>
            <w:tcW w:w="500" w:type="dxa"/>
            <w:vAlign w:val="bottom"/>
            <w:gridSpan w:val="15"/>
          </w:tcPr>
          <w:p>
            <w:pPr>
              <w:ind w:left="20"/>
              <w:spacing w:after="0" w:line="153" w:lineRule="exact"/>
              <w:rPr>
                <w:rFonts w:ascii="Arial" w:cs="Arial" w:eastAsia="Arial" w:hAnsi="Arial"/>
                <w:sz w:val="17"/>
                <w:szCs w:val="17"/>
                <w:color w:val="0000FF"/>
              </w:rPr>
            </w:pPr>
            <w:hyperlink r:id="rId182">
              <w:r>
                <w:rPr>
                  <w:rFonts w:ascii="Arial" w:cs="Arial" w:eastAsia="Arial" w:hAnsi="Arial"/>
                  <w:sz w:val="17"/>
                  <w:szCs w:val="17"/>
                  <w:color w:val="0000FF"/>
                </w:rPr>
                <w:t>(file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3"/>
              </w:rPr>
            </w:pPr>
            <w:hyperlink r:id="rId182">
              <w:r>
                <w:rPr>
                  <w:rFonts w:ascii="Arial" w:cs="Arial" w:eastAsia="Arial" w:hAnsi="Arial"/>
                  <w:sz w:val="17"/>
                  <w:szCs w:val="17"/>
                  <w:color w:val="0000FF"/>
                  <w:w w:val="93"/>
                </w:rPr>
                <w:t>no. 000-23211)).</w:t>
              </w:r>
            </w:hyperlink>
          </w:p>
        </w:tc>
        <w:tc>
          <w:tcPr>
            <w:tcW w:w="7920" w:type="dxa"/>
            <w:vAlign w:val="bottom"/>
            <w:tcBorders>
              <w:top w:val="single" w:sz="8" w:color="0000FF"/>
            </w:tcBorders>
            <w:gridSpan w:val="20"/>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40" w:type="dxa"/>
            <w:vAlign w:val="bottom"/>
            <w:tcBorders>
              <w:bottom w:val="single" w:sz="8" w:color="0000FF"/>
            </w:tcBorders>
            <w:gridSpan w:val="17"/>
          </w:tcPr>
          <w:p>
            <w:pPr>
              <w:spacing w:after="0"/>
              <w:rPr>
                <w:rFonts w:ascii="Arial" w:cs="Arial" w:eastAsia="Arial" w:hAnsi="Arial"/>
                <w:sz w:val="18"/>
                <w:szCs w:val="18"/>
                <w:color w:val="0000FF"/>
                <w:w w:val="87"/>
              </w:rPr>
            </w:pPr>
            <w:hyperlink r:id="rId183">
              <w:r>
                <w:rPr>
                  <w:rFonts w:ascii="Arial" w:cs="Arial" w:eastAsia="Arial" w:hAnsi="Arial"/>
                  <w:sz w:val="18"/>
                  <w:szCs w:val="18"/>
                  <w:color w:val="0000FF"/>
                  <w:w w:val="87"/>
                </w:rPr>
                <w:t>NYSEFC Amended and Restated Guaranty Agreement, dated as of June 1, 2016, by and between the guarantors named therein</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28"/>
          </w:tcPr>
          <w:p>
            <w:pPr>
              <w:spacing w:after="0" w:line="153" w:lineRule="exact"/>
              <w:rPr>
                <w:rFonts w:ascii="Arial" w:cs="Arial" w:eastAsia="Arial" w:hAnsi="Arial"/>
                <w:sz w:val="17"/>
                <w:szCs w:val="17"/>
                <w:color w:val="0000FF"/>
                <w:w w:val="95"/>
              </w:rPr>
            </w:pPr>
            <w:hyperlink r:id="rId183">
              <w:r>
                <w:rPr>
                  <w:rFonts w:ascii="Arial" w:cs="Arial" w:eastAsia="Arial" w:hAnsi="Arial"/>
                  <w:sz w:val="17"/>
                  <w:szCs w:val="17"/>
                  <w:color w:val="0000FF"/>
                  <w:w w:val="95"/>
                </w:rPr>
                <w:t>and U.S. Bank National Association, as Trustee (incorporated herein by reference to Exhibit 4.1 to the current report on Form 8-K</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4"/>
              </w:rPr>
            </w:pPr>
            <w:hyperlink r:id="rId183">
              <w:r>
                <w:rPr>
                  <w:rFonts w:ascii="Arial" w:cs="Arial" w:eastAsia="Arial" w:hAnsi="Arial"/>
                  <w:sz w:val="17"/>
                  <w:szCs w:val="17"/>
                  <w:color w:val="0000FF"/>
                  <w:w w:val="94"/>
                </w:rPr>
                <w:t>of Casella as filed on June 2, 2016 (file no. 000-23211)).</w:t>
              </w:r>
            </w:hyperlink>
          </w:p>
        </w:tc>
        <w:tc>
          <w:tcPr>
            <w:tcW w:w="522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460" w:type="dxa"/>
            <w:vAlign w:val="bottom"/>
          </w:tcPr>
          <w:p>
            <w:pPr>
              <w:jc w:val="right"/>
              <w:ind w:right="934"/>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28"/>
          </w:tcPr>
          <w:p>
            <w:pPr>
              <w:spacing w:after="0"/>
              <w:rPr>
                <w:rFonts w:ascii="Arial" w:cs="Arial" w:eastAsia="Arial" w:hAnsi="Arial"/>
                <w:sz w:val="18"/>
                <w:szCs w:val="18"/>
                <w:color w:val="0000FF"/>
                <w:w w:val="94"/>
              </w:rPr>
            </w:pPr>
            <w:hyperlink r:id="rId184">
              <w:r>
                <w:rPr>
                  <w:rFonts w:ascii="Arial" w:cs="Arial" w:eastAsia="Arial" w:hAnsi="Arial"/>
                  <w:sz w:val="18"/>
                  <w:szCs w:val="18"/>
                  <w:color w:val="0000FF"/>
                  <w:w w:val="94"/>
                </w:rPr>
                <w:t>BFA Guaranty Agreement, dated as of October 1, 2014, by and among U.S. Bank National Association, as Trustee, and the</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1"/>
          </w:tcPr>
          <w:p>
            <w:pPr>
              <w:spacing w:after="0" w:line="153" w:lineRule="exact"/>
              <w:rPr>
                <w:rFonts w:ascii="Arial" w:cs="Arial" w:eastAsia="Arial" w:hAnsi="Arial"/>
                <w:sz w:val="17"/>
                <w:szCs w:val="17"/>
                <w:color w:val="0000FF"/>
                <w:w w:val="95"/>
              </w:rPr>
            </w:pPr>
            <w:hyperlink r:id="rId184">
              <w:r>
                <w:rPr>
                  <w:rFonts w:ascii="Arial" w:cs="Arial" w:eastAsia="Arial" w:hAnsi="Arial"/>
                  <w:sz w:val="17"/>
                  <w:szCs w:val="17"/>
                  <w:color w:val="0000FF"/>
                  <w:w w:val="95"/>
                </w:rPr>
                <w:t>guarantors identified therein (incorporated herein by reference to Exhibit 10.1 to the current report on Form 8-K of Casella</w:t>
              </w:r>
            </w:hyperlink>
          </w:p>
        </w:tc>
        <w:tc>
          <w:tcPr>
            <w:tcW w:w="580" w:type="dxa"/>
            <w:vAlign w:val="bottom"/>
            <w:gridSpan w:val="17"/>
          </w:tcPr>
          <w:p>
            <w:pPr>
              <w:ind w:left="20"/>
              <w:spacing w:after="0" w:line="153" w:lineRule="exact"/>
              <w:rPr>
                <w:rFonts w:ascii="Arial" w:cs="Arial" w:eastAsia="Arial" w:hAnsi="Arial"/>
                <w:sz w:val="17"/>
                <w:szCs w:val="17"/>
                <w:color w:val="0000FF"/>
              </w:rPr>
            </w:pPr>
            <w:hyperlink r:id="rId184">
              <w:r>
                <w:rPr>
                  <w:rFonts w:ascii="Arial" w:cs="Arial" w:eastAsia="Arial" w:hAnsi="Arial"/>
                  <w:sz w:val="17"/>
                  <w:szCs w:val="17"/>
                  <w:color w:val="0000FF"/>
                </w:rPr>
                <w:t>as filed</w:t>
              </w:r>
            </w:hyperlink>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184">
              <w:r>
                <w:rPr>
                  <w:rFonts w:ascii="Arial" w:cs="Arial" w:eastAsia="Arial" w:hAnsi="Arial"/>
                  <w:sz w:val="17"/>
                  <w:szCs w:val="17"/>
                  <w:color w:val="0000FF"/>
                  <w:w w:val="95"/>
                </w:rPr>
                <w:t>on October 16, 2014 (file no. 000-23211)).</w:t>
              </w:r>
            </w:hyperlink>
          </w:p>
        </w:tc>
        <w:tc>
          <w:tcPr>
            <w:tcW w:w="624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10"/>
        </w:trPr>
        <w:tc>
          <w:tcPr>
            <w:tcW w:w="1460" w:type="dxa"/>
            <w:vAlign w:val="bottom"/>
          </w:tcPr>
          <w:p>
            <w:pPr>
              <w:spacing w:after="0"/>
              <w:rPr>
                <w:sz w:val="24"/>
                <w:szCs w:val="24"/>
                <w:color w:val="auto"/>
              </w:rPr>
            </w:pPr>
          </w:p>
        </w:tc>
        <w:tc>
          <w:tcPr>
            <w:tcW w:w="4480" w:type="dxa"/>
            <w:vAlign w:val="bottom"/>
            <w:gridSpan w:val="6"/>
          </w:tcPr>
          <w:p>
            <w:pPr>
              <w:ind w:left="4040"/>
              <w:spacing w:after="0"/>
              <w:rPr>
                <w:sz w:val="20"/>
                <w:szCs w:val="20"/>
                <w:color w:val="auto"/>
              </w:rPr>
            </w:pPr>
            <w:r>
              <w:rPr>
                <w:rFonts w:ascii="Arial" w:cs="Arial" w:eastAsia="Arial" w:hAnsi="Arial"/>
                <w:sz w:val="18"/>
                <w:szCs w:val="18"/>
                <w:color w:val="auto"/>
              </w:rPr>
              <w:t>106</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4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rFonts w:ascii="Arial" w:cs="Arial" w:eastAsia="Arial" w:hAnsi="Arial"/>
                <w:sz w:val="14"/>
                <w:szCs w:val="14"/>
                <w:b w:val="1"/>
                <w:bCs w:val="1"/>
                <w:color w:val="0000FF"/>
                <w:w w:val="89"/>
              </w:rPr>
            </w:pPr>
            <w:hyperlink w:anchor="page1">
              <w:r>
                <w:rPr>
                  <w:rFonts w:ascii="Arial" w:cs="Arial" w:eastAsia="Arial" w:hAnsi="Arial"/>
                  <w:sz w:val="14"/>
                  <w:szCs w:val="14"/>
                  <w:b w:val="1"/>
                  <w:bCs w:val="1"/>
                  <w:color w:val="0000FF"/>
                  <w:w w:val="89"/>
                </w:rPr>
                <w:t>Table of Contents</w:t>
              </w:r>
            </w:hyperlink>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40" w:type="dxa"/>
            <w:vAlign w:val="bottom"/>
            <w:gridSpan w:val="32"/>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900" w:type="dxa"/>
            <w:vAlign w:val="bottom"/>
            <w:gridSpan w:val="3"/>
          </w:tcPr>
          <w:p>
            <w:pPr>
              <w:ind w:left="6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4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4.9</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60" w:type="dxa"/>
            <w:vAlign w:val="bottom"/>
            <w:tcBorders>
              <w:top w:val="single" w:sz="8" w:color="auto"/>
            </w:tcBorders>
            <w:gridSpan w:val="41"/>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Financing Agreement dated as of March 1, 2013 between Casella and the Vermont Economic Development Authority, relating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32"/>
          </w:tcPr>
          <w:p>
            <w:pPr>
              <w:spacing w:after="0" w:line="153" w:lineRule="exact"/>
              <w:rPr>
                <w:rFonts w:ascii="Arial" w:cs="Arial" w:eastAsia="Arial" w:hAnsi="Arial"/>
                <w:sz w:val="17"/>
                <w:szCs w:val="17"/>
                <w:color w:val="0000FF"/>
                <w:w w:val="95"/>
              </w:rPr>
            </w:pPr>
            <w:hyperlink r:id="rId187">
              <w:r>
                <w:rPr>
                  <w:rFonts w:ascii="Arial" w:cs="Arial" w:eastAsia="Arial" w:hAnsi="Arial"/>
                  <w:sz w:val="17"/>
                  <w:szCs w:val="17"/>
                  <w:color w:val="0000FF"/>
                  <w:w w:val="95"/>
                </w:rPr>
                <w:t>issuance of Vermont Economic Development Authority Solid Waste Disposal Revenue Bonds (incorporated herein by reference</w:t>
              </w:r>
            </w:hyperlink>
          </w:p>
        </w:tc>
        <w:tc>
          <w:tcPr>
            <w:tcW w:w="180" w:type="dxa"/>
            <w:vAlign w:val="bottom"/>
            <w:gridSpan w:val="9"/>
          </w:tcPr>
          <w:p>
            <w:pPr>
              <w:spacing w:after="0" w:line="153" w:lineRule="exact"/>
              <w:rPr>
                <w:rFonts w:ascii="Arial" w:cs="Arial" w:eastAsia="Arial" w:hAnsi="Arial"/>
                <w:sz w:val="17"/>
                <w:szCs w:val="17"/>
                <w:color w:val="0000FF"/>
              </w:rPr>
            </w:pPr>
            <w:hyperlink r:id="rId187">
              <w:r>
                <w:rPr>
                  <w:rFonts w:ascii="Arial" w:cs="Arial" w:eastAsia="Arial" w:hAnsi="Arial"/>
                  <w:sz w:val="17"/>
                  <w:szCs w:val="17"/>
                  <w:color w:val="0000FF"/>
                </w:rPr>
                <w:t>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2"/>
          </w:tcPr>
          <w:p>
            <w:pPr>
              <w:spacing w:after="0" w:line="153" w:lineRule="exact"/>
              <w:rPr>
                <w:rFonts w:ascii="Arial" w:cs="Arial" w:eastAsia="Arial" w:hAnsi="Arial"/>
                <w:sz w:val="17"/>
                <w:szCs w:val="17"/>
                <w:color w:val="0000FF"/>
                <w:w w:val="96"/>
              </w:rPr>
            </w:pPr>
            <w:hyperlink r:id="rId187">
              <w:r>
                <w:rPr>
                  <w:rFonts w:ascii="Arial" w:cs="Arial" w:eastAsia="Arial" w:hAnsi="Arial"/>
                  <w:sz w:val="17"/>
                  <w:szCs w:val="17"/>
                  <w:color w:val="0000FF"/>
                  <w:w w:val="96"/>
                </w:rPr>
                <w:t>Exhibit 10.1 to the current report on Form 8-K of Casella as filed April 5, 2013 (file no. 000-23211)).</w:t>
              </w:r>
            </w:hyperlink>
          </w:p>
        </w:tc>
        <w:tc>
          <w:tcPr>
            <w:tcW w:w="21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VEDA Guaranty Agreement, dated as of March 1, 2013, by and among U.S. Bank National Association, as Trustee, and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41"/>
          </w:tcPr>
          <w:p>
            <w:pPr>
              <w:spacing w:after="0" w:line="153" w:lineRule="exact"/>
              <w:rPr>
                <w:rFonts w:ascii="Arial" w:cs="Arial" w:eastAsia="Arial" w:hAnsi="Arial"/>
                <w:sz w:val="17"/>
                <w:szCs w:val="17"/>
                <w:color w:val="0000FF"/>
                <w:w w:val="96"/>
              </w:rPr>
            </w:pPr>
            <w:hyperlink r:id="rId188">
              <w:r>
                <w:rPr>
                  <w:rFonts w:ascii="Arial" w:cs="Arial" w:eastAsia="Arial" w:hAnsi="Arial"/>
                  <w:sz w:val="17"/>
                  <w:szCs w:val="17"/>
                  <w:color w:val="0000FF"/>
                  <w:w w:val="96"/>
                </w:rPr>
                <w:t>guarantors identified therein (incorporated herein by reference to Exhibit 4.8 to the annual report on Form 10-K of Casella as filed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36"/>
          </w:tcPr>
          <w:p>
            <w:pPr>
              <w:spacing w:after="0" w:line="153" w:lineRule="exact"/>
              <w:rPr>
                <w:rFonts w:ascii="Arial" w:cs="Arial" w:eastAsia="Arial" w:hAnsi="Arial"/>
                <w:sz w:val="17"/>
                <w:szCs w:val="17"/>
                <w:color w:val="0000FF"/>
              </w:rPr>
            </w:pPr>
            <w:hyperlink r:id="rId188">
              <w:r>
                <w:rPr>
                  <w:rFonts w:ascii="Arial" w:cs="Arial" w:eastAsia="Arial" w:hAnsi="Arial"/>
                  <w:sz w:val="17"/>
                  <w:szCs w:val="17"/>
                  <w:color w:val="0000FF"/>
                </w:rPr>
                <w:t>on June 27, 2014 (file no. 000-23211)).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40" w:type="dxa"/>
            <w:vAlign w:val="bottom"/>
            <w:tcBorders>
              <w:bottom w:val="single" w:sz="8" w:color="0000FF"/>
            </w:tcBorders>
            <w:gridSpan w:val="17"/>
          </w:tcPr>
          <w:p>
            <w:pPr>
              <w:spacing w:after="0"/>
              <w:rPr>
                <w:rFonts w:ascii="Arial" w:cs="Arial" w:eastAsia="Arial" w:hAnsi="Arial"/>
                <w:sz w:val="18"/>
                <w:szCs w:val="18"/>
                <w:color w:val="0000FF"/>
                <w:w w:val="88"/>
              </w:rPr>
            </w:pPr>
            <w:hyperlink r:id="rId189">
              <w:r>
                <w:rPr>
                  <w:rFonts w:ascii="Arial" w:cs="Arial" w:eastAsia="Arial" w:hAnsi="Arial"/>
                  <w:sz w:val="18"/>
                  <w:szCs w:val="18"/>
                  <w:color w:val="0000FF"/>
                  <w:w w:val="88"/>
                </w:rPr>
                <w:t>Financing Agreement dated as of March 1, 2013 between Casella and the Business Finance Authority of the State of New</w:t>
              </w:r>
            </w:hyperlink>
          </w:p>
        </w:tc>
        <w:tc>
          <w:tcPr>
            <w:tcW w:w="72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41"/>
          </w:tcPr>
          <w:p>
            <w:pPr>
              <w:spacing w:after="0" w:line="153" w:lineRule="exact"/>
              <w:rPr>
                <w:rFonts w:ascii="Arial" w:cs="Arial" w:eastAsia="Arial" w:hAnsi="Arial"/>
                <w:sz w:val="17"/>
                <w:szCs w:val="17"/>
                <w:color w:val="0000FF"/>
                <w:w w:val="99"/>
              </w:rPr>
            </w:pPr>
            <w:hyperlink r:id="rId189">
              <w:r>
                <w:rPr>
                  <w:rFonts w:ascii="Arial" w:cs="Arial" w:eastAsia="Arial" w:hAnsi="Arial"/>
                  <w:sz w:val="17"/>
                  <w:szCs w:val="17"/>
                  <w:color w:val="0000FF"/>
                  <w:w w:val="99"/>
                </w:rPr>
                <w:t>Hampshire, relating to issuance of Business Finance Authority of the State of New Hampshire Solid Waste Disposal Revenue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23"/>
          </w:tcPr>
          <w:p>
            <w:pPr>
              <w:spacing w:after="0" w:line="153" w:lineRule="exact"/>
              <w:rPr>
                <w:rFonts w:ascii="Arial" w:cs="Arial" w:eastAsia="Arial" w:hAnsi="Arial"/>
                <w:sz w:val="17"/>
                <w:szCs w:val="17"/>
                <w:color w:val="0000FF"/>
                <w:w w:val="95"/>
              </w:rPr>
            </w:pPr>
            <w:hyperlink r:id="rId189">
              <w:r>
                <w:rPr>
                  <w:rFonts w:ascii="Arial" w:cs="Arial" w:eastAsia="Arial" w:hAnsi="Arial"/>
                  <w:sz w:val="17"/>
                  <w:szCs w:val="17"/>
                  <w:color w:val="0000FF"/>
                  <w:w w:val="95"/>
                </w:rPr>
                <w:t>Bonds (incorporated herein by reference to Exhibit 10.2 to the current report on Form 8-K of Casella as filed on April 5,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15"/>
          </w:tcPr>
          <w:p>
            <w:pPr>
              <w:ind w:left="20"/>
              <w:spacing w:after="0" w:line="153" w:lineRule="exact"/>
              <w:rPr>
                <w:rFonts w:ascii="Arial" w:cs="Arial" w:eastAsia="Arial" w:hAnsi="Arial"/>
                <w:sz w:val="17"/>
                <w:szCs w:val="17"/>
                <w:color w:val="0000FF"/>
              </w:rPr>
            </w:pPr>
            <w:hyperlink r:id="rId189">
              <w:r>
                <w:rPr>
                  <w:rFonts w:ascii="Arial" w:cs="Arial" w:eastAsia="Arial" w:hAnsi="Arial"/>
                  <w:sz w:val="17"/>
                  <w:szCs w:val="17"/>
                  <w:color w:val="0000FF"/>
                </w:rPr>
                <w:t>(file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3"/>
              </w:rPr>
            </w:pPr>
            <w:hyperlink r:id="rId189">
              <w:r>
                <w:rPr>
                  <w:rFonts w:ascii="Arial" w:cs="Arial" w:eastAsia="Arial" w:hAnsi="Arial"/>
                  <w:sz w:val="17"/>
                  <w:szCs w:val="17"/>
                  <w:color w:val="0000FF"/>
                  <w:w w:val="93"/>
                </w:rPr>
                <w:t>no. 000-23211)).</w:t>
              </w:r>
            </w:hyperlink>
          </w:p>
        </w:tc>
        <w:tc>
          <w:tcPr>
            <w:tcW w:w="812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3"/>
              </w:rPr>
            </w:pPr>
            <w:hyperlink r:id="rId190">
              <w:r>
                <w:rPr>
                  <w:rFonts w:ascii="Arial" w:cs="Arial" w:eastAsia="Arial" w:hAnsi="Arial"/>
                  <w:sz w:val="18"/>
                  <w:szCs w:val="18"/>
                  <w:color w:val="0000FF"/>
                  <w:w w:val="93"/>
                </w:rPr>
                <w:t>Financing Agreement between Casella and Finance Authority of Maine, dated as of December 1, 2005, relating to issuance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190">
              <w:r>
                <w:rPr>
                  <w:rFonts w:ascii="Arial" w:cs="Arial" w:eastAsia="Arial" w:hAnsi="Arial"/>
                  <w:sz w:val="17"/>
                  <w:szCs w:val="17"/>
                  <w:color w:val="0000FF"/>
                </w:rPr>
                <w:t>Finance Authority of Maine Solid Waste Disposal Revenue Bonds (Casella Waste Services, Inc. Project) Series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tcBorders>
              <w:top w:val="single" w:sz="8" w:color="0000FF"/>
            </w:tcBorders>
            <w:gridSpan w:val="13"/>
          </w:tcPr>
          <w:p>
            <w:pPr>
              <w:spacing w:after="0" w:line="153" w:lineRule="exact"/>
              <w:rPr>
                <w:rFonts w:ascii="Arial" w:cs="Arial" w:eastAsia="Arial" w:hAnsi="Arial"/>
                <w:sz w:val="17"/>
                <w:szCs w:val="17"/>
                <w:color w:val="0000FF"/>
                <w:w w:val="95"/>
              </w:rPr>
            </w:pPr>
            <w:hyperlink r:id="rId190">
              <w:r>
                <w:rPr>
                  <w:rFonts w:ascii="Arial" w:cs="Arial" w:eastAsia="Arial" w:hAnsi="Arial"/>
                  <w:sz w:val="17"/>
                  <w:szCs w:val="17"/>
                  <w:color w:val="0000FF"/>
                  <w:w w:val="95"/>
                </w:rPr>
                <w:t>(incorporated herein by reference to Exhibit 10.1 to the current report on Form 8-K of Casella as filed on January 4,</w:t>
              </w:r>
            </w:hyperlink>
          </w:p>
        </w:tc>
        <w:tc>
          <w:tcPr>
            <w:tcW w:w="1080" w:type="dxa"/>
            <w:vAlign w:val="bottom"/>
            <w:gridSpan w:val="28"/>
          </w:tcPr>
          <w:p>
            <w:pPr>
              <w:spacing w:after="0" w:line="153" w:lineRule="exact"/>
              <w:rPr>
                <w:rFonts w:ascii="Arial" w:cs="Arial" w:eastAsia="Arial" w:hAnsi="Arial"/>
                <w:sz w:val="17"/>
                <w:szCs w:val="17"/>
                <w:color w:val="0000FF"/>
              </w:rPr>
            </w:pPr>
            <w:hyperlink r:id="rId190">
              <w:r>
                <w:rPr>
                  <w:rFonts w:ascii="Arial" w:cs="Arial" w:eastAsia="Arial" w:hAnsi="Arial"/>
                  <w:sz w:val="17"/>
                  <w:szCs w:val="17"/>
                  <w:color w:val="0000FF"/>
                </w:rPr>
                <w:t>2006 (file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3"/>
              </w:rPr>
            </w:pPr>
            <w:hyperlink r:id="rId190">
              <w:r>
                <w:rPr>
                  <w:rFonts w:ascii="Arial" w:cs="Arial" w:eastAsia="Arial" w:hAnsi="Arial"/>
                  <w:sz w:val="17"/>
                  <w:szCs w:val="17"/>
                  <w:color w:val="0000FF"/>
                  <w:w w:val="93"/>
                </w:rPr>
                <w:t>no. 000-23211)).</w:t>
              </w:r>
            </w:hyperlink>
          </w:p>
        </w:tc>
        <w:tc>
          <w:tcPr>
            <w:tcW w:w="7760" w:type="dxa"/>
            <w:vAlign w:val="bottom"/>
            <w:tcBorders>
              <w:top w:val="single" w:sz="8" w:color="0000FF"/>
            </w:tcBorders>
            <w:gridSpan w:val="24"/>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First Amendment dated as of February 1, 2012 to Financing Agreement dated as of December 1, 2005, by and among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25"/>
          </w:tcPr>
          <w:p>
            <w:pPr>
              <w:spacing w:after="0" w:line="153" w:lineRule="exact"/>
              <w:rPr>
                <w:rFonts w:ascii="Arial" w:cs="Arial" w:eastAsia="Arial" w:hAnsi="Arial"/>
                <w:sz w:val="17"/>
                <w:szCs w:val="17"/>
                <w:color w:val="0000FF"/>
                <w:w w:val="93"/>
              </w:rPr>
            </w:pPr>
            <w:hyperlink r:id="rId191">
              <w:r>
                <w:rPr>
                  <w:rFonts w:ascii="Arial" w:cs="Arial" w:eastAsia="Arial" w:hAnsi="Arial"/>
                  <w:sz w:val="17"/>
                  <w:szCs w:val="17"/>
                  <w:color w:val="0000FF"/>
                  <w:w w:val="93"/>
                </w:rPr>
                <w:t>Authority of Maine, U.S. Bank National Association, as Trustee, Bank of America, as Credit Provider, and Casella (incorporated</w:t>
              </w:r>
            </w:hyperlink>
          </w:p>
        </w:tc>
        <w:tc>
          <w:tcPr>
            <w:tcW w:w="8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gridSpan w:val="30"/>
          </w:tcPr>
          <w:p>
            <w:pPr>
              <w:spacing w:after="0" w:line="153" w:lineRule="exact"/>
              <w:rPr>
                <w:rFonts w:ascii="Arial" w:cs="Arial" w:eastAsia="Arial" w:hAnsi="Arial"/>
                <w:sz w:val="17"/>
                <w:szCs w:val="17"/>
                <w:color w:val="0000FF"/>
              </w:rPr>
            </w:pPr>
            <w:hyperlink r:id="rId191">
              <w:r>
                <w:rPr>
                  <w:rFonts w:ascii="Arial" w:cs="Arial" w:eastAsia="Arial" w:hAnsi="Arial"/>
                  <w:sz w:val="17"/>
                  <w:szCs w:val="17"/>
                  <w:color w:val="0000FF"/>
                </w:rPr>
                <w:t>herein by reference to Exhibit 10.1 to the quarterly report on Form 10-Q of Casella as filed on March 2, 2012 (file no. 000-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1"/>
              </w:rPr>
            </w:pPr>
            <w:hyperlink r:id="rId191">
              <w:r>
                <w:rPr>
                  <w:rFonts w:ascii="Arial" w:cs="Arial" w:eastAsia="Arial" w:hAnsi="Arial"/>
                  <w:sz w:val="17"/>
                  <w:szCs w:val="17"/>
                  <w:color w:val="0000FF"/>
                  <w:w w:val="91"/>
                </w:rPr>
                <w:t>23211)</w:t>
              </w:r>
              <w:r>
                <w:rPr>
                  <w:rFonts w:ascii="Arial" w:cs="Arial" w:eastAsia="Arial" w:hAnsi="Arial"/>
                  <w:sz w:val="17"/>
                  <w:szCs w:val="17"/>
                  <w:u w:val="single" w:color="auto"/>
                  <w:color w:val="0000FF"/>
                  <w:w w:val="91"/>
                </w:rPr>
                <w:t>)</w:t>
              </w:r>
              <w:r>
                <w:rPr>
                  <w:rFonts w:ascii="Arial" w:cs="Arial" w:eastAsia="Arial" w:hAnsi="Arial"/>
                  <w:sz w:val="17"/>
                  <w:szCs w:val="17"/>
                  <w:color w:val="0000FF"/>
                  <w:w w:val="91"/>
                </w:rPr>
                <w:t>.</w:t>
              </w:r>
            </w:hyperlink>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Second Amendment dated as of February 1, 2017 to Financing Agreement dated as of December 1, 2005, by and among Finance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1"/>
          </w:tcPr>
          <w:p>
            <w:pPr>
              <w:spacing w:after="0" w:line="153" w:lineRule="exact"/>
              <w:rPr>
                <w:rFonts w:ascii="Arial" w:cs="Arial" w:eastAsia="Arial" w:hAnsi="Arial"/>
                <w:sz w:val="17"/>
                <w:szCs w:val="17"/>
                <w:color w:val="0000FF"/>
                <w:w w:val="95"/>
              </w:rPr>
            </w:pPr>
            <w:hyperlink r:id="rId192">
              <w:r>
                <w:rPr>
                  <w:rFonts w:ascii="Arial" w:cs="Arial" w:eastAsia="Arial" w:hAnsi="Arial"/>
                  <w:sz w:val="17"/>
                  <w:szCs w:val="17"/>
                  <w:color w:val="0000FF"/>
                  <w:w w:val="95"/>
                </w:rPr>
                <w:t>Authority of Maine, U.S. Bank National Association, as Trustee, Bank of America, as Credit Provider, and Casella (incorporated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192">
              <w:r>
                <w:rPr>
                  <w:rFonts w:ascii="Arial" w:cs="Arial" w:eastAsia="Arial" w:hAnsi="Arial"/>
                  <w:sz w:val="17"/>
                  <w:szCs w:val="17"/>
                  <w:color w:val="0000FF"/>
                </w:rPr>
                <w:t>herein by reference to Exhibit 4.2 to the current report on Form 8-K as filed on February 7, 2017 (file no. 000-23211)).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89"/>
              </w:rPr>
            </w:pPr>
            <w:hyperlink r:id="rId193">
              <w:r>
                <w:rPr>
                  <w:rFonts w:ascii="Arial" w:cs="Arial" w:eastAsia="Arial" w:hAnsi="Arial"/>
                  <w:sz w:val="18"/>
                  <w:szCs w:val="18"/>
                  <w:color w:val="0000FF"/>
                  <w:w w:val="89"/>
                </w:rPr>
                <w:t>FAME Amended and Restated Guaranty Agreement, dated as of February 1, 2017, by and among U.S. Bank National Association,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40"/>
          </w:tcPr>
          <w:p>
            <w:pPr>
              <w:spacing w:after="0" w:line="153" w:lineRule="exact"/>
              <w:rPr>
                <w:rFonts w:ascii="Arial" w:cs="Arial" w:eastAsia="Arial" w:hAnsi="Arial"/>
                <w:sz w:val="17"/>
                <w:szCs w:val="17"/>
                <w:color w:val="0000FF"/>
                <w:w w:val="95"/>
              </w:rPr>
            </w:pPr>
            <w:hyperlink r:id="rId193">
              <w:r>
                <w:rPr>
                  <w:rFonts w:ascii="Arial" w:cs="Arial" w:eastAsia="Arial" w:hAnsi="Arial"/>
                  <w:sz w:val="17"/>
                  <w:szCs w:val="17"/>
                  <w:color w:val="0000FF"/>
                  <w:w w:val="95"/>
                </w:rPr>
                <w:t>as Trustee, and the guarantors identified therein (incorporated herein by reference to Exhibit 4.1 to the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193">
              <w:r>
                <w:rPr>
                  <w:rFonts w:ascii="Arial" w:cs="Arial" w:eastAsia="Arial" w:hAnsi="Arial"/>
                  <w:sz w:val="17"/>
                  <w:szCs w:val="17"/>
                  <w:color w:val="0000FF"/>
                  <w:w w:val="95"/>
                </w:rPr>
                <w:t>of Casella as filed on February 7, 2017 (file no. 000-23211)).</w:t>
              </w:r>
            </w:hyperlink>
          </w:p>
        </w:tc>
        <w:tc>
          <w:tcPr>
            <w:tcW w:w="49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4.16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4"/>
              </w:rPr>
            </w:pPr>
            <w:hyperlink r:id="rId194">
              <w:r>
                <w:rPr>
                  <w:rFonts w:ascii="Arial" w:cs="Arial" w:eastAsia="Arial" w:hAnsi="Arial"/>
                  <w:sz w:val="18"/>
                  <w:szCs w:val="18"/>
                  <w:color w:val="0000FF"/>
                  <w:w w:val="94"/>
                </w:rPr>
                <w:t>Loan Agreement, dated as of September 1, 2020, between New York State Environmental Facilities Corporation and Casella</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0"/>
          </w:tcPr>
          <w:p>
            <w:pPr>
              <w:spacing w:after="0" w:line="153" w:lineRule="exact"/>
              <w:rPr>
                <w:rFonts w:ascii="Arial" w:cs="Arial" w:eastAsia="Arial" w:hAnsi="Arial"/>
                <w:sz w:val="17"/>
                <w:szCs w:val="17"/>
                <w:color w:val="0000FF"/>
                <w:w w:val="94"/>
              </w:rPr>
            </w:pPr>
            <w:hyperlink r:id="rId194">
              <w:r>
                <w:rPr>
                  <w:rFonts w:ascii="Arial" w:cs="Arial" w:eastAsia="Arial" w:hAnsi="Arial"/>
                  <w:sz w:val="17"/>
                  <w:szCs w:val="17"/>
                  <w:color w:val="0000FF"/>
                  <w:w w:val="94"/>
                </w:rPr>
                <w:t>Waste Systems, Inc (incorporated herein by reference to Exhibit 4.1 to the Current Report on Form 8-K of Casella as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bottom w:val="single" w:sz="8" w:color="0000FF"/>
            </w:tcBorders>
            <w:gridSpan w:val="8"/>
          </w:tcPr>
          <w:p>
            <w:pPr>
              <w:spacing w:after="0" w:line="153" w:lineRule="exact"/>
              <w:rPr>
                <w:rFonts w:ascii="Arial" w:cs="Arial" w:eastAsia="Arial" w:hAnsi="Arial"/>
                <w:sz w:val="17"/>
                <w:szCs w:val="17"/>
                <w:color w:val="0000FF"/>
                <w:w w:val="95"/>
              </w:rPr>
            </w:pPr>
            <w:hyperlink r:id="rId194">
              <w:r>
                <w:rPr>
                  <w:rFonts w:ascii="Arial" w:cs="Arial" w:eastAsia="Arial" w:hAnsi="Arial"/>
                  <w:sz w:val="17"/>
                  <w:szCs w:val="17"/>
                  <w:color w:val="0000FF"/>
                  <w:w w:val="95"/>
                </w:rPr>
                <w:t>September 2, 2020 (file no. 000-23211)).</w:t>
              </w:r>
            </w:hyperlink>
          </w:p>
        </w:tc>
        <w:tc>
          <w:tcPr>
            <w:tcW w:w="5940" w:type="dxa"/>
            <w:vAlign w:val="bottom"/>
            <w:gridSpan w:val="14"/>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4.17</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60" w:type="dxa"/>
            <w:vAlign w:val="bottom"/>
            <w:gridSpan w:val="41"/>
          </w:tcPr>
          <w:p>
            <w:pPr>
              <w:spacing w:after="0"/>
              <w:rPr>
                <w:rFonts w:ascii="Arial" w:cs="Arial" w:eastAsia="Arial" w:hAnsi="Arial"/>
                <w:sz w:val="18"/>
                <w:szCs w:val="18"/>
                <w:color w:val="0000FF"/>
                <w:w w:val="93"/>
              </w:rPr>
            </w:pPr>
            <w:hyperlink r:id="rId195">
              <w:r>
                <w:rPr>
                  <w:rFonts w:ascii="Arial" w:cs="Arial" w:eastAsia="Arial" w:hAnsi="Arial"/>
                  <w:sz w:val="18"/>
                  <w:szCs w:val="18"/>
                  <w:color w:val="0000FF"/>
                  <w:w w:val="93"/>
                </w:rPr>
                <w:t>Guaranty Agreement, dated as of September 1, 2020, by and between the guarantors named therein and U.S. Bank National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bottom w:val="single" w:sz="8" w:color="0000FF"/>
            </w:tcBorders>
            <w:gridSpan w:val="29"/>
          </w:tcPr>
          <w:p>
            <w:pPr>
              <w:spacing w:after="0" w:line="180"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Association, as trustee (incorporated herein by reference to Exhibit 4.2 to the Current Report on Form 8-K of Casella as filed on</w:t>
              </w:r>
            </w:hyperlink>
          </w:p>
        </w:tc>
        <w:tc>
          <w:tcPr>
            <w:tcW w:w="2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bottom w:val="single" w:sz="8" w:color="0000FF"/>
            </w:tcBorders>
            <w:gridSpan w:val="7"/>
          </w:tcPr>
          <w:p>
            <w:pPr>
              <w:spacing w:after="0" w:line="180"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September 2, 2020 (file no. 000-23211)).</w:t>
              </w:r>
            </w:hyperlink>
          </w:p>
        </w:tc>
        <w:tc>
          <w:tcPr>
            <w:tcW w:w="6440" w:type="dxa"/>
            <w:vAlign w:val="bottom"/>
            <w:gridSpan w:val="3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1080" w:type="dxa"/>
            <w:vAlign w:val="bottom"/>
          </w:tcPr>
          <w:p>
            <w:pPr>
              <w:ind w:left="2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40" w:type="dxa"/>
            <w:vAlign w:val="bottom"/>
            <w:tcBorders>
              <w:bottom w:val="single" w:sz="8" w:color="0000FF"/>
            </w:tcBorders>
            <w:gridSpan w:val="35"/>
          </w:tcPr>
          <w:p>
            <w:pPr>
              <w:spacing w:after="0"/>
              <w:rPr>
                <w:rFonts w:ascii="Arial" w:cs="Arial" w:eastAsia="Arial" w:hAnsi="Arial"/>
                <w:sz w:val="18"/>
                <w:szCs w:val="18"/>
                <w:color w:val="0000FF"/>
                <w:w w:val="88"/>
              </w:rPr>
            </w:pPr>
            <w:hyperlink r:id="rId196">
              <w:r>
                <w:rPr>
                  <w:rFonts w:ascii="Arial" w:cs="Arial" w:eastAsia="Arial" w:hAnsi="Arial"/>
                  <w:sz w:val="18"/>
                  <w:szCs w:val="18"/>
                  <w:color w:val="0000FF"/>
                  <w:w w:val="88"/>
                </w:rPr>
                <w:t>Lease Agreement, as Amended, between Casella Associates and Casella Waste Management, Inc., dated August 1, 1993 (Rutland</w:t>
              </w:r>
            </w:hyperlink>
          </w:p>
        </w:tc>
        <w:tc>
          <w:tcPr>
            <w:tcW w:w="12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41"/>
          </w:tcPr>
          <w:p>
            <w:pPr>
              <w:spacing w:after="0" w:line="153" w:lineRule="exact"/>
              <w:rPr>
                <w:rFonts w:ascii="Arial" w:cs="Arial" w:eastAsia="Arial" w:hAnsi="Arial"/>
                <w:sz w:val="17"/>
                <w:szCs w:val="17"/>
                <w:color w:val="0000FF"/>
                <w:w w:val="95"/>
              </w:rPr>
            </w:pPr>
            <w:hyperlink r:id="rId196">
              <w:r>
                <w:rPr>
                  <w:rFonts w:ascii="Arial" w:cs="Arial" w:eastAsia="Arial" w:hAnsi="Arial"/>
                  <w:sz w:val="17"/>
                  <w:szCs w:val="17"/>
                  <w:color w:val="0000FF"/>
                  <w:w w:val="95"/>
                </w:rPr>
                <w:t>lease) (incorporated herein by reference to Exhibit 10.17 to the registration statement on Form S-1 of Casella as filed on August 7,</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r:id="rId196">
              <w:r>
                <w:rPr>
                  <w:rFonts w:ascii="Arial" w:cs="Arial" w:eastAsia="Arial" w:hAnsi="Arial"/>
                  <w:sz w:val="17"/>
                  <w:szCs w:val="17"/>
                  <w:color w:val="0000FF"/>
                  <w:w w:val="95"/>
                </w:rPr>
                <w:t>1997 (file no. 333-33135)).</w:t>
              </w:r>
            </w:hyperlink>
          </w:p>
        </w:tc>
        <w:tc>
          <w:tcPr>
            <w:tcW w:w="7340" w:type="dxa"/>
            <w:vAlign w:val="bottom"/>
            <w:tcBorders>
              <w:top w:val="single" w:sz="8" w:color="0000FF"/>
            </w:tcBorders>
            <w:gridSpan w:val="3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20" w:type="dxa"/>
            <w:vAlign w:val="bottom"/>
            <w:tcBorders>
              <w:bottom w:val="single" w:sz="8" w:color="0000FF"/>
            </w:tcBorders>
            <w:gridSpan w:val="27"/>
          </w:tcPr>
          <w:p>
            <w:pPr>
              <w:spacing w:after="0"/>
              <w:rPr>
                <w:rFonts w:ascii="Arial" w:cs="Arial" w:eastAsia="Arial" w:hAnsi="Arial"/>
                <w:sz w:val="18"/>
                <w:szCs w:val="18"/>
                <w:color w:val="0000FF"/>
                <w:w w:val="87"/>
              </w:rPr>
            </w:pPr>
            <w:hyperlink r:id="rId197">
              <w:r>
                <w:rPr>
                  <w:rFonts w:ascii="Arial" w:cs="Arial" w:eastAsia="Arial" w:hAnsi="Arial"/>
                  <w:sz w:val="18"/>
                  <w:szCs w:val="18"/>
                  <w:color w:val="0000FF"/>
                  <w:w w:val="87"/>
                </w:rPr>
                <w:t>Second Amendment to Lease Agreement, by and between Casella Associates and Casella Waste Management, Inc., dated as of</w:t>
              </w:r>
            </w:hyperlink>
          </w:p>
        </w:tc>
        <w:tc>
          <w:tcPr>
            <w:tcW w:w="3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41"/>
          </w:tcPr>
          <w:p>
            <w:pPr>
              <w:spacing w:after="0" w:line="153" w:lineRule="exact"/>
              <w:rPr>
                <w:rFonts w:ascii="Arial" w:cs="Arial" w:eastAsia="Arial" w:hAnsi="Arial"/>
                <w:sz w:val="17"/>
                <w:szCs w:val="17"/>
                <w:color w:val="0000FF"/>
                <w:w w:val="96"/>
              </w:rPr>
            </w:pPr>
            <w:hyperlink r:id="rId197">
              <w:r>
                <w:rPr>
                  <w:rFonts w:ascii="Arial" w:cs="Arial" w:eastAsia="Arial" w:hAnsi="Arial"/>
                  <w:sz w:val="17"/>
                  <w:szCs w:val="17"/>
                  <w:color w:val="0000FF"/>
                  <w:w w:val="96"/>
                </w:rPr>
                <w:t>November 20, 1997 (Rutland lease). (incorporated herein by reference to Exhibit 10.25 to the registration statement on Form S-1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4"/>
              </w:rPr>
            </w:pPr>
            <w:hyperlink r:id="rId197">
              <w:r>
                <w:rPr>
                  <w:rFonts w:ascii="Arial" w:cs="Arial" w:eastAsia="Arial" w:hAnsi="Arial"/>
                  <w:sz w:val="17"/>
                  <w:szCs w:val="17"/>
                  <w:color w:val="0000FF"/>
                  <w:w w:val="94"/>
                </w:rPr>
                <w:t>of Casella as filed on June 25, 1998 (file no. 333-57745)).</w:t>
              </w:r>
            </w:hyperlink>
          </w:p>
        </w:tc>
        <w:tc>
          <w:tcPr>
            <w:tcW w:w="504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6"/>
              </w:rPr>
            </w:pPr>
            <w:hyperlink r:id="rId198">
              <w:r>
                <w:rPr>
                  <w:rFonts w:ascii="Arial" w:cs="Arial" w:eastAsia="Arial" w:hAnsi="Arial"/>
                  <w:sz w:val="18"/>
                  <w:szCs w:val="18"/>
                  <w:color w:val="0000FF"/>
                  <w:w w:val="96"/>
                </w:rPr>
                <w:t>Amendment to Lease Agreement dated as of March 13, 2008, between Casella Associates and Casella, amending Lease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5"/>
          </w:tcPr>
          <w:p>
            <w:pPr>
              <w:spacing w:after="0" w:line="153" w:lineRule="exact"/>
              <w:rPr>
                <w:rFonts w:ascii="Arial" w:cs="Arial" w:eastAsia="Arial" w:hAnsi="Arial"/>
                <w:sz w:val="17"/>
                <w:szCs w:val="17"/>
                <w:color w:val="0000FF"/>
                <w:w w:val="95"/>
              </w:rPr>
            </w:pPr>
            <w:hyperlink r:id="rId198">
              <w:r>
                <w:rPr>
                  <w:rFonts w:ascii="Arial" w:cs="Arial" w:eastAsia="Arial" w:hAnsi="Arial"/>
                  <w:sz w:val="17"/>
                  <w:szCs w:val="17"/>
                  <w:color w:val="0000FF"/>
                  <w:w w:val="95"/>
                </w:rPr>
                <w:t>Agreement dated August 1, 1993, as amended (Rutland lease) (incorporated herein by reference to Exhibit 10.7 to the</w:t>
              </w:r>
            </w:hyperlink>
          </w:p>
        </w:tc>
        <w:tc>
          <w:tcPr>
            <w:tcW w:w="860" w:type="dxa"/>
            <w:vAlign w:val="bottom"/>
            <w:gridSpan w:val="26"/>
          </w:tcPr>
          <w:p>
            <w:pPr>
              <w:spacing w:after="0" w:line="153" w:lineRule="exact"/>
              <w:rPr>
                <w:rFonts w:ascii="Arial" w:cs="Arial" w:eastAsia="Arial" w:hAnsi="Arial"/>
                <w:sz w:val="17"/>
                <w:szCs w:val="17"/>
                <w:color w:val="0000FF"/>
              </w:rPr>
            </w:pPr>
            <w:hyperlink r:id="rId198">
              <w:r>
                <w:rPr>
                  <w:rFonts w:ascii="Arial" w:cs="Arial" w:eastAsia="Arial" w:hAnsi="Arial"/>
                  <w:sz w:val="17"/>
                  <w:szCs w:val="17"/>
                  <w:color w:val="0000FF"/>
                </w:rPr>
                <w:t>annual</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98">
              <w:r>
                <w:rPr>
                  <w:rFonts w:ascii="Arial" w:cs="Arial" w:eastAsia="Arial" w:hAnsi="Arial"/>
                  <w:sz w:val="17"/>
                  <w:szCs w:val="17"/>
                  <w:color w:val="0000FF"/>
                  <w:w w:val="95"/>
                </w:rPr>
                <w:t>report on Form 10-K of Casella as filed on June 27, 2014 (file no. 000-23211)).</w:t>
              </w:r>
            </w:hyperlink>
          </w:p>
        </w:tc>
        <w:tc>
          <w:tcPr>
            <w:tcW w:w="3220" w:type="dxa"/>
            <w:vAlign w:val="bottom"/>
            <w:tcBorders>
              <w:top w:val="single" w:sz="8" w:color="0000FF"/>
            </w:tcBorders>
            <w:gridSpan w:val="10"/>
          </w:tcPr>
          <w:p>
            <w:pPr>
              <w:spacing w:after="0"/>
              <w:rPr>
                <w:sz w:val="13"/>
                <w:szCs w:val="13"/>
                <w:color w:val="auto"/>
              </w:rPr>
            </w:pPr>
          </w:p>
        </w:tc>
        <w:tc>
          <w:tcPr>
            <w:tcW w:w="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gridSpan w:val="41"/>
          </w:tcPr>
          <w:p>
            <w:pPr>
              <w:spacing w:after="0"/>
              <w:rPr>
                <w:rFonts w:ascii="Arial" w:cs="Arial" w:eastAsia="Arial" w:hAnsi="Arial"/>
                <w:sz w:val="18"/>
                <w:szCs w:val="18"/>
                <w:color w:val="0000FF"/>
                <w:w w:val="95"/>
              </w:rPr>
            </w:pPr>
            <w:hyperlink r:id="rId196">
              <w:r>
                <w:rPr>
                  <w:rFonts w:ascii="Arial" w:cs="Arial" w:eastAsia="Arial" w:hAnsi="Arial"/>
                  <w:sz w:val="18"/>
                  <w:szCs w:val="18"/>
                  <w:color w:val="0000FF"/>
                  <w:w w:val="95"/>
                </w:rPr>
                <w:t>Lease Agreement, as Amended, between Casella Associates and Casella Waste Management, Inc., dated August 1, 1993</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6"/>
          </w:tcPr>
          <w:p>
            <w:pPr>
              <w:spacing w:after="0" w:line="153" w:lineRule="exact"/>
              <w:rPr>
                <w:rFonts w:ascii="Arial" w:cs="Arial" w:eastAsia="Arial" w:hAnsi="Arial"/>
                <w:sz w:val="17"/>
                <w:szCs w:val="17"/>
                <w:color w:val="0000FF"/>
                <w:w w:val="93"/>
              </w:rPr>
            </w:pPr>
            <w:hyperlink r:id="rId196">
              <w:r>
                <w:rPr>
                  <w:rFonts w:ascii="Arial" w:cs="Arial" w:eastAsia="Arial" w:hAnsi="Arial"/>
                  <w:sz w:val="17"/>
                  <w:szCs w:val="17"/>
                  <w:color w:val="0000FF"/>
                  <w:w w:val="93"/>
                </w:rPr>
                <w:t>(Montpelier lease) (incorporated herein by reference to Exhibit 10.18 to the registration statement on Form S-1 of Casella</w:t>
              </w:r>
            </w:hyperlink>
          </w:p>
        </w:tc>
        <w:tc>
          <w:tcPr>
            <w:tcW w:w="820" w:type="dxa"/>
            <w:vAlign w:val="bottom"/>
            <w:gridSpan w:val="25"/>
          </w:tcPr>
          <w:p>
            <w:pPr>
              <w:ind w:left="140"/>
              <w:spacing w:after="0" w:line="153" w:lineRule="exact"/>
              <w:rPr>
                <w:rFonts w:ascii="Arial" w:cs="Arial" w:eastAsia="Arial" w:hAnsi="Arial"/>
                <w:sz w:val="17"/>
                <w:szCs w:val="17"/>
                <w:color w:val="0000FF"/>
              </w:rPr>
            </w:pPr>
            <w:hyperlink r:id="rId196">
              <w:r>
                <w:rPr>
                  <w:rFonts w:ascii="Arial" w:cs="Arial" w:eastAsia="Arial" w:hAnsi="Arial"/>
                  <w:sz w:val="17"/>
                  <w:szCs w:val="17"/>
                  <w:color w:val="0000FF"/>
                </w:rPr>
                <w:t>as filed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5"/>
              </w:rPr>
            </w:pPr>
            <w:hyperlink r:id="rId196">
              <w:r>
                <w:rPr>
                  <w:rFonts w:ascii="Arial" w:cs="Arial" w:eastAsia="Arial" w:hAnsi="Arial"/>
                  <w:sz w:val="17"/>
                  <w:szCs w:val="17"/>
                  <w:color w:val="0000FF"/>
                  <w:w w:val="95"/>
                </w:rPr>
                <w:t>on August 7, 1997 (file no. 333-33135)).</w:t>
              </w:r>
            </w:hyperlink>
          </w:p>
        </w:tc>
        <w:tc>
          <w:tcPr>
            <w:tcW w:w="630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00" w:type="dxa"/>
            <w:vAlign w:val="bottom"/>
            <w:tcBorders>
              <w:bottom w:val="single" w:sz="8" w:color="0000FF"/>
            </w:tcBorders>
            <w:gridSpan w:val="15"/>
          </w:tcPr>
          <w:p>
            <w:pPr>
              <w:spacing w:after="0"/>
              <w:rPr>
                <w:rFonts w:ascii="Arial" w:cs="Arial" w:eastAsia="Arial" w:hAnsi="Arial"/>
                <w:sz w:val="18"/>
                <w:szCs w:val="18"/>
                <w:color w:val="0000FF"/>
                <w:w w:val="87"/>
              </w:rPr>
            </w:pPr>
            <w:hyperlink r:id="rId199">
              <w:r>
                <w:rPr>
                  <w:rFonts w:ascii="Arial" w:cs="Arial" w:eastAsia="Arial" w:hAnsi="Arial"/>
                  <w:sz w:val="18"/>
                  <w:szCs w:val="18"/>
                  <w:color w:val="0000FF"/>
                  <w:w w:val="87"/>
                </w:rPr>
                <w:t>Amendment to Lease Agreement dated as of March 13, 2008, between Casella Associates and Casella, amending Lease</w:t>
              </w:r>
            </w:hyperlink>
          </w:p>
        </w:tc>
        <w:tc>
          <w:tcPr>
            <w:tcW w:w="860" w:type="dxa"/>
            <w:vAlign w:val="bottom"/>
            <w:gridSpan w:val="26"/>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41"/>
          </w:tcPr>
          <w:p>
            <w:pPr>
              <w:spacing w:after="0" w:line="153" w:lineRule="exact"/>
              <w:rPr>
                <w:rFonts w:ascii="Arial" w:cs="Arial" w:eastAsia="Arial" w:hAnsi="Arial"/>
                <w:sz w:val="17"/>
                <w:szCs w:val="17"/>
                <w:color w:val="0000FF"/>
                <w:w w:val="96"/>
              </w:rPr>
            </w:pPr>
            <w:hyperlink r:id="rId199">
              <w:r>
                <w:rPr>
                  <w:rFonts w:ascii="Arial" w:cs="Arial" w:eastAsia="Arial" w:hAnsi="Arial"/>
                  <w:sz w:val="17"/>
                  <w:szCs w:val="17"/>
                  <w:color w:val="0000FF"/>
                  <w:w w:val="96"/>
                </w:rPr>
                <w:t>Agreement dated August 1, 1993, as amended (Montpelier lease) (incorporated herein by reference to Exhibit 10.9 to the annual</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99">
              <w:r>
                <w:rPr>
                  <w:rFonts w:ascii="Arial" w:cs="Arial" w:eastAsia="Arial" w:hAnsi="Arial"/>
                  <w:sz w:val="17"/>
                  <w:szCs w:val="17"/>
                  <w:color w:val="0000FF"/>
                  <w:w w:val="95"/>
                </w:rPr>
                <w:t>report on Form 10-K of Casella as filed on June 27, 2014 (file no. 000-23211)).</w:t>
              </w:r>
            </w:hyperlink>
          </w:p>
        </w:tc>
        <w:tc>
          <w:tcPr>
            <w:tcW w:w="3460" w:type="dxa"/>
            <w:vAlign w:val="bottom"/>
            <w:tcBorders>
              <w:top w:val="single" w:sz="8" w:color="0000FF"/>
            </w:tcBorders>
            <w:gridSpan w:val="18"/>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80" w:type="dxa"/>
            <w:vAlign w:val="bottom"/>
            <w:tcBorders>
              <w:bottom w:val="single" w:sz="8" w:color="0000FF"/>
            </w:tcBorders>
            <w:gridSpan w:val="28"/>
          </w:tcPr>
          <w:p>
            <w:pPr>
              <w:spacing w:after="0"/>
              <w:rPr>
                <w:rFonts w:ascii="Arial" w:cs="Arial" w:eastAsia="Arial" w:hAnsi="Arial"/>
                <w:sz w:val="18"/>
                <w:szCs w:val="18"/>
                <w:color w:val="0000FF"/>
                <w:w w:val="88"/>
              </w:rPr>
            </w:pPr>
            <w:hyperlink r:id="rId196">
              <w:r>
                <w:rPr>
                  <w:rFonts w:ascii="Arial" w:cs="Arial" w:eastAsia="Arial" w:hAnsi="Arial"/>
                  <w:sz w:val="18"/>
                  <w:szCs w:val="18"/>
                  <w:color w:val="0000FF"/>
                  <w:w w:val="88"/>
                </w:rPr>
                <w:t>Lease, Operations and Maintenance Agreement between CV Landfill, Inc. and Casella Waste Systems, Inc. dated June 30, 1994</w:t>
              </w:r>
            </w:hyperlink>
          </w:p>
        </w:tc>
        <w:tc>
          <w:tcPr>
            <w:tcW w:w="28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gridSpan w:val="41"/>
          </w:tcPr>
          <w:p>
            <w:pPr>
              <w:spacing w:after="0" w:line="153" w:lineRule="exact"/>
              <w:rPr>
                <w:rFonts w:ascii="Arial" w:cs="Arial" w:eastAsia="Arial" w:hAnsi="Arial"/>
                <w:sz w:val="17"/>
                <w:szCs w:val="17"/>
                <w:color w:val="0000FF"/>
                <w:w w:val="96"/>
              </w:rPr>
            </w:pPr>
            <w:hyperlink r:id="rId196">
              <w:r>
                <w:rPr>
                  <w:rFonts w:ascii="Arial" w:cs="Arial" w:eastAsia="Arial" w:hAnsi="Arial"/>
                  <w:sz w:val="17"/>
                  <w:szCs w:val="17"/>
                  <w:color w:val="0000FF"/>
                  <w:w w:val="96"/>
                </w:rPr>
                <w:t>(incorporated herein by reference to Exhibit 10.20 to the registration statement on Form S-1 of Casella as filed on August 7, 1997</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34"/>
          </w:tcPr>
          <w:p>
            <w:pPr>
              <w:spacing w:after="0" w:line="153" w:lineRule="exact"/>
              <w:rPr>
                <w:rFonts w:ascii="Arial" w:cs="Arial" w:eastAsia="Arial" w:hAnsi="Arial"/>
                <w:sz w:val="17"/>
                <w:szCs w:val="17"/>
                <w:color w:val="0000FF"/>
              </w:rPr>
            </w:pPr>
            <w:hyperlink r:id="rId196">
              <w:r>
                <w:rPr>
                  <w:rFonts w:ascii="Arial" w:cs="Arial" w:eastAsia="Arial" w:hAnsi="Arial"/>
                  <w:sz w:val="17"/>
                  <w:szCs w:val="17"/>
                  <w:color w:val="0000FF"/>
                </w:rPr>
                <w:t>(file no. 333-33135)).</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923"/>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top w:val="single" w:sz="8" w:color="0000FF"/>
            </w:tcBorders>
            <w:gridSpan w:val="3"/>
          </w:tcPr>
          <w:p>
            <w:pPr>
              <w:spacing w:after="0"/>
              <w:rPr>
                <w:sz w:val="24"/>
                <w:szCs w:val="24"/>
                <w:color w:val="auto"/>
              </w:rPr>
            </w:pPr>
          </w:p>
        </w:tc>
        <w:tc>
          <w:tcPr>
            <w:tcW w:w="2580" w:type="dxa"/>
            <w:vAlign w:val="bottom"/>
            <w:gridSpan w:val="6"/>
          </w:tcPr>
          <w:p>
            <w:pPr>
              <w:jc w:val="right"/>
              <w:ind w:right="2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rFonts w:ascii="Arial" w:cs="Arial" w:eastAsia="Arial" w:hAnsi="Arial"/>
                <w:sz w:val="14"/>
                <w:szCs w:val="14"/>
                <w:b w:val="1"/>
                <w:bCs w:val="1"/>
                <w:color w:val="0000FF"/>
                <w:w w:val="89"/>
              </w:rPr>
            </w:pPr>
            <w:hyperlink w:anchor="page1">
              <w:r>
                <w:rPr>
                  <w:rFonts w:ascii="Arial" w:cs="Arial" w:eastAsia="Arial" w:hAnsi="Arial"/>
                  <w:sz w:val="14"/>
                  <w:szCs w:val="14"/>
                  <w:b w:val="1"/>
                  <w:bCs w:val="1"/>
                  <w:color w:val="0000FF"/>
                  <w:w w:val="89"/>
                </w:rPr>
                <w:t>Table of Contents</w:t>
              </w:r>
            </w:hyperlink>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40" w:type="dxa"/>
            <w:vAlign w:val="bottom"/>
            <w:gridSpan w:val="28"/>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28"/>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0" w:type="dxa"/>
            <w:vAlign w:val="bottom"/>
          </w:tcPr>
          <w:p>
            <w:pPr>
              <w:ind w:left="22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20" w:type="dxa"/>
            <w:vAlign w:val="bottom"/>
            <w:gridSpan w:val="33"/>
          </w:tcPr>
          <w:p>
            <w:pPr>
              <w:spacing w:after="0"/>
              <w:rPr>
                <w:rFonts w:ascii="Arial" w:cs="Arial" w:eastAsia="Arial" w:hAnsi="Arial"/>
                <w:sz w:val="18"/>
                <w:szCs w:val="18"/>
                <w:color w:val="0000FF"/>
                <w:w w:val="93"/>
              </w:rPr>
            </w:pPr>
            <w:hyperlink r:id="rId202">
              <w:r>
                <w:rPr>
                  <w:rFonts w:ascii="Arial" w:cs="Arial" w:eastAsia="Arial" w:hAnsi="Arial"/>
                  <w:sz w:val="18"/>
                  <w:szCs w:val="18"/>
                  <w:color w:val="0000FF"/>
                  <w:w w:val="93"/>
                </w:rPr>
                <w:t>Employment Agreement between Casella and John W. Casella dated December 8, 1999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5"/>
          </w:tcPr>
          <w:p>
            <w:pPr>
              <w:spacing w:after="0" w:line="153" w:lineRule="exact"/>
              <w:rPr>
                <w:rFonts w:ascii="Arial" w:cs="Arial" w:eastAsia="Arial" w:hAnsi="Arial"/>
                <w:sz w:val="17"/>
                <w:szCs w:val="17"/>
                <w:color w:val="0000FF"/>
              </w:rPr>
            </w:pPr>
            <w:hyperlink r:id="rId202">
              <w:r>
                <w:rPr>
                  <w:rFonts w:ascii="Arial" w:cs="Arial" w:eastAsia="Arial" w:hAnsi="Arial"/>
                  <w:sz w:val="17"/>
                  <w:szCs w:val="17"/>
                  <w:color w:val="0000FF"/>
                </w:rPr>
                <w:t>Exhibit 10.43 to the annual report on Form 10-K of Casella as filed on August 4, 2000 (file no. 000-23211)).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320" w:type="dxa"/>
            <w:vAlign w:val="bottom"/>
            <w:tcBorders>
              <w:bottom w:val="single" w:sz="8" w:color="0000FF"/>
            </w:tcBorders>
            <w:gridSpan w:val="12"/>
          </w:tcPr>
          <w:p>
            <w:pPr>
              <w:spacing w:after="0"/>
              <w:rPr>
                <w:rFonts w:ascii="Arial" w:cs="Arial" w:eastAsia="Arial" w:hAnsi="Arial"/>
                <w:sz w:val="18"/>
                <w:szCs w:val="18"/>
                <w:color w:val="0000FF"/>
                <w:w w:val="88"/>
              </w:rPr>
            </w:pPr>
            <w:hyperlink r:id="rId203">
              <w:r>
                <w:rPr>
                  <w:rFonts w:ascii="Arial" w:cs="Arial" w:eastAsia="Arial" w:hAnsi="Arial"/>
                  <w:sz w:val="18"/>
                  <w:szCs w:val="18"/>
                  <w:color w:val="0000FF"/>
                  <w:w w:val="88"/>
                </w:rPr>
                <w:t>Amendment to Employment Agreement by and between Casella and John W. Casella dated as of December 30, 2008</w:t>
              </w:r>
            </w:hyperlink>
          </w:p>
        </w:tc>
        <w:tc>
          <w:tcPr>
            <w:tcW w:w="100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3"/>
          </w:tcPr>
          <w:p>
            <w:pPr>
              <w:spacing w:after="0" w:line="153" w:lineRule="exact"/>
              <w:rPr>
                <w:rFonts w:ascii="Arial" w:cs="Arial" w:eastAsia="Arial" w:hAnsi="Arial"/>
                <w:sz w:val="17"/>
                <w:szCs w:val="17"/>
                <w:color w:val="0000FF"/>
                <w:w w:val="97"/>
              </w:rPr>
            </w:pPr>
            <w:hyperlink r:id="rId203">
              <w:r>
                <w:rPr>
                  <w:rFonts w:ascii="Arial" w:cs="Arial" w:eastAsia="Arial" w:hAnsi="Arial"/>
                  <w:sz w:val="17"/>
                  <w:szCs w:val="17"/>
                  <w:color w:val="0000FF"/>
                  <w:w w:val="97"/>
                </w:rPr>
                <w:t>(incorporated herein by reference to Exhibit 10.3 to the quarterly report on Form 10-Q of Casella as filed on March 6, 2009 (file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3"/>
              </w:rPr>
            </w:pPr>
            <w:hyperlink r:id="rId203">
              <w:r>
                <w:rPr>
                  <w:rFonts w:ascii="Arial" w:cs="Arial" w:eastAsia="Arial" w:hAnsi="Arial"/>
                  <w:sz w:val="17"/>
                  <w:szCs w:val="17"/>
                  <w:color w:val="0000FF"/>
                  <w:w w:val="93"/>
                </w:rPr>
                <w:t>no. 000-23211)).</w:t>
              </w:r>
            </w:hyperlink>
          </w:p>
        </w:tc>
        <w:tc>
          <w:tcPr>
            <w:tcW w:w="79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2006 Stock Incentive Plan, as amended (incorporated herein by reference to Exhibit 10.13 to the annual report on Form 10-K of</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5"/>
              </w:rPr>
            </w:pPr>
            <w:hyperlink r:id="rId204">
              <w:r>
                <w:rPr>
                  <w:rFonts w:ascii="Arial" w:cs="Arial" w:eastAsia="Arial" w:hAnsi="Arial"/>
                  <w:sz w:val="17"/>
                  <w:szCs w:val="17"/>
                  <w:color w:val="0000FF"/>
                  <w:w w:val="95"/>
                </w:rPr>
                <w:t>Casella as filed on March 2, 2016 (file no. 000-023211)).</w:t>
              </w:r>
            </w:hyperlink>
          </w:p>
        </w:tc>
        <w:tc>
          <w:tcPr>
            <w:tcW w:w="502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1"/>
              </w:rPr>
            </w:pPr>
            <w:hyperlink r:id="rId205">
              <w:r>
                <w:rPr>
                  <w:rFonts w:ascii="Arial" w:cs="Arial" w:eastAsia="Arial" w:hAnsi="Arial"/>
                  <w:sz w:val="18"/>
                  <w:szCs w:val="18"/>
                  <w:color w:val="0000FF"/>
                  <w:w w:val="91"/>
                </w:rPr>
                <w:t>Form of Incentive Stock Option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4"/>
              </w:rPr>
            </w:pPr>
            <w:hyperlink r:id="rId205">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14</w:t>
              </w:r>
              <w:r>
                <w:rPr>
                  <w:rFonts w:ascii="Arial" w:cs="Arial" w:eastAsia="Arial" w:hAnsi="Arial"/>
                  <w:sz w:val="17"/>
                  <w:szCs w:val="17"/>
                  <w:color w:val="0000FF"/>
                  <w:w w:val="94"/>
                </w:rPr>
                <w:t xml:space="preserve"> to the annual report on Form 10-K of Casella as filed on June 27, 2014 (file no. 000-23211)).</w:t>
              </w:r>
            </w:hyperlink>
          </w:p>
        </w:tc>
        <w:tc>
          <w:tcPr>
            <w:tcW w:w="21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Form of Restricted Stock Agreement granted under 2006 Stock Incentive Plan (incorporated herein by reference to Exhibit 10.15</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4"/>
              </w:rPr>
            </w:pPr>
            <w:hyperlink r:id="rId206">
              <w:r>
                <w:rPr>
                  <w:rFonts w:ascii="Arial" w:cs="Arial" w:eastAsia="Arial" w:hAnsi="Arial"/>
                  <w:sz w:val="17"/>
                  <w:szCs w:val="17"/>
                  <w:color w:val="0000FF"/>
                  <w:w w:val="94"/>
                </w:rPr>
                <w:t>to the annual report on Form 10-K of Casella as filed on June 27, 2014 (file no. 000-23211)).</w:t>
              </w:r>
            </w:hyperlink>
          </w:p>
        </w:tc>
        <w:tc>
          <w:tcPr>
            <w:tcW w:w="2560" w:type="dxa"/>
            <w:vAlign w:val="bottom"/>
            <w:tcBorders>
              <w:top w:val="single" w:sz="8" w:color="0000FF"/>
            </w:tcBorders>
            <w:gridSpan w:val="21"/>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6"/>
              </w:rPr>
            </w:pPr>
            <w:hyperlink r:id="rId207">
              <w:r>
                <w:rPr>
                  <w:rFonts w:ascii="Arial" w:cs="Arial" w:eastAsia="Arial" w:hAnsi="Arial"/>
                  <w:sz w:val="18"/>
                  <w:szCs w:val="18"/>
                  <w:color w:val="0000FF"/>
                  <w:w w:val="96"/>
                </w:rPr>
                <w:t>Form of Restricted Share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13"/>
          </w:tcPr>
          <w:p>
            <w:pPr>
              <w:spacing w:after="0" w:line="153" w:lineRule="exact"/>
              <w:rPr>
                <w:rFonts w:ascii="Arial" w:cs="Arial" w:eastAsia="Arial" w:hAnsi="Arial"/>
                <w:sz w:val="17"/>
                <w:szCs w:val="17"/>
                <w:color w:val="0000FF"/>
                <w:w w:val="95"/>
              </w:rPr>
            </w:pPr>
            <w:hyperlink r:id="rId207">
              <w:r>
                <w:rPr>
                  <w:rFonts w:ascii="Arial" w:cs="Arial" w:eastAsia="Arial" w:hAnsi="Arial"/>
                  <w:sz w:val="17"/>
                  <w:szCs w:val="17"/>
                  <w:color w:val="0000FF"/>
                  <w:w w:val="95"/>
                </w:rPr>
                <w:t>(incorporated herein by reference to Exhibit 10.16 to the annual report on Form 10-K of Casella as filed on June 27, 2014</w:t>
              </w:r>
            </w:hyperlink>
          </w:p>
        </w:tc>
        <w:tc>
          <w:tcPr>
            <w:tcW w:w="640" w:type="dxa"/>
            <w:vAlign w:val="bottom"/>
            <w:gridSpan w:val="20"/>
          </w:tcPr>
          <w:p>
            <w:pPr>
              <w:jc w:val="right"/>
              <w:ind w:right="100"/>
              <w:spacing w:after="0" w:line="153" w:lineRule="exact"/>
              <w:rPr>
                <w:rFonts w:ascii="Arial" w:cs="Arial" w:eastAsia="Arial" w:hAnsi="Arial"/>
                <w:sz w:val="17"/>
                <w:szCs w:val="17"/>
                <w:color w:val="0000FF"/>
                <w:w w:val="93"/>
              </w:rPr>
            </w:pPr>
            <w:hyperlink r:id="rId207">
              <w:r>
                <w:rPr>
                  <w:rFonts w:ascii="Arial" w:cs="Arial" w:eastAsia="Arial" w:hAnsi="Arial"/>
                  <w:sz w:val="17"/>
                  <w:szCs w:val="17"/>
                  <w:color w:val="0000FF"/>
                  <w:w w:val="93"/>
                </w:rPr>
                <w:t>(file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r:id="rId207">
              <w:r>
                <w:rPr>
                  <w:rFonts w:ascii="Arial" w:cs="Arial" w:eastAsia="Arial" w:hAnsi="Arial"/>
                  <w:sz w:val="17"/>
                  <w:szCs w:val="17"/>
                  <w:color w:val="0000FF"/>
                  <w:w w:val="92"/>
                </w:rPr>
                <w:t>000-23211)).</w:t>
              </w:r>
            </w:hyperlink>
          </w:p>
        </w:tc>
        <w:tc>
          <w:tcPr>
            <w:tcW w:w="2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3"/>
              </w:rPr>
            </w:pPr>
            <w:hyperlink r:id="rId208">
              <w:r>
                <w:rPr>
                  <w:rFonts w:ascii="Arial" w:cs="Arial" w:eastAsia="Arial" w:hAnsi="Arial"/>
                  <w:sz w:val="18"/>
                  <w:szCs w:val="18"/>
                  <w:color w:val="0000FF"/>
                  <w:w w:val="93"/>
                </w:rPr>
                <w:t>Form of Restricted Share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8"/>
          </w:tcPr>
          <w:p>
            <w:pPr>
              <w:spacing w:after="0" w:line="153" w:lineRule="exact"/>
              <w:rPr>
                <w:rFonts w:ascii="Arial" w:cs="Arial" w:eastAsia="Arial" w:hAnsi="Arial"/>
                <w:sz w:val="17"/>
                <w:szCs w:val="17"/>
                <w:color w:val="0000FF"/>
                <w:w w:val="94"/>
              </w:rPr>
            </w:pPr>
            <w:hyperlink r:id="rId208">
              <w:r>
                <w:rPr>
                  <w:rFonts w:ascii="Arial" w:cs="Arial" w:eastAsia="Arial" w:hAnsi="Arial"/>
                  <w:sz w:val="17"/>
                  <w:szCs w:val="17"/>
                  <w:color w:val="0000FF"/>
                  <w:w w:val="94"/>
                </w:rPr>
                <w:t>(incorporated herein by reference to Exhibit 10.17 to the annual report on Form 10-K of Casella as filed on June 27, 2014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13"/>
          </w:tcPr>
          <w:p>
            <w:pPr>
              <w:jc w:val="right"/>
              <w:ind w:right="100"/>
              <w:spacing w:after="0" w:line="153" w:lineRule="exact"/>
              <w:rPr>
                <w:rFonts w:ascii="Arial" w:cs="Arial" w:eastAsia="Arial" w:hAnsi="Arial"/>
                <w:sz w:val="17"/>
                <w:szCs w:val="17"/>
                <w:color w:val="0000FF"/>
              </w:rPr>
            </w:pPr>
            <w:hyperlink r:id="rId208">
              <w:r>
                <w:rPr>
                  <w:rFonts w:ascii="Arial" w:cs="Arial" w:eastAsia="Arial" w:hAnsi="Arial"/>
                  <w:sz w:val="17"/>
                  <w:szCs w:val="17"/>
                  <w:color w:val="0000FF"/>
                </w:rPr>
                <w:t>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r:id="rId208">
              <w:r>
                <w:rPr>
                  <w:rFonts w:ascii="Arial" w:cs="Arial" w:eastAsia="Arial" w:hAnsi="Arial"/>
                  <w:sz w:val="17"/>
                  <w:szCs w:val="17"/>
                  <w:color w:val="0000FF"/>
                  <w:w w:val="92"/>
                </w:rPr>
                <w:t>000-23211)).</w:t>
              </w:r>
            </w:hyperlink>
          </w:p>
        </w:tc>
        <w:tc>
          <w:tcPr>
            <w:tcW w:w="2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6"/>
              </w:rPr>
            </w:pPr>
            <w:hyperlink r:id="rId209">
              <w:r>
                <w:rPr>
                  <w:rFonts w:ascii="Arial" w:cs="Arial" w:eastAsia="Arial" w:hAnsi="Arial"/>
                  <w:sz w:val="18"/>
                  <w:szCs w:val="18"/>
                  <w:color w:val="0000FF"/>
                  <w:w w:val="96"/>
                </w:rPr>
                <w:t>Form of Restricted Stock Unit Agreement granted under 2006 Stock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4"/>
          </w:tcPr>
          <w:p>
            <w:pPr>
              <w:spacing w:after="0" w:line="153" w:lineRule="exact"/>
              <w:rPr>
                <w:rFonts w:ascii="Arial" w:cs="Arial" w:eastAsia="Arial" w:hAnsi="Arial"/>
                <w:sz w:val="17"/>
                <w:szCs w:val="17"/>
                <w:color w:val="0000FF"/>
                <w:w w:val="95"/>
              </w:rPr>
            </w:pPr>
            <w:hyperlink r:id="rId209">
              <w:r>
                <w:rPr>
                  <w:rFonts w:ascii="Arial" w:cs="Arial" w:eastAsia="Arial" w:hAnsi="Arial"/>
                  <w:sz w:val="17"/>
                  <w:szCs w:val="17"/>
                  <w:color w:val="0000FF"/>
                  <w:w w:val="95"/>
                </w:rPr>
                <w:t>(incorporated herein by reference to Exhibit 10.18 to the annual report on Form 10-K of Casella as filed on June 27, 2014</w:t>
              </w:r>
            </w:hyperlink>
          </w:p>
        </w:tc>
        <w:tc>
          <w:tcPr>
            <w:tcW w:w="620" w:type="dxa"/>
            <w:vAlign w:val="bottom"/>
            <w:gridSpan w:val="19"/>
          </w:tcPr>
          <w:p>
            <w:pPr>
              <w:jc w:val="right"/>
              <w:ind w:right="100"/>
              <w:spacing w:after="0" w:line="153" w:lineRule="exact"/>
              <w:rPr>
                <w:rFonts w:ascii="Arial" w:cs="Arial" w:eastAsia="Arial" w:hAnsi="Arial"/>
                <w:sz w:val="17"/>
                <w:szCs w:val="17"/>
                <w:color w:val="0000FF"/>
                <w:w w:val="89"/>
              </w:rPr>
            </w:pPr>
            <w:hyperlink r:id="rId209">
              <w:r>
                <w:rPr>
                  <w:rFonts w:ascii="Arial" w:cs="Arial" w:eastAsia="Arial" w:hAnsi="Arial"/>
                  <w:sz w:val="17"/>
                  <w:szCs w:val="17"/>
                  <w:color w:val="0000FF"/>
                  <w:w w:val="89"/>
                </w:rPr>
                <w:t>(file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r:id="rId209">
              <w:r>
                <w:rPr>
                  <w:rFonts w:ascii="Arial" w:cs="Arial" w:eastAsia="Arial" w:hAnsi="Arial"/>
                  <w:sz w:val="17"/>
                  <w:szCs w:val="17"/>
                  <w:color w:val="0000FF"/>
                  <w:w w:val="92"/>
                </w:rPr>
                <w:t>000-23211)).</w:t>
              </w:r>
            </w:hyperlink>
          </w:p>
        </w:tc>
        <w:tc>
          <w:tcPr>
            <w:tcW w:w="2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4"/>
              </w:rPr>
            </w:pPr>
            <w:hyperlink r:id="rId210">
              <w:r>
                <w:rPr>
                  <w:rFonts w:ascii="Arial" w:cs="Arial" w:eastAsia="Arial" w:hAnsi="Arial"/>
                  <w:sz w:val="18"/>
                  <w:szCs w:val="18"/>
                  <w:color w:val="0000FF"/>
                  <w:w w:val="94"/>
                </w:rPr>
                <w:t>Form of Restricted Stock Unit Agreement granted under 2006 Stock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9"/>
          </w:tcPr>
          <w:p>
            <w:pPr>
              <w:spacing w:after="0" w:line="153" w:lineRule="exact"/>
              <w:rPr>
                <w:rFonts w:ascii="Arial" w:cs="Arial" w:eastAsia="Arial" w:hAnsi="Arial"/>
                <w:sz w:val="17"/>
                <w:szCs w:val="17"/>
                <w:color w:val="0000FF"/>
                <w:w w:val="94"/>
              </w:rPr>
            </w:pPr>
            <w:hyperlink r:id="rId210">
              <w:r>
                <w:rPr>
                  <w:rFonts w:ascii="Arial" w:cs="Arial" w:eastAsia="Arial" w:hAnsi="Arial"/>
                  <w:sz w:val="17"/>
                  <w:szCs w:val="17"/>
                  <w:color w:val="0000FF"/>
                  <w:w w:val="94"/>
                </w:rPr>
                <w:t>(incorporated herein by reference to Exhibit 10.19 to the annual report on Form 10-K of Casella as filed on June 27, 2014 (file</w:t>
              </w:r>
            </w:hyperlink>
          </w:p>
        </w:tc>
        <w:tc>
          <w:tcPr>
            <w:tcW w:w="20" w:type="dxa"/>
            <w:vAlign w:val="bottom"/>
          </w:tcPr>
          <w:p>
            <w:pPr>
              <w:spacing w:after="0"/>
              <w:rPr>
                <w:sz w:val="13"/>
                <w:szCs w:val="13"/>
                <w:color w:val="auto"/>
              </w:rPr>
            </w:pPr>
          </w:p>
        </w:tc>
        <w:tc>
          <w:tcPr>
            <w:tcW w:w="380" w:type="dxa"/>
            <w:vAlign w:val="bottom"/>
            <w:gridSpan w:val="13"/>
          </w:tcPr>
          <w:p>
            <w:pPr>
              <w:jc w:val="right"/>
              <w:ind w:right="100"/>
              <w:spacing w:after="0" w:line="153" w:lineRule="exact"/>
              <w:rPr>
                <w:rFonts w:ascii="Arial" w:cs="Arial" w:eastAsia="Arial" w:hAnsi="Arial"/>
                <w:sz w:val="17"/>
                <w:szCs w:val="17"/>
                <w:color w:val="0000FF"/>
              </w:rPr>
            </w:pPr>
            <w:hyperlink r:id="rId210">
              <w:r>
                <w:rPr>
                  <w:rFonts w:ascii="Arial" w:cs="Arial" w:eastAsia="Arial" w:hAnsi="Arial"/>
                  <w:sz w:val="17"/>
                  <w:szCs w:val="17"/>
                  <w:color w:val="0000FF"/>
                </w:rPr>
                <w:t>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r:id="rId210">
              <w:r>
                <w:rPr>
                  <w:rFonts w:ascii="Arial" w:cs="Arial" w:eastAsia="Arial" w:hAnsi="Arial"/>
                  <w:sz w:val="17"/>
                  <w:szCs w:val="17"/>
                  <w:color w:val="0000FF"/>
                  <w:w w:val="92"/>
                </w:rPr>
                <w:t>000-23211)).</w:t>
              </w:r>
            </w:hyperlink>
          </w:p>
        </w:tc>
        <w:tc>
          <w:tcPr>
            <w:tcW w:w="2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89"/>
              </w:rPr>
            </w:pPr>
            <w:hyperlink r:id="rId211">
              <w:r>
                <w:rPr>
                  <w:rFonts w:ascii="Arial" w:cs="Arial" w:eastAsia="Arial" w:hAnsi="Arial"/>
                  <w:sz w:val="18"/>
                  <w:szCs w:val="18"/>
                  <w:color w:val="0000FF"/>
                  <w:w w:val="89"/>
                </w:rPr>
                <w:t>Form of Performance Share Unit Agreement granted under 2006 Stock Incentive Plan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4"/>
              </w:rPr>
            </w:pPr>
            <w:hyperlink r:id="rId211">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2</w:t>
              </w:r>
              <w:r>
                <w:rPr>
                  <w:rFonts w:ascii="Arial" w:cs="Arial" w:eastAsia="Arial" w:hAnsi="Arial"/>
                  <w:sz w:val="17"/>
                  <w:szCs w:val="17"/>
                  <w:color w:val="0000FF"/>
                  <w:w w:val="94"/>
                </w:rPr>
                <w:t xml:space="preserve"> to the quarterly report on Form 10-Q of Casella as filed on September 4, 2008 (file no. 000-23211)).</w:t>
              </w:r>
            </w:hyperlink>
          </w:p>
        </w:tc>
        <w:tc>
          <w:tcPr>
            <w:tcW w:w="18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4"/>
              </w:rPr>
            </w:pPr>
            <w:hyperlink r:id="rId212">
              <w:r>
                <w:rPr>
                  <w:rFonts w:ascii="Arial" w:cs="Arial" w:eastAsia="Arial" w:hAnsi="Arial"/>
                  <w:sz w:val="18"/>
                  <w:szCs w:val="18"/>
                  <w:color w:val="0000FF"/>
                  <w:w w:val="94"/>
                </w:rPr>
                <w:t>Form of Restricted Stock Unit Agreement granted under 2006 Stock Incentive Plan (adopted March 1, 2016) (employee with</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7"/>
          </w:tcPr>
          <w:p>
            <w:pPr>
              <w:spacing w:after="0" w:line="153" w:lineRule="exact"/>
              <w:rPr>
                <w:rFonts w:ascii="Arial" w:cs="Arial" w:eastAsia="Arial" w:hAnsi="Arial"/>
                <w:sz w:val="17"/>
                <w:szCs w:val="17"/>
                <w:color w:val="0000FF"/>
                <w:w w:val="95"/>
              </w:rPr>
            </w:pPr>
            <w:hyperlink r:id="rId212">
              <w:r>
                <w:rPr>
                  <w:rFonts w:ascii="Arial" w:cs="Arial" w:eastAsia="Arial" w:hAnsi="Arial"/>
                  <w:sz w:val="17"/>
                  <w:szCs w:val="17"/>
                  <w:color w:val="0000FF"/>
                  <w:w w:val="95"/>
                </w:rPr>
                <w:t>employment contract) (incorporated herein by reference to Exhibit 10.2 to the current report on Form 8-K of Casella as filed</w:t>
              </w:r>
            </w:hyperlink>
          </w:p>
        </w:tc>
        <w:tc>
          <w:tcPr>
            <w:tcW w:w="440" w:type="dxa"/>
            <w:vAlign w:val="bottom"/>
            <w:gridSpan w:val="16"/>
          </w:tcPr>
          <w:p>
            <w:pPr>
              <w:spacing w:after="0" w:line="153" w:lineRule="exact"/>
              <w:rPr>
                <w:rFonts w:ascii="Arial" w:cs="Arial" w:eastAsia="Arial" w:hAnsi="Arial"/>
                <w:sz w:val="17"/>
                <w:szCs w:val="17"/>
                <w:color w:val="0000FF"/>
              </w:rPr>
            </w:pPr>
            <w:hyperlink r:id="rId212">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212">
              <w:r>
                <w:rPr>
                  <w:rFonts w:ascii="Arial" w:cs="Arial" w:eastAsia="Arial" w:hAnsi="Arial"/>
                  <w:sz w:val="17"/>
                  <w:szCs w:val="17"/>
                  <w:color w:val="0000FF"/>
                  <w:w w:val="95"/>
                </w:rPr>
                <w:t>March 7, 2016 (file no. 000-23211)).</w:t>
              </w:r>
            </w:hyperlink>
          </w:p>
        </w:tc>
        <w:tc>
          <w:tcPr>
            <w:tcW w:w="6420" w:type="dxa"/>
            <w:vAlign w:val="bottom"/>
            <w:tcBorders>
              <w:top w:val="single" w:sz="8" w:color="0000FF"/>
            </w:tcBorders>
            <w:gridSpan w:val="18"/>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1"/>
              </w:rPr>
            </w:pPr>
            <w:hyperlink r:id="rId213">
              <w:r>
                <w:rPr>
                  <w:rFonts w:ascii="Arial" w:cs="Arial" w:eastAsia="Arial" w:hAnsi="Arial"/>
                  <w:sz w:val="18"/>
                  <w:szCs w:val="18"/>
                  <w:color w:val="0000FF"/>
                  <w:w w:val="91"/>
                </w:rPr>
                <w:t>Form of Restricted Stock Unit Agreement granted under 2006 Stock Incentive Plan (adopted March 1, 2016) (employee with no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3" w:lineRule="exact"/>
              <w:rPr>
                <w:rFonts w:ascii="Arial" w:cs="Arial" w:eastAsia="Arial" w:hAnsi="Arial"/>
                <w:sz w:val="17"/>
                <w:szCs w:val="17"/>
                <w:color w:val="0000FF"/>
                <w:w w:val="96"/>
              </w:rPr>
            </w:pPr>
            <w:hyperlink r:id="rId213">
              <w:r>
                <w:rPr>
                  <w:rFonts w:ascii="Arial" w:cs="Arial" w:eastAsia="Arial" w:hAnsi="Arial"/>
                  <w:sz w:val="17"/>
                  <w:szCs w:val="17"/>
                  <w:color w:val="0000FF"/>
                  <w:w w:val="96"/>
                </w:rPr>
                <w:t>employment contract) (incorporated herein by reference to Exhibit 10.3 to the current report on Form 8-K of Casella as filed on</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213">
              <w:r>
                <w:rPr>
                  <w:rFonts w:ascii="Arial" w:cs="Arial" w:eastAsia="Arial" w:hAnsi="Arial"/>
                  <w:sz w:val="17"/>
                  <w:szCs w:val="17"/>
                  <w:color w:val="0000FF"/>
                  <w:w w:val="95"/>
                </w:rPr>
                <w:t>March 7, 2016 (file no. 000-23211)).</w:t>
              </w:r>
            </w:hyperlink>
          </w:p>
        </w:tc>
        <w:tc>
          <w:tcPr>
            <w:tcW w:w="6420" w:type="dxa"/>
            <w:vAlign w:val="bottom"/>
            <w:tcBorders>
              <w:top w:val="single" w:sz="8" w:color="0000FF"/>
            </w:tcBorders>
            <w:gridSpan w:val="18"/>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10.19*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2"/>
              </w:rPr>
            </w:pPr>
            <w:hyperlink r:id="rId214">
              <w:r>
                <w:rPr>
                  <w:rFonts w:ascii="Arial" w:cs="Arial" w:eastAsia="Arial" w:hAnsi="Arial"/>
                  <w:sz w:val="18"/>
                  <w:szCs w:val="18"/>
                  <w:color w:val="0000FF"/>
                  <w:w w:val="92"/>
                </w:rPr>
                <w:t>Employment Agreement between Casella and Edwin D. Johnson dated as of July 6, 2010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r:id="rId214">
              <w:r>
                <w:rPr>
                  <w:rFonts w:ascii="Arial" w:cs="Arial" w:eastAsia="Arial" w:hAnsi="Arial"/>
                  <w:sz w:val="17"/>
                  <w:szCs w:val="17"/>
                  <w:color w:val="0000FF"/>
                </w:rPr>
                <w:t>Exhibit 10.1 to the quarterly report on Form 10-Q of Casella as filed on September 3, 2010 (file no. 000-23211)).</w:t>
              </w:r>
            </w:hyperlink>
          </w:p>
        </w:tc>
        <w:tc>
          <w:tcPr>
            <w:tcW w:w="2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3"/>
              </w:rPr>
            </w:pPr>
            <w:hyperlink r:id="rId215">
              <w:r>
                <w:rPr>
                  <w:rFonts w:ascii="Arial" w:cs="Arial" w:eastAsia="Arial" w:hAnsi="Arial"/>
                  <w:sz w:val="18"/>
                  <w:szCs w:val="18"/>
                  <w:color w:val="0000FF"/>
                  <w:w w:val="93"/>
                </w:rPr>
                <w:t>Letter Agreement between Casella and Edwin D. Johnson dated as of February 12, 2013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6"/>
          </w:tcPr>
          <w:p>
            <w:pPr>
              <w:spacing w:after="0" w:line="153" w:lineRule="exact"/>
              <w:rPr>
                <w:rFonts w:ascii="Arial" w:cs="Arial" w:eastAsia="Arial" w:hAnsi="Arial"/>
                <w:sz w:val="17"/>
                <w:szCs w:val="17"/>
                <w:color w:val="0000FF"/>
              </w:rPr>
            </w:pPr>
            <w:hyperlink r:id="rId215">
              <w:r>
                <w:rPr>
                  <w:rFonts w:ascii="Arial" w:cs="Arial" w:eastAsia="Arial" w:hAnsi="Arial"/>
                  <w:sz w:val="17"/>
                  <w:szCs w:val="17"/>
                  <w:color w:val="0000FF"/>
                </w:rPr>
                <w:t>Exhibit 10.26 to the annual report on Form 10-K of Casella as filed on June 27, 2014 (file no. 000-23211)).</w:t>
              </w:r>
            </w:hyperlink>
          </w:p>
        </w:tc>
        <w:tc>
          <w:tcPr>
            <w:tcW w:w="280" w:type="dxa"/>
            <w:vAlign w:val="bottom"/>
            <w:gridSpan w:val="9"/>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89"/>
              </w:rPr>
            </w:pPr>
            <w:hyperlink r:id="rId216">
              <w:r>
                <w:rPr>
                  <w:rFonts w:ascii="Arial" w:cs="Arial" w:eastAsia="Arial" w:hAnsi="Arial"/>
                  <w:sz w:val="18"/>
                  <w:szCs w:val="18"/>
                  <w:color w:val="0000FF"/>
                  <w:w w:val="89"/>
                </w:rPr>
                <w:t>Employment Agreement between Casella and Edmond Coletta dated as of September 1, 2012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9"/>
          </w:tcPr>
          <w:p>
            <w:pPr>
              <w:spacing w:after="0" w:line="153" w:lineRule="exact"/>
              <w:rPr>
                <w:rFonts w:ascii="Arial" w:cs="Arial" w:eastAsia="Arial" w:hAnsi="Arial"/>
                <w:sz w:val="17"/>
                <w:szCs w:val="17"/>
                <w:color w:val="0000FF"/>
              </w:rPr>
            </w:pPr>
            <w:hyperlink r:id="rId216">
              <w:r>
                <w:rPr>
                  <w:rFonts w:ascii="Arial" w:cs="Arial" w:eastAsia="Arial" w:hAnsi="Arial"/>
                  <w:sz w:val="17"/>
                  <w:szCs w:val="17"/>
                  <w:color w:val="0000FF"/>
                </w:rPr>
                <w:t>Exhibit 10.28 to the annual report on Form 10-K of Casella as filed on June 27, 2014 (file no. 000-23211)).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1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90"/>
              </w:rPr>
            </w:pPr>
            <w:hyperlink r:id="rId217">
              <w:r>
                <w:rPr>
                  <w:rFonts w:ascii="Arial" w:cs="Arial" w:eastAsia="Arial" w:hAnsi="Arial"/>
                  <w:sz w:val="18"/>
                  <w:szCs w:val="18"/>
                  <w:color w:val="0000FF"/>
                  <w:w w:val="90"/>
                </w:rPr>
                <w:t>Employment Agreement between Casella and Christopher B. Heald dated as of March 1, 2016 (incorporated herein by reference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5"/>
          </w:tcPr>
          <w:p>
            <w:pPr>
              <w:spacing w:after="0" w:line="153" w:lineRule="exact"/>
              <w:rPr>
                <w:rFonts w:ascii="Arial" w:cs="Arial" w:eastAsia="Arial" w:hAnsi="Arial"/>
                <w:sz w:val="17"/>
                <w:szCs w:val="17"/>
                <w:color w:val="0000FF"/>
              </w:rPr>
            </w:pPr>
            <w:hyperlink r:id="rId217">
              <w:r>
                <w:rPr>
                  <w:rFonts w:ascii="Arial" w:cs="Arial" w:eastAsia="Arial" w:hAnsi="Arial"/>
                  <w:sz w:val="17"/>
                  <w:szCs w:val="17"/>
                  <w:color w:val="0000FF"/>
                </w:rPr>
                <w:t>to Exhibit 10.4 to the current report on Form 8-K of Casella as filed on March 7, 2016 (file no. 000-23211)).</w:t>
              </w:r>
            </w:hyperlink>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8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3"/>
          </w:tcPr>
          <w:p>
            <w:pPr>
              <w:spacing w:after="0"/>
              <w:rPr>
                <w:rFonts w:ascii="Arial" w:cs="Arial" w:eastAsia="Arial" w:hAnsi="Arial"/>
                <w:sz w:val="18"/>
                <w:szCs w:val="18"/>
                <w:color w:val="0000FF"/>
                <w:w w:val="88"/>
              </w:rPr>
            </w:pPr>
            <w:hyperlink r:id="rId218">
              <w:r>
                <w:rPr>
                  <w:rFonts w:ascii="Arial" w:cs="Arial" w:eastAsia="Arial" w:hAnsi="Arial"/>
                  <w:sz w:val="18"/>
                  <w:szCs w:val="18"/>
                  <w:color w:val="0000FF"/>
                  <w:w w:val="88"/>
                </w:rPr>
                <w:t>Employment Agreement between Casella and Shelley E. Sayward dated as of January 1, 2021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1"/>
          </w:tcPr>
          <w:p>
            <w:pPr>
              <w:spacing w:after="0" w:line="153" w:lineRule="exact"/>
              <w:rPr>
                <w:rFonts w:ascii="Arial" w:cs="Arial" w:eastAsia="Arial" w:hAnsi="Arial"/>
                <w:sz w:val="17"/>
                <w:szCs w:val="17"/>
                <w:color w:val="0000FF"/>
              </w:rPr>
            </w:pPr>
            <w:hyperlink r:id="rId218">
              <w:r>
                <w:rPr>
                  <w:rFonts w:ascii="Arial" w:cs="Arial" w:eastAsia="Arial" w:hAnsi="Arial"/>
                  <w:sz w:val="17"/>
                  <w:szCs w:val="17"/>
                  <w:color w:val="0000FF"/>
                </w:rPr>
                <w:t>exhibit 10.25 to the annual report on Form 10-K of Casella as filed on February 19, 2021 (file no. 000-23211)).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23"/>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top w:val="single" w:sz="8" w:color="0000FF"/>
            </w:tcBorders>
            <w:gridSpan w:val="4"/>
          </w:tcPr>
          <w:p>
            <w:pPr>
              <w:ind w:left="3580"/>
              <w:spacing w:after="0"/>
              <w:rPr>
                <w:sz w:val="20"/>
                <w:szCs w:val="20"/>
                <w:color w:val="auto"/>
              </w:rPr>
            </w:pPr>
            <w:r>
              <w:rPr>
                <w:rFonts w:ascii="Arial" w:cs="Arial" w:eastAsia="Arial" w:hAnsi="Arial"/>
                <w:sz w:val="18"/>
                <w:szCs w:val="18"/>
                <w:color w:val="auto"/>
              </w:rPr>
              <w:t>108</w:t>
            </w:r>
          </w:p>
        </w:tc>
        <w:tc>
          <w:tcPr>
            <w:tcW w:w="25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rFonts w:ascii="Arial" w:cs="Arial" w:eastAsia="Arial" w:hAnsi="Arial"/>
                <w:sz w:val="14"/>
                <w:szCs w:val="14"/>
                <w:b w:val="1"/>
                <w:bCs w:val="1"/>
                <w:color w:val="0000FF"/>
                <w:w w:val="89"/>
              </w:rPr>
            </w:pPr>
            <w:hyperlink w:anchor="page1">
              <w:r>
                <w:rPr>
                  <w:rFonts w:ascii="Arial" w:cs="Arial" w:eastAsia="Arial" w:hAnsi="Arial"/>
                  <w:sz w:val="14"/>
                  <w:szCs w:val="14"/>
                  <w:b w:val="1"/>
                  <w:bCs w:val="1"/>
                  <w:color w:val="0000FF"/>
                  <w:w w:val="89"/>
                </w:rPr>
                <w:t>Table of Contents</w:t>
              </w:r>
            </w:hyperlink>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120" w:type="dxa"/>
            <w:vAlign w:val="bottom"/>
            <w:gridSpan w:val="29"/>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900" w:type="dxa"/>
            <w:vAlign w:val="bottom"/>
            <w:gridSpan w:val="3"/>
          </w:tcPr>
          <w:p>
            <w:pPr>
              <w:ind w:left="6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12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10.24*</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20" w:type="dxa"/>
            <w:vAlign w:val="bottom"/>
            <w:tcBorders>
              <w:top w:val="single" w:sz="8" w:color="auto"/>
            </w:tcBorders>
            <w:gridSpan w:val="35"/>
          </w:tcPr>
          <w:p>
            <w:pPr>
              <w:spacing w:after="0"/>
              <w:rPr>
                <w:rFonts w:ascii="Arial" w:cs="Arial" w:eastAsia="Arial" w:hAnsi="Arial"/>
                <w:sz w:val="18"/>
                <w:szCs w:val="18"/>
                <w:color w:val="0000FF"/>
                <w:w w:val="89"/>
              </w:rPr>
            </w:pPr>
            <w:hyperlink r:id="rId221">
              <w:r>
                <w:rPr>
                  <w:rFonts w:ascii="Arial" w:cs="Arial" w:eastAsia="Arial" w:hAnsi="Arial"/>
                  <w:sz w:val="18"/>
                  <w:szCs w:val="18"/>
                  <w:color w:val="0000FF"/>
                  <w:w w:val="89"/>
                </w:rPr>
                <w:t>Letter Agreement between Casella and Edmond Coletta dated as of February 17, 2021 (incorporated herein by reference to exhibit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5"/>
              </w:rPr>
            </w:pPr>
            <w:hyperlink r:id="rId221">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26</w:t>
              </w:r>
              <w:r>
                <w:rPr>
                  <w:rFonts w:ascii="Arial" w:cs="Arial" w:eastAsia="Arial" w:hAnsi="Arial"/>
                  <w:sz w:val="17"/>
                  <w:szCs w:val="17"/>
                  <w:color w:val="0000FF"/>
                  <w:w w:val="95"/>
                </w:rPr>
                <w:t xml:space="preserve"> to the annual report on Form 10-K of Casella as filed on February 19, 2021 (file no. 000-23211)).</w:t>
              </w:r>
            </w:hyperlink>
          </w:p>
        </w:tc>
        <w:tc>
          <w:tcPr>
            <w:tcW w:w="19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1"/>
              </w:rPr>
            </w:pPr>
            <w:hyperlink r:id="rId222">
              <w:r>
                <w:rPr>
                  <w:rFonts w:ascii="Arial" w:cs="Arial" w:eastAsia="Arial" w:hAnsi="Arial"/>
                  <w:sz w:val="18"/>
                  <w:szCs w:val="18"/>
                  <w:color w:val="0000FF"/>
                  <w:w w:val="91"/>
                </w:rPr>
                <w:t>Letter Agreement between Casella and Christopher B. Heald dated as of February 17, 2021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6"/>
          </w:tcPr>
          <w:p>
            <w:pPr>
              <w:spacing w:after="0" w:line="153" w:lineRule="exact"/>
              <w:rPr>
                <w:rFonts w:ascii="Arial" w:cs="Arial" w:eastAsia="Arial" w:hAnsi="Arial"/>
                <w:sz w:val="17"/>
                <w:szCs w:val="17"/>
                <w:color w:val="0000FF"/>
              </w:rPr>
            </w:pPr>
            <w:hyperlink r:id="rId222">
              <w:r>
                <w:rPr>
                  <w:rFonts w:ascii="Arial" w:cs="Arial" w:eastAsia="Arial" w:hAnsi="Arial"/>
                  <w:sz w:val="17"/>
                  <w:szCs w:val="17"/>
                  <w:color w:val="0000FF"/>
                </w:rPr>
                <w:t>exhibit 10.27 to the annual report on Form 10-K of Casella as filed on February 19, 2021 (file no. 000-23211)).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5"/>
              </w:rPr>
            </w:pPr>
            <w:hyperlink r:id="rId223">
              <w:r>
                <w:rPr>
                  <w:rFonts w:ascii="Arial" w:cs="Arial" w:eastAsia="Arial" w:hAnsi="Arial"/>
                  <w:sz w:val="18"/>
                  <w:szCs w:val="18"/>
                  <w:color w:val="0000FF"/>
                  <w:w w:val="95"/>
                </w:rPr>
                <w:t>Amended and Restated Employment Agreement between Casella and Christopher B. Heald dated as of October 25, 2021</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15"/>
          </w:tcPr>
          <w:p>
            <w:pPr>
              <w:spacing w:after="0" w:line="153" w:lineRule="exact"/>
              <w:rPr>
                <w:rFonts w:ascii="Arial" w:cs="Arial" w:eastAsia="Arial" w:hAnsi="Arial"/>
                <w:sz w:val="17"/>
                <w:szCs w:val="17"/>
                <w:color w:val="0000FF"/>
                <w:w w:val="95"/>
              </w:rPr>
            </w:pPr>
            <w:hyperlink r:id="rId223">
              <w:r>
                <w:rPr>
                  <w:rFonts w:ascii="Arial" w:cs="Arial" w:eastAsia="Arial" w:hAnsi="Arial"/>
                  <w:sz w:val="17"/>
                  <w:szCs w:val="17"/>
                  <w:color w:val="0000FF"/>
                  <w:w w:val="95"/>
                </w:rPr>
                <w:t>(incorporated herein by reference to Exhibit 10.1 to the quarterly report on Form 10-Q of Casella as filed on October 29,</w:t>
              </w:r>
            </w:hyperlink>
          </w:p>
        </w:tc>
        <w:tc>
          <w:tcPr>
            <w:tcW w:w="380" w:type="dxa"/>
            <w:vAlign w:val="bottom"/>
            <w:gridSpan w:val="5"/>
          </w:tcPr>
          <w:p>
            <w:pPr>
              <w:jc w:val="right"/>
              <w:ind w:right="20"/>
              <w:spacing w:after="0" w:line="153" w:lineRule="exact"/>
              <w:rPr>
                <w:rFonts w:ascii="Arial" w:cs="Arial" w:eastAsia="Arial" w:hAnsi="Arial"/>
                <w:sz w:val="17"/>
                <w:szCs w:val="17"/>
                <w:color w:val="0000FF"/>
                <w:w w:val="89"/>
              </w:rPr>
            </w:pPr>
            <w:hyperlink r:id="rId223">
              <w:r>
                <w:rPr>
                  <w:rFonts w:ascii="Arial" w:cs="Arial" w:eastAsia="Arial" w:hAnsi="Arial"/>
                  <w:sz w:val="17"/>
                  <w:szCs w:val="17"/>
                  <w:color w:val="0000FF"/>
                  <w:w w:val="89"/>
                </w:rPr>
                <w:t>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5"/>
              </w:rPr>
            </w:pPr>
            <w:hyperlink r:id="rId223">
              <w:r>
                <w:rPr>
                  <w:rFonts w:ascii="Arial" w:cs="Arial" w:eastAsia="Arial" w:hAnsi="Arial"/>
                  <w:sz w:val="17"/>
                  <w:szCs w:val="17"/>
                  <w:color w:val="0000FF"/>
                  <w:w w:val="95"/>
                </w:rPr>
                <w:t>(file no. 000-23211).</w:t>
              </w:r>
            </w:hyperlink>
          </w:p>
        </w:tc>
        <w:tc>
          <w:tcPr>
            <w:tcW w:w="74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6"/>
              </w:rPr>
            </w:pPr>
            <w:hyperlink r:id="rId224">
              <w:r>
                <w:rPr>
                  <w:rFonts w:ascii="Arial" w:cs="Arial" w:eastAsia="Arial" w:hAnsi="Arial"/>
                  <w:sz w:val="18"/>
                  <w:szCs w:val="18"/>
                  <w:color w:val="0000FF"/>
                  <w:w w:val="96"/>
                </w:rPr>
                <w:t>Extension of Lease Agreements dated as of April 23, 2013, between Casella Associates and Casella, amending (i) Lease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bottom w:val="single" w:sz="8" w:color="0000FF"/>
            </w:tcBorders>
            <w:gridSpan w:val="20"/>
          </w:tcPr>
          <w:p>
            <w:pPr>
              <w:spacing w:after="0" w:line="153" w:lineRule="exact"/>
              <w:rPr>
                <w:rFonts w:ascii="Arial" w:cs="Arial" w:eastAsia="Arial" w:hAnsi="Arial"/>
                <w:sz w:val="17"/>
                <w:szCs w:val="17"/>
                <w:color w:val="0000FF"/>
                <w:w w:val="93"/>
              </w:rPr>
            </w:pPr>
            <w:hyperlink r:id="rId224">
              <w:r>
                <w:rPr>
                  <w:rFonts w:ascii="Arial" w:cs="Arial" w:eastAsia="Arial" w:hAnsi="Arial"/>
                  <w:sz w:val="17"/>
                  <w:szCs w:val="17"/>
                  <w:color w:val="0000FF"/>
                  <w:w w:val="93"/>
                </w:rPr>
                <w:t>Agreement dated August 1, 1993, as amended (Montpelier lease) and (ii) Lease Agreement dated August 1, 1993, as amended</w:t>
              </w:r>
            </w:hyperlink>
          </w:p>
        </w:tc>
        <w:tc>
          <w:tcPr>
            <w:tcW w:w="3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5"/>
          </w:tcPr>
          <w:p>
            <w:pPr>
              <w:spacing w:after="0" w:line="153" w:lineRule="exact"/>
              <w:rPr>
                <w:rFonts w:ascii="Arial" w:cs="Arial" w:eastAsia="Arial" w:hAnsi="Arial"/>
                <w:sz w:val="17"/>
                <w:szCs w:val="17"/>
                <w:color w:val="0000FF"/>
                <w:w w:val="97"/>
              </w:rPr>
            </w:pPr>
            <w:hyperlink r:id="rId224">
              <w:r>
                <w:rPr>
                  <w:rFonts w:ascii="Arial" w:cs="Arial" w:eastAsia="Arial" w:hAnsi="Arial"/>
                  <w:sz w:val="17"/>
                  <w:szCs w:val="17"/>
                  <w:color w:val="0000FF"/>
                  <w:w w:val="97"/>
                </w:rPr>
                <w:t>(Rutland lease) (incorporated herein by reference to Exhibit 10.29 to the annual report on Form 10-K of Casella as filed on June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5"/>
              </w:rPr>
            </w:pPr>
            <w:hyperlink r:id="rId224">
              <w:r>
                <w:rPr>
                  <w:rFonts w:ascii="Arial" w:cs="Arial" w:eastAsia="Arial" w:hAnsi="Arial"/>
                  <w:sz w:val="17"/>
                  <w:szCs w:val="17"/>
                  <w:color w:val="0000FF"/>
                  <w:w w:val="95"/>
                </w:rPr>
                <w:t>27, 2014 (file no. 000-23211)).</w:t>
              </w:r>
            </w:hyperlink>
          </w:p>
        </w:tc>
        <w:tc>
          <w:tcPr>
            <w:tcW w:w="69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1"/>
              </w:rPr>
            </w:pPr>
            <w:hyperlink r:id="rId225">
              <w:r>
                <w:rPr>
                  <w:rFonts w:ascii="Arial" w:cs="Arial" w:eastAsia="Arial" w:hAnsi="Arial"/>
                  <w:sz w:val="18"/>
                  <w:szCs w:val="18"/>
                  <w:color w:val="0000FF"/>
                  <w:w w:val="91"/>
                </w:rPr>
                <w:t>Casella Waste Systems, Inc. Non-Equity Incentive Plan (incorporated herein by reference to Exhibit 10.1 of the current report on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30"/>
          </w:tcPr>
          <w:p>
            <w:pPr>
              <w:spacing w:after="0" w:line="153" w:lineRule="exact"/>
              <w:rPr>
                <w:rFonts w:ascii="Arial" w:cs="Arial" w:eastAsia="Arial" w:hAnsi="Arial"/>
                <w:sz w:val="17"/>
                <w:szCs w:val="17"/>
                <w:color w:val="0000FF"/>
              </w:rPr>
            </w:pPr>
            <w:hyperlink r:id="rId225">
              <w:r>
                <w:rPr>
                  <w:rFonts w:ascii="Arial" w:cs="Arial" w:eastAsia="Arial" w:hAnsi="Arial"/>
                  <w:sz w:val="17"/>
                  <w:szCs w:val="17"/>
                  <w:color w:val="0000FF"/>
                </w:rPr>
                <w:t>Form 8-K of Casella as filed on March 7, 2016 (file no. 000-23211)).</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1"/>
              </w:rPr>
            </w:pPr>
            <w:hyperlink r:id="rId226">
              <w:r>
                <w:rPr>
                  <w:rFonts w:ascii="Arial" w:cs="Arial" w:eastAsia="Arial" w:hAnsi="Arial"/>
                  <w:sz w:val="18"/>
                  <w:szCs w:val="18"/>
                  <w:color w:val="0000FF"/>
                  <w:w w:val="91"/>
                </w:rPr>
                <w:t>Casella Waste Systems, Inc. 2016 Incentive Plan (incorporated herein by reference to Exhibit 99.1 to the Registration Statement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7"/>
          </w:tcPr>
          <w:p>
            <w:pPr>
              <w:spacing w:after="0" w:line="153" w:lineRule="exact"/>
              <w:rPr>
                <w:rFonts w:ascii="Arial" w:cs="Arial" w:eastAsia="Arial" w:hAnsi="Arial"/>
                <w:sz w:val="17"/>
                <w:szCs w:val="17"/>
                <w:color w:val="0000FF"/>
              </w:rPr>
            </w:pPr>
            <w:hyperlink r:id="rId226">
              <w:r>
                <w:rPr>
                  <w:rFonts w:ascii="Arial" w:cs="Arial" w:eastAsia="Arial" w:hAnsi="Arial"/>
                  <w:sz w:val="17"/>
                  <w:szCs w:val="17"/>
                  <w:color w:val="0000FF"/>
                </w:rPr>
                <w:t>on Form S-8 of Casella as filed on November 17, 2016 (file No. 333-214683)).</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Form of Restricted Stock Unit Agreement under 2016 Incentive Plan (employee with employment contract)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24"/>
          </w:tcPr>
          <w:p>
            <w:pPr>
              <w:spacing w:after="0" w:line="153" w:lineRule="exact"/>
              <w:rPr>
                <w:rFonts w:ascii="Arial" w:cs="Arial" w:eastAsia="Arial" w:hAnsi="Arial"/>
                <w:sz w:val="17"/>
                <w:szCs w:val="17"/>
                <w:color w:val="0000FF"/>
                <w:w w:val="95"/>
              </w:rPr>
            </w:pPr>
            <w:hyperlink r:id="rId227">
              <w:r>
                <w:rPr>
                  <w:rFonts w:ascii="Arial" w:cs="Arial" w:eastAsia="Arial" w:hAnsi="Arial"/>
                  <w:sz w:val="17"/>
                  <w:szCs w:val="17"/>
                  <w:color w:val="0000FF"/>
                  <w:w w:val="95"/>
                </w:rPr>
                <w:t>by reference to Exhibit 10.1 to the current report on Form 8-K of Casella as filed on November 22, 2016 (file No. 000-23211)).</w:t>
              </w:r>
            </w:hyperlink>
          </w:p>
        </w:tc>
        <w:tc>
          <w:tcPr>
            <w:tcW w:w="100" w:type="dxa"/>
            <w:vAlign w:val="bottom"/>
            <w:tcBorders>
              <w:top w:val="single" w:sz="8" w:color="0000FF"/>
            </w:tcBorders>
            <w:gridSpan w:val="5"/>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10.31*</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4"/>
              </w:rPr>
            </w:pPr>
            <w:hyperlink r:id="rId228">
              <w:r>
                <w:rPr>
                  <w:rFonts w:ascii="Arial" w:cs="Arial" w:eastAsia="Arial" w:hAnsi="Arial"/>
                  <w:sz w:val="18"/>
                  <w:szCs w:val="18"/>
                  <w:color w:val="0000FF"/>
                  <w:w w:val="94"/>
                </w:rPr>
                <w:t>Form of Restricted Stock Unit Agreement under 2016 Incentive Plan (employee with no employment contract) (incorporated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5"/>
          </w:tcPr>
          <w:p>
            <w:pPr>
              <w:spacing w:after="0" w:line="153" w:lineRule="exact"/>
              <w:rPr>
                <w:rFonts w:ascii="Arial" w:cs="Arial" w:eastAsia="Arial" w:hAnsi="Arial"/>
                <w:sz w:val="17"/>
                <w:szCs w:val="17"/>
                <w:color w:val="0000FF"/>
                <w:w w:val="99"/>
              </w:rPr>
            </w:pPr>
            <w:hyperlink r:id="rId228">
              <w:r>
                <w:rPr>
                  <w:rFonts w:ascii="Arial" w:cs="Arial" w:eastAsia="Arial" w:hAnsi="Arial"/>
                  <w:sz w:val="17"/>
                  <w:szCs w:val="17"/>
                  <w:color w:val="0000FF"/>
                  <w:w w:val="99"/>
                </w:rPr>
                <w:t>herein by reference to Exhibit 10.2 to the current report on Form 8-K of Casella as filed on November 22, 2016 (file No. 000-</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3" w:lineRule="exact"/>
              <w:rPr>
                <w:rFonts w:ascii="Arial" w:cs="Arial" w:eastAsia="Arial" w:hAnsi="Arial"/>
                <w:sz w:val="17"/>
                <w:szCs w:val="17"/>
                <w:color w:val="0000FF"/>
              </w:rPr>
            </w:pPr>
            <w:hyperlink r:id="rId228">
              <w:r>
                <w:rPr>
                  <w:rFonts w:ascii="Arial" w:cs="Arial" w:eastAsia="Arial" w:hAnsi="Arial"/>
                  <w:sz w:val="17"/>
                  <w:szCs w:val="17"/>
                  <w:color w:val="0000FF"/>
                </w:rPr>
                <w:t>23211)</w:t>
              </w:r>
              <w:r>
                <w:rPr>
                  <w:rFonts w:ascii="Arial" w:cs="Arial" w:eastAsia="Arial" w:hAnsi="Arial"/>
                  <w:sz w:val="17"/>
                  <w:szCs w:val="17"/>
                  <w:u w:val="single" w:color="auto"/>
                  <w:color w:val="0000FF"/>
                </w:rPr>
                <w:t>)</w:t>
              </w:r>
              <w:r>
                <w:rPr>
                  <w:rFonts w:ascii="Arial" w:cs="Arial" w:eastAsia="Arial" w:hAnsi="Arial"/>
                  <w:sz w:val="17"/>
                  <w:szCs w:val="17"/>
                  <w:color w:val="0000FF"/>
                </w:rPr>
                <w:t>.</w:t>
              </w:r>
            </w:hyperlink>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rPr>
            </w:pPr>
            <w:hyperlink r:id="rId229">
              <w:r>
                <w:rPr>
                  <w:rFonts w:ascii="Arial" w:cs="Arial" w:eastAsia="Arial" w:hAnsi="Arial"/>
                  <w:sz w:val="18"/>
                  <w:szCs w:val="18"/>
                  <w:color w:val="0000FF"/>
                </w:rPr>
                <w:t>Form of Performance-Based Stock Unit Agreement under 2016 Incentive Plan (employee with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2"/>
          </w:tcPr>
          <w:p>
            <w:pPr>
              <w:spacing w:after="0" w:line="153" w:lineRule="exact"/>
              <w:rPr>
                <w:rFonts w:ascii="Arial" w:cs="Arial" w:eastAsia="Arial" w:hAnsi="Arial"/>
                <w:sz w:val="17"/>
                <w:szCs w:val="17"/>
                <w:color w:val="0000FF"/>
                <w:w w:val="96"/>
              </w:rPr>
            </w:pPr>
            <w:hyperlink r:id="rId229">
              <w:r>
                <w:rPr>
                  <w:rFonts w:ascii="Arial" w:cs="Arial" w:eastAsia="Arial" w:hAnsi="Arial"/>
                  <w:sz w:val="17"/>
                  <w:szCs w:val="17"/>
                  <w:color w:val="0000FF"/>
                  <w:w w:val="96"/>
                </w:rPr>
                <w:t>(incorporated herein by reference to Exhibit 10.3 to the current report on Form 8-K of Casella as filed on November</w:t>
              </w:r>
            </w:hyperlink>
          </w:p>
        </w:tc>
        <w:tc>
          <w:tcPr>
            <w:tcW w:w="1000" w:type="dxa"/>
            <w:vAlign w:val="bottom"/>
            <w:gridSpan w:val="23"/>
          </w:tcPr>
          <w:p>
            <w:pPr>
              <w:jc w:val="right"/>
              <w:ind w:right="80"/>
              <w:spacing w:after="0" w:line="153" w:lineRule="exact"/>
              <w:rPr>
                <w:rFonts w:ascii="Arial" w:cs="Arial" w:eastAsia="Arial" w:hAnsi="Arial"/>
                <w:sz w:val="17"/>
                <w:szCs w:val="17"/>
                <w:color w:val="0000FF"/>
                <w:w w:val="91"/>
              </w:rPr>
            </w:pPr>
            <w:hyperlink r:id="rId229">
              <w:r>
                <w:rPr>
                  <w:rFonts w:ascii="Arial" w:cs="Arial" w:eastAsia="Arial" w:hAnsi="Arial"/>
                  <w:sz w:val="17"/>
                  <w:szCs w:val="17"/>
                  <w:color w:val="0000FF"/>
                  <w:w w:val="91"/>
                </w:rPr>
                <w:t>22, 2016 (file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4"/>
              </w:rPr>
            </w:pPr>
            <w:hyperlink r:id="rId229">
              <w:r>
                <w:rPr>
                  <w:rFonts w:ascii="Arial" w:cs="Arial" w:eastAsia="Arial" w:hAnsi="Arial"/>
                  <w:sz w:val="17"/>
                  <w:szCs w:val="17"/>
                  <w:color w:val="0000FF"/>
                  <w:w w:val="94"/>
                </w:rPr>
                <w:t>No. 000-23211)).</w:t>
              </w:r>
            </w:hyperlink>
          </w:p>
        </w:tc>
        <w:tc>
          <w:tcPr>
            <w:tcW w:w="800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7"/>
              </w:rPr>
            </w:pPr>
            <w:hyperlink r:id="rId230">
              <w:r>
                <w:rPr>
                  <w:rFonts w:ascii="Arial" w:cs="Arial" w:eastAsia="Arial" w:hAnsi="Arial"/>
                  <w:sz w:val="18"/>
                  <w:szCs w:val="18"/>
                  <w:color w:val="0000FF"/>
                  <w:w w:val="97"/>
                </w:rPr>
                <w:t>Form of Performance-Based Stock Unit Agreement under 2016 Incentive Plan (employee with no employment contract)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4"/>
          </w:tcPr>
          <w:p>
            <w:pPr>
              <w:spacing w:after="0" w:line="153" w:lineRule="exact"/>
              <w:rPr>
                <w:rFonts w:ascii="Arial" w:cs="Arial" w:eastAsia="Arial" w:hAnsi="Arial"/>
                <w:sz w:val="17"/>
                <w:szCs w:val="17"/>
                <w:color w:val="0000FF"/>
                <w:w w:val="95"/>
              </w:rPr>
            </w:pPr>
            <w:hyperlink r:id="rId230">
              <w:r>
                <w:rPr>
                  <w:rFonts w:ascii="Arial" w:cs="Arial" w:eastAsia="Arial" w:hAnsi="Arial"/>
                  <w:sz w:val="17"/>
                  <w:szCs w:val="17"/>
                  <w:color w:val="0000FF"/>
                  <w:w w:val="95"/>
                </w:rPr>
                <w:t>(incorporated herein by reference to Exhibit 10.4 to the current report on Form 8-K of Casella as filed on November 22,</w:t>
              </w:r>
            </w:hyperlink>
          </w:p>
        </w:tc>
        <w:tc>
          <w:tcPr>
            <w:tcW w:w="780" w:type="dxa"/>
            <w:vAlign w:val="bottom"/>
            <w:gridSpan w:val="21"/>
          </w:tcPr>
          <w:p>
            <w:pPr>
              <w:jc w:val="right"/>
              <w:ind w:right="80"/>
              <w:spacing w:after="0" w:line="153" w:lineRule="exact"/>
              <w:rPr>
                <w:rFonts w:ascii="Arial" w:cs="Arial" w:eastAsia="Arial" w:hAnsi="Arial"/>
                <w:sz w:val="17"/>
                <w:szCs w:val="17"/>
                <w:color w:val="0000FF"/>
                <w:w w:val="97"/>
              </w:rPr>
            </w:pPr>
            <w:hyperlink r:id="rId230">
              <w:r>
                <w:rPr>
                  <w:rFonts w:ascii="Arial" w:cs="Arial" w:eastAsia="Arial" w:hAnsi="Arial"/>
                  <w:sz w:val="17"/>
                  <w:szCs w:val="17"/>
                  <w:color w:val="0000FF"/>
                  <w:w w:val="97"/>
                </w:rPr>
                <w:t>2016 (file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4"/>
              </w:rPr>
            </w:pPr>
            <w:hyperlink r:id="rId230">
              <w:r>
                <w:rPr>
                  <w:rFonts w:ascii="Arial" w:cs="Arial" w:eastAsia="Arial" w:hAnsi="Arial"/>
                  <w:sz w:val="17"/>
                  <w:szCs w:val="17"/>
                  <w:color w:val="0000FF"/>
                  <w:w w:val="94"/>
                </w:rPr>
                <w:t>No. 000-23211)).</w:t>
              </w:r>
            </w:hyperlink>
          </w:p>
        </w:tc>
        <w:tc>
          <w:tcPr>
            <w:tcW w:w="800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2"/>
              </w:rPr>
            </w:pPr>
            <w:hyperlink r:id="rId231">
              <w:r>
                <w:rPr>
                  <w:rFonts w:ascii="Arial" w:cs="Arial" w:eastAsia="Arial" w:hAnsi="Arial"/>
                  <w:sz w:val="18"/>
                  <w:szCs w:val="18"/>
                  <w:color w:val="0000FF"/>
                  <w:w w:val="92"/>
                </w:rPr>
                <w:t>Form of Restricted Stock Agreement under 2016 Incentive Plan (incorporated herein by reference to Exhibit 10.5 to the current</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5"/>
          </w:tcPr>
          <w:p>
            <w:pPr>
              <w:spacing w:after="0" w:line="153" w:lineRule="exact"/>
              <w:rPr>
                <w:rFonts w:ascii="Arial" w:cs="Arial" w:eastAsia="Arial" w:hAnsi="Arial"/>
                <w:sz w:val="17"/>
                <w:szCs w:val="17"/>
                <w:color w:val="0000FF"/>
              </w:rPr>
            </w:pPr>
            <w:hyperlink r:id="rId231">
              <w:r>
                <w:rPr>
                  <w:rFonts w:ascii="Arial" w:cs="Arial" w:eastAsia="Arial" w:hAnsi="Arial"/>
                  <w:sz w:val="17"/>
                  <w:szCs w:val="17"/>
                  <w:color w:val="0000FF"/>
                </w:rPr>
                <w:t>report on Form 8-K of Casella as filed on November 22, 2016 (file No. 000-23211)).</w:t>
              </w:r>
            </w:hyperlink>
          </w:p>
        </w:tc>
        <w:tc>
          <w:tcPr>
            <w:tcW w:w="2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0"/>
              </w:rPr>
            </w:pPr>
            <w:hyperlink r:id="rId232">
              <w:r>
                <w:rPr>
                  <w:rFonts w:ascii="Arial" w:cs="Arial" w:eastAsia="Arial" w:hAnsi="Arial"/>
                  <w:sz w:val="18"/>
                  <w:szCs w:val="18"/>
                  <w:color w:val="0000FF"/>
                  <w:w w:val="90"/>
                </w:rPr>
                <w:t>Form of Incentive Stock Option Agreement under 2016 Incentive Plan (employee with employment contract) (incorporated herein</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24"/>
          </w:tcPr>
          <w:p>
            <w:pPr>
              <w:spacing w:after="0" w:line="153" w:lineRule="exact"/>
              <w:rPr>
                <w:rFonts w:ascii="Arial" w:cs="Arial" w:eastAsia="Arial" w:hAnsi="Arial"/>
                <w:sz w:val="17"/>
                <w:szCs w:val="17"/>
                <w:color w:val="0000FF"/>
                <w:w w:val="95"/>
              </w:rPr>
            </w:pPr>
            <w:hyperlink r:id="rId232">
              <w:r>
                <w:rPr>
                  <w:rFonts w:ascii="Arial" w:cs="Arial" w:eastAsia="Arial" w:hAnsi="Arial"/>
                  <w:sz w:val="17"/>
                  <w:szCs w:val="17"/>
                  <w:color w:val="0000FF"/>
                  <w:w w:val="95"/>
                </w:rPr>
                <w:t>by reference to Exhibit 10.6 to the current report on Form 8-K of Casella as filed on November 22, 2016 (file No. 000-23211)).</w:t>
              </w:r>
            </w:hyperlink>
          </w:p>
        </w:tc>
        <w:tc>
          <w:tcPr>
            <w:tcW w:w="2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10.36*</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3"/>
              </w:rPr>
            </w:pPr>
            <w:hyperlink r:id="rId233">
              <w:r>
                <w:rPr>
                  <w:rFonts w:ascii="Arial" w:cs="Arial" w:eastAsia="Arial" w:hAnsi="Arial"/>
                  <w:sz w:val="18"/>
                  <w:szCs w:val="18"/>
                  <w:color w:val="0000FF"/>
                  <w:w w:val="93"/>
                </w:rPr>
                <w:t>Form of Nonstatutory Stock Option Agreement under 2016 Incentive Plan (employee with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4"/>
          </w:tcPr>
          <w:p>
            <w:pPr>
              <w:spacing w:after="0" w:line="153" w:lineRule="exact"/>
              <w:rPr>
                <w:rFonts w:ascii="Arial" w:cs="Arial" w:eastAsia="Arial" w:hAnsi="Arial"/>
                <w:sz w:val="17"/>
                <w:szCs w:val="17"/>
                <w:color w:val="0000FF"/>
                <w:w w:val="96"/>
              </w:rPr>
            </w:pPr>
            <w:hyperlink r:id="rId233">
              <w:r>
                <w:rPr>
                  <w:rFonts w:ascii="Arial" w:cs="Arial" w:eastAsia="Arial" w:hAnsi="Arial"/>
                  <w:sz w:val="17"/>
                  <w:szCs w:val="17"/>
                  <w:color w:val="0000FF"/>
                  <w:w w:val="96"/>
                </w:rPr>
                <w:t>herein by reference to Exhibit 10.7 to the current report on Form 8-K of Casella as filed on November 22, 2016 (file No. 000-</w:t>
              </w:r>
            </w:hyperlink>
          </w:p>
        </w:tc>
        <w:tc>
          <w:tcPr>
            <w:tcW w:w="26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3" w:lineRule="exact"/>
              <w:rPr>
                <w:rFonts w:ascii="Arial" w:cs="Arial" w:eastAsia="Arial" w:hAnsi="Arial"/>
                <w:sz w:val="17"/>
                <w:szCs w:val="17"/>
                <w:color w:val="0000FF"/>
              </w:rPr>
            </w:pPr>
            <w:hyperlink r:id="rId233">
              <w:r>
                <w:rPr>
                  <w:rFonts w:ascii="Arial" w:cs="Arial" w:eastAsia="Arial" w:hAnsi="Arial"/>
                  <w:sz w:val="17"/>
                  <w:szCs w:val="17"/>
                  <w:color w:val="0000FF"/>
                </w:rPr>
                <w:t>23211)</w:t>
              </w:r>
              <w:r>
                <w:rPr>
                  <w:rFonts w:ascii="Arial" w:cs="Arial" w:eastAsia="Arial" w:hAnsi="Arial"/>
                  <w:sz w:val="17"/>
                  <w:szCs w:val="17"/>
                  <w:u w:val="single" w:color="auto"/>
                  <w:color w:val="0000FF"/>
                </w:rPr>
                <w:t>)</w:t>
              </w:r>
              <w:r>
                <w:rPr>
                  <w:rFonts w:ascii="Arial" w:cs="Arial" w:eastAsia="Arial" w:hAnsi="Arial"/>
                  <w:sz w:val="17"/>
                  <w:szCs w:val="17"/>
                  <w:color w:val="0000FF"/>
                </w:rPr>
                <w:t>.</w:t>
              </w:r>
            </w:hyperlink>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10.37*</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3"/>
              </w:rPr>
            </w:pPr>
            <w:hyperlink r:id="rId234">
              <w:r>
                <w:rPr>
                  <w:rFonts w:ascii="Arial" w:cs="Arial" w:eastAsia="Arial" w:hAnsi="Arial"/>
                  <w:sz w:val="18"/>
                  <w:szCs w:val="18"/>
                  <w:color w:val="0000FF"/>
                  <w:w w:val="93"/>
                </w:rPr>
                <w:t>Form of Incentive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3"/>
          </w:tcPr>
          <w:p>
            <w:pPr>
              <w:spacing w:after="0" w:line="153" w:lineRule="exact"/>
              <w:rPr>
                <w:rFonts w:ascii="Arial" w:cs="Arial" w:eastAsia="Arial" w:hAnsi="Arial"/>
                <w:sz w:val="17"/>
                <w:szCs w:val="17"/>
                <w:color w:val="0000FF"/>
                <w:w w:val="96"/>
              </w:rPr>
            </w:pPr>
            <w:hyperlink r:id="rId234">
              <w:r>
                <w:rPr>
                  <w:rFonts w:ascii="Arial" w:cs="Arial" w:eastAsia="Arial" w:hAnsi="Arial"/>
                  <w:sz w:val="17"/>
                  <w:szCs w:val="17"/>
                  <w:color w:val="0000FF"/>
                  <w:w w:val="96"/>
                </w:rPr>
                <w:t>herein by reference to Exhibit 10.8 to the current report on Form 8-K of Casella as filed on November 22, 2016 (file No. 000-</w:t>
              </w:r>
            </w:hyperlink>
          </w:p>
        </w:tc>
        <w:tc>
          <w:tcPr>
            <w:tcW w:w="28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3" w:lineRule="exact"/>
              <w:rPr>
                <w:rFonts w:ascii="Arial" w:cs="Arial" w:eastAsia="Arial" w:hAnsi="Arial"/>
                <w:sz w:val="17"/>
                <w:szCs w:val="17"/>
                <w:color w:val="0000FF"/>
              </w:rPr>
            </w:pPr>
            <w:hyperlink r:id="rId234">
              <w:r>
                <w:rPr>
                  <w:rFonts w:ascii="Arial" w:cs="Arial" w:eastAsia="Arial" w:hAnsi="Arial"/>
                  <w:sz w:val="17"/>
                  <w:szCs w:val="17"/>
                  <w:color w:val="0000FF"/>
                </w:rPr>
                <w:t>23211)</w:t>
              </w:r>
              <w:r>
                <w:rPr>
                  <w:rFonts w:ascii="Arial" w:cs="Arial" w:eastAsia="Arial" w:hAnsi="Arial"/>
                  <w:sz w:val="17"/>
                  <w:szCs w:val="17"/>
                  <w:u w:val="single" w:color="auto"/>
                  <w:color w:val="0000FF"/>
                </w:rPr>
                <w:t>)</w:t>
              </w:r>
              <w:r>
                <w:rPr>
                  <w:rFonts w:ascii="Arial" w:cs="Arial" w:eastAsia="Arial" w:hAnsi="Arial"/>
                  <w:sz w:val="17"/>
                  <w:szCs w:val="17"/>
                  <w:color w:val="0000FF"/>
                </w:rPr>
                <w:t>.</w:t>
              </w:r>
            </w:hyperlink>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0"/>
              </w:rPr>
            </w:pPr>
            <w:hyperlink r:id="rId235">
              <w:r>
                <w:rPr>
                  <w:rFonts w:ascii="Arial" w:cs="Arial" w:eastAsia="Arial" w:hAnsi="Arial"/>
                  <w:sz w:val="18"/>
                  <w:szCs w:val="18"/>
                  <w:color w:val="0000FF"/>
                  <w:w w:val="90"/>
                </w:rPr>
                <w:t>Form of Nonstatutory Stock Option Agreement under 2016 Incentive Plan (employee with no employment contract) (incorporated</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34"/>
          </w:tcPr>
          <w:p>
            <w:pPr>
              <w:spacing w:after="0" w:line="153" w:lineRule="exact"/>
              <w:rPr>
                <w:rFonts w:ascii="Arial" w:cs="Arial" w:eastAsia="Arial" w:hAnsi="Arial"/>
                <w:sz w:val="17"/>
                <w:szCs w:val="17"/>
                <w:color w:val="0000FF"/>
                <w:w w:val="99"/>
              </w:rPr>
            </w:pPr>
            <w:hyperlink r:id="rId235">
              <w:r>
                <w:rPr>
                  <w:rFonts w:ascii="Arial" w:cs="Arial" w:eastAsia="Arial" w:hAnsi="Arial"/>
                  <w:sz w:val="17"/>
                  <w:szCs w:val="17"/>
                  <w:color w:val="0000FF"/>
                  <w:w w:val="99"/>
                </w:rPr>
                <w:t>herein by reference to Exhibit 10.9 to the current report on Form 8-K of Casella as filed on November 22, 2016 (file No. 000-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3" w:lineRule="exact"/>
              <w:rPr>
                <w:rFonts w:ascii="Arial" w:cs="Arial" w:eastAsia="Arial" w:hAnsi="Arial"/>
                <w:sz w:val="17"/>
                <w:szCs w:val="17"/>
                <w:color w:val="0000FF"/>
              </w:rPr>
            </w:pPr>
            <w:hyperlink r:id="rId235">
              <w:r>
                <w:rPr>
                  <w:rFonts w:ascii="Arial" w:cs="Arial" w:eastAsia="Arial" w:hAnsi="Arial"/>
                  <w:sz w:val="17"/>
                  <w:szCs w:val="17"/>
                  <w:color w:val="0000FF"/>
                </w:rPr>
                <w:t>23211)</w:t>
              </w:r>
              <w:r>
                <w:rPr>
                  <w:rFonts w:ascii="Arial" w:cs="Arial" w:eastAsia="Arial" w:hAnsi="Arial"/>
                  <w:sz w:val="17"/>
                  <w:szCs w:val="17"/>
                  <w:u w:val="single" w:color="auto"/>
                  <w:color w:val="0000FF"/>
                </w:rPr>
                <w:t>)</w:t>
              </w:r>
              <w:r>
                <w:rPr>
                  <w:rFonts w:ascii="Arial" w:cs="Arial" w:eastAsia="Arial" w:hAnsi="Arial"/>
                  <w:sz w:val="17"/>
                  <w:szCs w:val="17"/>
                  <w:color w:val="0000FF"/>
                </w:rPr>
                <w:t>.</w:t>
              </w:r>
            </w:hyperlink>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70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10.39*</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8"/>
              </w:rPr>
            </w:pPr>
            <w:hyperlink r:id="rId236">
              <w:r>
                <w:rPr>
                  <w:rFonts w:ascii="Arial" w:cs="Arial" w:eastAsia="Arial" w:hAnsi="Arial"/>
                  <w:sz w:val="18"/>
                  <w:szCs w:val="18"/>
                  <w:color w:val="0000FF"/>
                  <w:w w:val="98"/>
                </w:rPr>
                <w:t>Form of Performance-Based Stock Option Agreement under 2016 Incentive Plan (employee with employment contract)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900" w:type="dxa"/>
            <w:vAlign w:val="bottom"/>
            <w:gridSpan w:val="8"/>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5"/>
          </w:tcPr>
          <w:p>
            <w:pPr>
              <w:spacing w:after="0" w:line="153" w:lineRule="exact"/>
              <w:rPr>
                <w:rFonts w:ascii="Arial" w:cs="Arial" w:eastAsia="Arial" w:hAnsi="Arial"/>
                <w:sz w:val="17"/>
                <w:szCs w:val="17"/>
                <w:color w:val="0000FF"/>
                <w:w w:val="98"/>
              </w:rPr>
            </w:pPr>
            <w:hyperlink r:id="rId236">
              <w:r>
                <w:rPr>
                  <w:rFonts w:ascii="Arial" w:cs="Arial" w:eastAsia="Arial" w:hAnsi="Arial"/>
                  <w:sz w:val="17"/>
                  <w:szCs w:val="17"/>
                  <w:color w:val="0000FF"/>
                  <w:w w:val="98"/>
                </w:rPr>
                <w:t>(incorporated herein by reference to Exhibit 10.10 to the current report on Form 8-K of Casella as filed on November 22, 2016</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8"/>
              </w:rPr>
            </w:pPr>
            <w:hyperlink r:id="rId236">
              <w:r>
                <w:rPr>
                  <w:rFonts w:ascii="Arial" w:cs="Arial" w:eastAsia="Arial" w:hAnsi="Arial"/>
                  <w:sz w:val="17"/>
                  <w:szCs w:val="17"/>
                  <w:color w:val="0000FF"/>
                  <w:w w:val="98"/>
                </w:rPr>
                <w:t>(file No. 000-23211)).</w:t>
              </w:r>
            </w:hyperlink>
          </w:p>
        </w:tc>
        <w:tc>
          <w:tcPr>
            <w:tcW w:w="7400" w:type="dxa"/>
            <w:vAlign w:val="bottom"/>
            <w:tcBorders>
              <w:top w:val="single" w:sz="8" w:color="0000FF"/>
            </w:tcBorders>
            <w:gridSpan w:val="17"/>
          </w:tcPr>
          <w:p>
            <w:pPr>
              <w:spacing w:after="0"/>
              <w:rPr>
                <w:sz w:val="13"/>
                <w:szCs w:val="13"/>
                <w:color w:val="auto"/>
              </w:rPr>
            </w:pPr>
          </w:p>
        </w:tc>
        <w:tc>
          <w:tcPr>
            <w:tcW w:w="3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35"/>
          </w:tcPr>
          <w:p>
            <w:pPr>
              <w:spacing w:after="0"/>
              <w:rPr>
                <w:rFonts w:ascii="Arial" w:cs="Arial" w:eastAsia="Arial" w:hAnsi="Arial"/>
                <w:sz w:val="18"/>
                <w:szCs w:val="18"/>
                <w:color w:val="0000FF"/>
                <w:w w:val="95"/>
              </w:rPr>
            </w:pPr>
            <w:hyperlink r:id="rId237">
              <w:r>
                <w:rPr>
                  <w:rFonts w:ascii="Arial" w:cs="Arial" w:eastAsia="Arial" w:hAnsi="Arial"/>
                  <w:sz w:val="18"/>
                  <w:szCs w:val="18"/>
                  <w:color w:val="0000FF"/>
                  <w:w w:val="95"/>
                </w:rPr>
                <w:t>Form of Performance-Based Stock Option Agreement under 2016 Incentive Plan (employee with no employment contract)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7140" w:type="dxa"/>
            <w:vAlign w:val="bottom"/>
            <w:gridSpan w:val="1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gridSpan w:val="35"/>
          </w:tcPr>
          <w:p>
            <w:pPr>
              <w:spacing w:after="0" w:line="153" w:lineRule="exact"/>
              <w:rPr>
                <w:rFonts w:ascii="Arial" w:cs="Arial" w:eastAsia="Arial" w:hAnsi="Arial"/>
                <w:sz w:val="17"/>
                <w:szCs w:val="17"/>
                <w:color w:val="0000FF"/>
                <w:w w:val="98"/>
              </w:rPr>
            </w:pPr>
            <w:hyperlink r:id="rId237">
              <w:r>
                <w:rPr>
                  <w:rFonts w:ascii="Arial" w:cs="Arial" w:eastAsia="Arial" w:hAnsi="Arial"/>
                  <w:sz w:val="17"/>
                  <w:szCs w:val="17"/>
                  <w:color w:val="0000FF"/>
                  <w:w w:val="98"/>
                </w:rPr>
                <w:t>(incorporated herein by reference to Exhibit 10.11 to the current report on Form 8-K of Casella as filed on November 22, 2016</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7"/>
              </w:rPr>
            </w:pPr>
            <w:hyperlink r:id="rId237">
              <w:r>
                <w:rPr>
                  <w:rFonts w:ascii="Arial" w:cs="Arial" w:eastAsia="Arial" w:hAnsi="Arial"/>
                  <w:sz w:val="17"/>
                  <w:szCs w:val="17"/>
                  <w:color w:val="0000FF"/>
                  <w:w w:val="97"/>
                </w:rPr>
                <w:t>(file No. 000-23211)).</w:t>
              </w:r>
            </w:hyperlink>
          </w:p>
        </w:tc>
        <w:tc>
          <w:tcPr>
            <w:tcW w:w="7400" w:type="dxa"/>
            <w:vAlign w:val="bottom"/>
            <w:tcBorders>
              <w:top w:val="single" w:sz="8" w:color="0000FF"/>
            </w:tcBorders>
            <w:gridSpan w:val="17"/>
          </w:tcPr>
          <w:p>
            <w:pPr>
              <w:spacing w:after="0"/>
              <w:rPr>
                <w:sz w:val="13"/>
                <w:szCs w:val="13"/>
                <w:color w:val="auto"/>
              </w:rPr>
            </w:pPr>
          </w:p>
        </w:tc>
        <w:tc>
          <w:tcPr>
            <w:tcW w:w="3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923"/>
        </w:trPr>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gridSpan w:val="8"/>
          </w:tcPr>
          <w:p>
            <w:pPr>
              <w:jc w:val="right"/>
              <w:ind w:right="989"/>
              <w:spacing w:after="0"/>
              <w:rPr>
                <w:sz w:val="20"/>
                <w:szCs w:val="20"/>
                <w:color w:val="auto"/>
              </w:rPr>
            </w:pPr>
            <w:r>
              <w:rPr>
                <w:rFonts w:ascii="Arial" w:cs="Arial" w:eastAsia="Arial" w:hAnsi="Arial"/>
                <w:sz w:val="18"/>
                <w:szCs w:val="18"/>
                <w:color w:val="auto"/>
              </w:rPr>
              <w:t>109</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jc w:val="center"/>
              <w:spacing w:after="0"/>
              <w:rPr>
                <w:rFonts w:ascii="Arial" w:cs="Arial" w:eastAsia="Arial" w:hAnsi="Arial"/>
                <w:sz w:val="14"/>
                <w:szCs w:val="14"/>
                <w:b w:val="1"/>
                <w:bCs w:val="1"/>
                <w:color w:val="0000FF"/>
                <w:w w:val="91"/>
              </w:rPr>
            </w:pPr>
            <w:hyperlink w:anchor="page1">
              <w:r>
                <w:rPr>
                  <w:rFonts w:ascii="Arial" w:cs="Arial" w:eastAsia="Arial" w:hAnsi="Arial"/>
                  <w:sz w:val="14"/>
                  <w:szCs w:val="14"/>
                  <w:b w:val="1"/>
                  <w:bCs w:val="1"/>
                  <w:color w:val="0000FF"/>
                  <w:w w:val="91"/>
                </w:rPr>
                <w:t>Table of Contents</w:t>
              </w:r>
            </w:hyperlink>
          </w:p>
        </w:tc>
        <w:tc>
          <w:tcPr>
            <w:tcW w:w="8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4"/>
        </w:trPr>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40" w:type="dxa"/>
            <w:vAlign w:val="bottom"/>
            <w:gridSpan w:val="16"/>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900" w:type="dxa"/>
            <w:vAlign w:val="bottom"/>
            <w:gridSpan w:val="3"/>
          </w:tcPr>
          <w:p>
            <w:pPr>
              <w:ind w:left="6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4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10.41*</w:t>
            </w:r>
          </w:p>
        </w:tc>
        <w:tc>
          <w:tcPr>
            <w:tcW w:w="3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300" w:type="dxa"/>
            <w:vAlign w:val="bottom"/>
            <w:tcBorders>
              <w:top w:val="single" w:sz="8" w:color="auto"/>
            </w:tcBorders>
            <w:gridSpan w:val="22"/>
          </w:tcPr>
          <w:p>
            <w:pPr>
              <w:spacing w:after="0"/>
              <w:rPr>
                <w:rFonts w:ascii="Arial" w:cs="Arial" w:eastAsia="Arial" w:hAnsi="Arial"/>
                <w:sz w:val="18"/>
                <w:szCs w:val="18"/>
                <w:color w:val="0000FF"/>
                <w:w w:val="90"/>
              </w:rPr>
            </w:pPr>
            <w:hyperlink r:id="rId240">
              <w:r>
                <w:rPr>
                  <w:rFonts w:ascii="Arial" w:cs="Arial" w:eastAsia="Arial" w:hAnsi="Arial"/>
                  <w:sz w:val="18"/>
                  <w:szCs w:val="18"/>
                  <w:color w:val="0000FF"/>
                  <w:w w:val="90"/>
                </w:rPr>
                <w:t>Form of Restricted Stock Unit Agreement under 2016 Incentive Plan (non-employee director) (incorporated herein by reference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5"/>
              </w:rPr>
            </w:pPr>
            <w:hyperlink r:id="rId240">
              <w:r>
                <w:rPr>
                  <w:rFonts w:ascii="Arial" w:cs="Arial" w:eastAsia="Arial" w:hAnsi="Arial"/>
                  <w:sz w:val="17"/>
                  <w:szCs w:val="17"/>
                  <w:color w:val="0000FF"/>
                  <w:w w:val="95"/>
                </w:rPr>
                <w:t>Exhibit 10.1 to the quarterly report on Form 10-Q of Casella as filed on November 2, 2017 (file No. 000-23211)).</w:t>
              </w:r>
            </w:hyperlink>
          </w:p>
        </w:tc>
        <w:tc>
          <w:tcPr>
            <w:tcW w:w="1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10.42</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80" w:type="dxa"/>
            <w:vAlign w:val="bottom"/>
            <w:tcBorders>
              <w:bottom w:val="single" w:sz="8" w:color="0000FF"/>
            </w:tcBorders>
            <w:gridSpan w:val="14"/>
          </w:tcPr>
          <w:p>
            <w:pPr>
              <w:spacing w:after="0"/>
              <w:rPr>
                <w:rFonts w:ascii="Arial" w:cs="Arial" w:eastAsia="Arial" w:hAnsi="Arial"/>
                <w:sz w:val="18"/>
                <w:szCs w:val="18"/>
                <w:color w:val="0000FF"/>
                <w:w w:val="88"/>
              </w:rPr>
            </w:pPr>
            <w:hyperlink r:id="rId241">
              <w:r>
                <w:rPr>
                  <w:rFonts w:ascii="Arial" w:cs="Arial" w:eastAsia="Arial" w:hAnsi="Arial"/>
                  <w:sz w:val="18"/>
                  <w:szCs w:val="18"/>
                  <w:color w:val="0000FF"/>
                  <w:w w:val="88"/>
                </w:rPr>
                <w:t>Amended and Restated Credit Agreement, dated as of December 22, 2021, among Casella, the subsidiaries of Casella identified</w:t>
              </w:r>
            </w:hyperlink>
          </w:p>
        </w:tc>
        <w:tc>
          <w:tcPr>
            <w:tcW w:w="2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22"/>
          </w:tcPr>
          <w:p>
            <w:pPr>
              <w:spacing w:after="0" w:line="153" w:lineRule="exact"/>
              <w:rPr>
                <w:rFonts w:ascii="Arial" w:cs="Arial" w:eastAsia="Arial" w:hAnsi="Arial"/>
                <w:sz w:val="17"/>
                <w:szCs w:val="17"/>
                <w:color w:val="0000FF"/>
                <w:w w:val="96"/>
              </w:rPr>
            </w:pPr>
            <w:hyperlink r:id="rId241">
              <w:r>
                <w:rPr>
                  <w:rFonts w:ascii="Arial" w:cs="Arial" w:eastAsia="Arial" w:hAnsi="Arial"/>
                  <w:sz w:val="17"/>
                  <w:szCs w:val="17"/>
                  <w:color w:val="0000FF"/>
                  <w:w w:val="96"/>
                </w:rPr>
                <w:t>therein, Bank of America, N.A., as administrative agent, Merrill Lynch, Pierce Fenner &amp; Smith Incorporated, Citizens Bank, N.A.,</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1"/>
          </w:tcPr>
          <w:p>
            <w:pPr>
              <w:spacing w:after="0" w:line="153" w:lineRule="exact"/>
              <w:rPr>
                <w:rFonts w:ascii="Arial" w:cs="Arial" w:eastAsia="Arial" w:hAnsi="Arial"/>
                <w:sz w:val="17"/>
                <w:szCs w:val="17"/>
                <w:color w:val="0000FF"/>
                <w:w w:val="97"/>
              </w:rPr>
            </w:pPr>
            <w:hyperlink r:id="rId241">
              <w:r>
                <w:rPr>
                  <w:rFonts w:ascii="Arial" w:cs="Arial" w:eastAsia="Arial" w:hAnsi="Arial"/>
                  <w:sz w:val="17"/>
                  <w:szCs w:val="17"/>
                  <w:color w:val="0000FF"/>
                  <w:w w:val="97"/>
                </w:rPr>
                <w:t>JPMorgan Chase Bank, N.A. and Comerica Bank as joint lead arrangers, and the lenders party thereto (incorporated herein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0"/>
          </w:tcPr>
          <w:p>
            <w:pPr>
              <w:spacing w:after="0" w:line="153" w:lineRule="exact"/>
              <w:rPr>
                <w:rFonts w:ascii="Arial" w:cs="Arial" w:eastAsia="Arial" w:hAnsi="Arial"/>
                <w:sz w:val="17"/>
                <w:szCs w:val="17"/>
                <w:color w:val="0000FF"/>
                <w:w w:val="97"/>
              </w:rPr>
            </w:pPr>
            <w:hyperlink r:id="rId241">
              <w:r>
                <w:rPr>
                  <w:rFonts w:ascii="Arial" w:cs="Arial" w:eastAsia="Arial" w:hAnsi="Arial"/>
                  <w:sz w:val="17"/>
                  <w:szCs w:val="17"/>
                  <w:color w:val="0000FF"/>
                  <w:w w:val="97"/>
                </w:rPr>
                <w:t>reference to Exhibit 10.1 to the current report on Form 8-K of Casella as filed on December 28, 2021 (file No. 000-23211).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10.43</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2"/>
          </w:tcPr>
          <w:p>
            <w:pPr>
              <w:spacing w:after="0"/>
              <w:rPr>
                <w:rFonts w:ascii="Arial" w:cs="Arial" w:eastAsia="Arial" w:hAnsi="Arial"/>
                <w:sz w:val="18"/>
                <w:szCs w:val="18"/>
                <w:color w:val="0000FF"/>
                <w:w w:val="90"/>
              </w:rPr>
            </w:pPr>
            <w:hyperlink r:id="rId242">
              <w:r>
                <w:rPr>
                  <w:rFonts w:ascii="Arial" w:cs="Arial" w:eastAsia="Arial" w:hAnsi="Arial"/>
                  <w:sz w:val="18"/>
                  <w:szCs w:val="18"/>
                  <w:color w:val="0000FF"/>
                  <w:w w:val="90"/>
                </w:rPr>
                <w:t>Master Lease Agreement dated as of July 20, 2020 by and between Bank of America Leasing &amp; Capital, LLC and Casella Waste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w w:val="94"/>
              </w:rPr>
            </w:pPr>
            <w:hyperlink r:id="rId242">
              <w:r>
                <w:rPr>
                  <w:rFonts w:ascii="Arial" w:cs="Arial" w:eastAsia="Arial" w:hAnsi="Arial"/>
                  <w:sz w:val="17"/>
                  <w:szCs w:val="17"/>
                  <w:color w:val="0000FF"/>
                  <w:w w:val="94"/>
                </w:rPr>
                <w:t>Systems, Inc. (incorporated herein by reference to Exhibit 10.1 to the Current Report on Form 8-K of Casella as filed on July 22,</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bottom w:val="single" w:sz="8" w:color="0000FF"/>
            </w:tcBorders>
            <w:gridSpan w:val="4"/>
          </w:tcPr>
          <w:p>
            <w:pPr>
              <w:spacing w:after="0" w:line="153" w:lineRule="exact"/>
              <w:rPr>
                <w:rFonts w:ascii="Arial" w:cs="Arial" w:eastAsia="Arial" w:hAnsi="Arial"/>
                <w:sz w:val="17"/>
                <w:szCs w:val="17"/>
                <w:color w:val="0000FF"/>
                <w:w w:val="95"/>
              </w:rPr>
            </w:pPr>
            <w:hyperlink r:id="rId242">
              <w:r>
                <w:rPr>
                  <w:rFonts w:ascii="Arial" w:cs="Arial" w:eastAsia="Arial" w:hAnsi="Arial"/>
                  <w:sz w:val="17"/>
                  <w:szCs w:val="17"/>
                  <w:color w:val="0000FF"/>
                  <w:w w:val="95"/>
                </w:rPr>
                <w:t>2020 (file no. 000-23211)).</w:t>
              </w:r>
            </w:hyperlink>
          </w:p>
        </w:tc>
        <w:tc>
          <w:tcPr>
            <w:tcW w:w="7200" w:type="dxa"/>
            <w:vAlign w:val="bottom"/>
            <w:gridSpan w:val="1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10.44</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20" w:type="dxa"/>
            <w:vAlign w:val="bottom"/>
            <w:tcBorders>
              <w:bottom w:val="single" w:sz="8" w:color="0000FF"/>
            </w:tcBorders>
            <w:gridSpan w:val="11"/>
          </w:tcPr>
          <w:p>
            <w:pPr>
              <w:spacing w:after="0"/>
              <w:rPr>
                <w:rFonts w:ascii="Arial" w:cs="Arial" w:eastAsia="Arial" w:hAnsi="Arial"/>
                <w:sz w:val="18"/>
                <w:szCs w:val="18"/>
                <w:color w:val="0000FF"/>
                <w:w w:val="89"/>
              </w:rPr>
            </w:pPr>
            <w:hyperlink r:id="rId243">
              <w:r>
                <w:rPr>
                  <w:rFonts w:ascii="Arial" w:cs="Arial" w:eastAsia="Arial" w:hAnsi="Arial"/>
                  <w:sz w:val="18"/>
                  <w:szCs w:val="18"/>
                  <w:color w:val="0000FF"/>
                  <w:w w:val="89"/>
                </w:rPr>
                <w:t>Addendum to Master Lease Agreement No. 36629-90000 dated as of July 20, 2020 by and among Bank of America Leasing &amp;</w:t>
              </w:r>
            </w:hyperlink>
          </w:p>
        </w:tc>
        <w:tc>
          <w:tcPr>
            <w:tcW w:w="28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22"/>
          </w:tcPr>
          <w:p>
            <w:pPr>
              <w:spacing w:after="0" w:line="153" w:lineRule="exact"/>
              <w:rPr>
                <w:rFonts w:ascii="Arial" w:cs="Arial" w:eastAsia="Arial" w:hAnsi="Arial"/>
                <w:sz w:val="17"/>
                <w:szCs w:val="17"/>
                <w:color w:val="0000FF"/>
                <w:w w:val="96"/>
              </w:rPr>
            </w:pPr>
            <w:hyperlink r:id="rId243">
              <w:r>
                <w:rPr>
                  <w:rFonts w:ascii="Arial" w:cs="Arial" w:eastAsia="Arial" w:hAnsi="Arial"/>
                  <w:sz w:val="17"/>
                  <w:szCs w:val="17"/>
                  <w:color w:val="0000FF"/>
                  <w:w w:val="96"/>
                </w:rPr>
                <w:t>Capital, LLC, Casella Waste Systems, Inc. and certain of its subsidiaries (incorporated herein by reference to Exhibit 10.2 to the</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4"/>
          </w:tcPr>
          <w:p>
            <w:pPr>
              <w:spacing w:after="0" w:line="153" w:lineRule="exact"/>
              <w:rPr>
                <w:rFonts w:ascii="Arial" w:cs="Arial" w:eastAsia="Arial" w:hAnsi="Arial"/>
                <w:sz w:val="17"/>
                <w:szCs w:val="17"/>
                <w:color w:val="0000FF"/>
              </w:rPr>
            </w:pPr>
            <w:hyperlink r:id="rId243">
              <w:r>
                <w:rPr>
                  <w:rFonts w:ascii="Arial" w:cs="Arial" w:eastAsia="Arial" w:hAnsi="Arial"/>
                  <w:sz w:val="17"/>
                  <w:szCs w:val="17"/>
                  <w:color w:val="0000FF"/>
                </w:rPr>
                <w:t>Current Report on Form 8-K of Casella as filed on July 22, 2020 (file no. 000-23211)).</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10.45</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2"/>
          </w:tcPr>
          <w:p>
            <w:pPr>
              <w:spacing w:after="0"/>
              <w:rPr>
                <w:rFonts w:ascii="Arial" w:cs="Arial" w:eastAsia="Arial" w:hAnsi="Arial"/>
                <w:sz w:val="18"/>
                <w:szCs w:val="18"/>
                <w:color w:val="0000FF"/>
                <w:w w:val="89"/>
              </w:rPr>
            </w:pPr>
            <w:hyperlink r:id="rId244">
              <w:r>
                <w:rPr>
                  <w:rFonts w:ascii="Arial" w:cs="Arial" w:eastAsia="Arial" w:hAnsi="Arial"/>
                  <w:sz w:val="18"/>
                  <w:szCs w:val="18"/>
                  <w:color w:val="0000FF"/>
                  <w:w w:val="89"/>
                </w:rPr>
                <w:t>Purchase and Sale Agreement dated as of January 23, 2011 among Casella, KTI, CE Holdings II, LLC and CE Holding Company,</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3" w:lineRule="exact"/>
              <w:rPr>
                <w:rFonts w:ascii="Arial" w:cs="Arial" w:eastAsia="Arial" w:hAnsi="Arial"/>
                <w:sz w:val="17"/>
                <w:szCs w:val="17"/>
                <w:color w:val="0000FF"/>
                <w:w w:val="97"/>
              </w:rPr>
            </w:pPr>
            <w:hyperlink r:id="rId244">
              <w:r>
                <w:rPr>
                  <w:rFonts w:ascii="Arial" w:cs="Arial" w:eastAsia="Arial" w:hAnsi="Arial"/>
                  <w:sz w:val="17"/>
                  <w:szCs w:val="17"/>
                  <w:color w:val="0000FF"/>
                  <w:w w:val="97"/>
                </w:rPr>
                <w:t>LLC (incorporated herein by reference to Exhibit 2.1 to the quarterly report on Form 10-Q of Casella as filed on March 3, 2011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6"/>
              </w:rPr>
            </w:pPr>
            <w:hyperlink r:id="rId244">
              <w:r>
                <w:rPr>
                  <w:rFonts w:ascii="Arial" w:cs="Arial" w:eastAsia="Arial" w:hAnsi="Arial"/>
                  <w:sz w:val="17"/>
                  <w:szCs w:val="17"/>
                  <w:color w:val="0000FF"/>
                  <w:w w:val="96"/>
                </w:rPr>
                <w:t>(file no. 000-23211)).</w:t>
              </w:r>
            </w:hyperlink>
          </w:p>
        </w:tc>
        <w:tc>
          <w:tcPr>
            <w:tcW w:w="75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21.1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0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114">
              <w:r>
                <w:rPr>
                  <w:rFonts w:ascii="Arial" w:cs="Arial" w:eastAsia="Arial" w:hAnsi="Arial"/>
                  <w:sz w:val="18"/>
                  <w:szCs w:val="18"/>
                  <w:color w:val="0000FF"/>
                  <w:w w:val="87"/>
                </w:rPr>
                <w:t>Subsidiaries of Casella Waste Systems, Inc.</w:t>
              </w:r>
            </w:hyperlink>
          </w:p>
        </w:tc>
        <w:tc>
          <w:tcPr>
            <w:tcW w:w="62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23.1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2"/>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Consent of RSM US LLP</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31.1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2"/>
          </w:tcPr>
          <w:p>
            <w:pPr>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Certification of Principal Executive Officer required by Rule 13a-14(a) or Rule 15d-14(a) of the Securities Exchange Act of 1934,</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w:anchor="page116">
              <w:r>
                <w:rPr>
                  <w:rFonts w:ascii="Arial" w:cs="Arial" w:eastAsia="Arial" w:hAnsi="Arial"/>
                  <w:sz w:val="17"/>
                  <w:szCs w:val="17"/>
                  <w:color w:val="0000FF"/>
                </w:rPr>
                <w:t>as amended.</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31.2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2"/>
          </w:tcPr>
          <w:p>
            <w:pPr>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Certification of Principal Financial Officer required by Rule 13a-14(a) or Rule 15d-14(a) of the Securities Exchange Act of 1934,</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7"/>
          </w:tcPr>
          <w:p>
            <w:pPr>
              <w:spacing w:after="0" w:line="153" w:lineRule="exact"/>
              <w:rPr>
                <w:rFonts w:ascii="Arial" w:cs="Arial" w:eastAsia="Arial" w:hAnsi="Arial"/>
                <w:sz w:val="17"/>
                <w:szCs w:val="17"/>
                <w:color w:val="0000FF"/>
              </w:rPr>
            </w:pPr>
            <w:hyperlink w:anchor="page117">
              <w:r>
                <w:rPr>
                  <w:rFonts w:ascii="Arial" w:cs="Arial" w:eastAsia="Arial" w:hAnsi="Arial"/>
                  <w:sz w:val="17"/>
                  <w:szCs w:val="17"/>
                  <w:color w:val="0000FF"/>
                </w:rPr>
                <w:t>as amended.</w:t>
              </w:r>
            </w:hyperlink>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80" w:type="dxa"/>
            <w:vAlign w:val="bottom"/>
          </w:tcPr>
          <w:p>
            <w:pPr>
              <w:ind w:left="220"/>
              <w:spacing w:after="0"/>
              <w:rPr>
                <w:sz w:val="20"/>
                <w:szCs w:val="20"/>
                <w:color w:val="auto"/>
              </w:rPr>
            </w:pPr>
            <w:r>
              <w:rPr>
                <w:rFonts w:ascii="Arial" w:cs="Arial" w:eastAsia="Arial" w:hAnsi="Arial"/>
                <w:sz w:val="18"/>
                <w:szCs w:val="18"/>
                <w:color w:val="auto"/>
              </w:rPr>
              <w:t>32.1 +</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00" w:type="dxa"/>
            <w:vAlign w:val="bottom"/>
            <w:gridSpan w:val="22"/>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4"/>
              </w:rPr>
            </w:pPr>
            <w:hyperlink w:anchor="page118">
              <w:r>
                <w:rPr>
                  <w:rFonts w:ascii="Arial" w:cs="Arial" w:eastAsia="Arial" w:hAnsi="Arial"/>
                  <w:sz w:val="17"/>
                  <w:szCs w:val="17"/>
                  <w:color w:val="0000FF"/>
                  <w:w w:val="94"/>
                </w:rPr>
                <w:t>Section 906 of the Sarbanes- Oxley Act of 2002.</w:t>
              </w:r>
            </w:hyperlink>
          </w:p>
        </w:tc>
        <w:tc>
          <w:tcPr>
            <w:tcW w:w="5600" w:type="dxa"/>
            <w:vAlign w:val="bottom"/>
            <w:tcBorders>
              <w:top w:val="single" w:sz="8" w:color="0000FF"/>
            </w:tcBorders>
            <w:gridSpan w:val="7"/>
          </w:tcPr>
          <w:p>
            <w:pPr>
              <w:spacing w:after="0"/>
              <w:rPr>
                <w:sz w:val="13"/>
                <w:szCs w:val="13"/>
                <w:color w:val="auto"/>
              </w:rPr>
            </w:pPr>
          </w:p>
        </w:tc>
        <w:tc>
          <w:tcPr>
            <w:tcW w:w="2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19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3"/>
        </w:trPr>
        <w:tc>
          <w:tcPr>
            <w:tcW w:w="190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2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9"/>
        </w:trPr>
        <w:tc>
          <w:tcPr>
            <w:tcW w:w="19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101.DEF</w:t>
            </w:r>
          </w:p>
        </w:tc>
        <w:tc>
          <w:tcPr>
            <w:tcW w:w="20" w:type="dxa"/>
            <w:vAlign w:val="bottom"/>
          </w:tcPr>
          <w:p>
            <w:pPr>
              <w:spacing w:after="0"/>
              <w:rPr>
                <w:sz w:val="24"/>
                <w:szCs w:val="24"/>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8"/>
        </w:trPr>
        <w:tc>
          <w:tcPr>
            <w:tcW w:w="1080" w:type="dxa"/>
            <w:vAlign w:val="bottom"/>
          </w:tcPr>
          <w:p>
            <w:pPr>
              <w:ind w:left="22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w w:val="97"/>
              </w:rPr>
              <w:t>Cover Page Interactive Data File (formatted as inline XBRL with applicable taxonomy extension information contained in</w:t>
            </w:r>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auto"/>
              </w:rPr>
              <w:t>Exhibits 101.)</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4"/>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 w:lineRule="exact"/>
        <w:rPr>
          <w:sz w:val="20"/>
          <w:szCs w:val="20"/>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is a management contract or compensatory plan or arrangement.</w:t>
      </w:r>
    </w:p>
    <w:p>
      <w:pPr>
        <w:spacing w:after="0" w:line="6" w:lineRule="exact"/>
        <w:rPr>
          <w:sz w:val="20"/>
          <w:szCs w:val="20"/>
          <w:color w:val="auto"/>
        </w:rPr>
      </w:pPr>
    </w:p>
    <w:p>
      <w:pPr>
        <w:ind w:right="180" w:firstLine="6"/>
        <w:spacing w:after="0" w:line="248" w:lineRule="auto"/>
        <w:tabs>
          <w:tab w:leader="none" w:pos="3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December 31, 2021 and December 31, 2020, (ii) Consolidated Statements of Operations for fiscal years 2021, 2020 and 2019, (iii) Consolidated Statements of Comprehensive Income for fiscal years 2021, 2020 and 2019, (iv) Consolidated Statement of Stockholders’ Equity (Deficit) for fiscal years 2021, 2020 and 2019, (v) Consolidated Statements of Cash Flows for fiscal years 2021, 2020 and 2019,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1"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386"/>
        </w:trPr>
        <w:tc>
          <w:tcPr>
            <w:tcW w:w="6320" w:type="dxa"/>
            <w:vAlign w:val="bottom"/>
          </w:tcPr>
          <w:p>
            <w:pPr>
              <w:spacing w:after="0"/>
              <w:rPr>
                <w:sz w:val="20"/>
                <w:szCs w:val="20"/>
                <w:color w:val="auto"/>
              </w:rPr>
            </w:pPr>
            <w:r>
              <w:rPr>
                <w:rFonts w:ascii="Arial" w:cs="Arial" w:eastAsia="Arial" w:hAnsi="Arial"/>
                <w:sz w:val="18"/>
                <w:szCs w:val="18"/>
                <w:color w:val="auto"/>
              </w:rPr>
              <w:t>Dated: February 18, 2022</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19"/>
        </w:trPr>
        <w:tc>
          <w:tcPr>
            <w:tcW w:w="6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175"/>
        </w:trPr>
        <w:tc>
          <w:tcPr>
            <w:tcW w:w="6320" w:type="dxa"/>
            <w:vAlign w:val="bottom"/>
          </w:tcPr>
          <w:p>
            <w:pPr>
              <w:spacing w:after="0"/>
              <w:rPr>
                <w:sz w:val="15"/>
                <w:szCs w:val="15"/>
                <w:color w:val="auto"/>
              </w:rPr>
            </w:pPr>
          </w:p>
        </w:tc>
        <w:tc>
          <w:tcPr>
            <w:tcW w:w="4880" w:type="dxa"/>
            <w:vAlign w:val="bottom"/>
          </w:tcPr>
          <w:p>
            <w:pPr>
              <w:ind w:left="20"/>
              <w:spacing w:after="0" w:line="175" w:lineRule="exact"/>
              <w:rPr>
                <w:sz w:val="20"/>
                <w:szCs w:val="20"/>
                <w:color w:val="auto"/>
              </w:rPr>
            </w:pPr>
            <w:r>
              <w:rPr>
                <w:rFonts w:ascii="Arial" w:cs="Arial" w:eastAsia="Arial" w:hAnsi="Arial"/>
                <w:sz w:val="18"/>
                <w:szCs w:val="18"/>
                <w:color w:val="auto"/>
              </w:rPr>
              <w:t>Chairman of the Board of Directors and Chief</w:t>
            </w:r>
          </w:p>
        </w:tc>
      </w:tr>
      <w:tr>
        <w:trPr>
          <w:trHeight w:val="173"/>
        </w:trPr>
        <w:tc>
          <w:tcPr>
            <w:tcW w:w="6320" w:type="dxa"/>
            <w:vAlign w:val="bottom"/>
          </w:tcPr>
          <w:p>
            <w:pPr>
              <w:spacing w:after="0"/>
              <w:rPr>
                <w:sz w:val="15"/>
                <w:szCs w:val="15"/>
                <w:color w:val="auto"/>
              </w:rPr>
            </w:pPr>
          </w:p>
        </w:tc>
        <w:tc>
          <w:tcPr>
            <w:tcW w:w="4880" w:type="dxa"/>
            <w:vAlign w:val="bottom"/>
          </w:tcPr>
          <w:p>
            <w:pPr>
              <w:ind w:left="20"/>
              <w:spacing w:after="0" w:line="173" w:lineRule="exact"/>
              <w:rPr>
                <w:sz w:val="20"/>
                <w:szCs w:val="20"/>
                <w:color w:val="auto"/>
              </w:rPr>
            </w:pPr>
            <w:r>
              <w:rPr>
                <w:rFonts w:ascii="Arial" w:cs="Arial" w:eastAsia="Arial" w:hAnsi="Arial"/>
                <w:sz w:val="18"/>
                <w:szCs w:val="18"/>
                <w:color w:val="auto"/>
              </w:rPr>
              <w:t>Executive Officer</w:t>
            </w:r>
          </w:p>
        </w:tc>
      </w:tr>
      <w:tr>
        <w:trPr>
          <w:trHeight w:val="224"/>
        </w:trPr>
        <w:tc>
          <w:tcPr>
            <w:tcW w:w="63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57"/>
        </w:trPr>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John W.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Chairman of the Board of Directors and Chief Executive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620" w:type="dxa"/>
            <w:vAlign w:val="bottom"/>
          </w:tcPr>
          <w:p>
            <w:pPr>
              <w:spacing w:after="0"/>
              <w:rPr>
                <w:sz w:val="19"/>
                <w:szCs w:val="19"/>
                <w:color w:val="auto"/>
              </w:rPr>
            </w:pPr>
          </w:p>
        </w:tc>
        <w:tc>
          <w:tcPr>
            <w:tcW w:w="1840" w:type="dxa"/>
            <w:vAlign w:val="bottom"/>
          </w:tcPr>
          <w:p>
            <w:pPr>
              <w:jc w:val="center"/>
              <w:ind w:right="533"/>
              <w:spacing w:after="0"/>
              <w:rPr>
                <w:sz w:val="20"/>
                <w:szCs w:val="20"/>
                <w:color w:val="auto"/>
              </w:rPr>
            </w:pPr>
            <w:r>
              <w:rPr>
                <w:rFonts w:ascii="Arial" w:cs="Arial" w:eastAsia="Arial" w:hAnsi="Arial"/>
                <w:sz w:val="18"/>
                <w:szCs w:val="18"/>
                <w:color w:val="auto"/>
                <w:w w:val="86"/>
              </w:rPr>
              <w:t>John W. Casella</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 Executive Officer)</w:t>
            </w:r>
          </w:p>
        </w:tc>
        <w:tc>
          <w:tcPr>
            <w:tcW w:w="2480" w:type="dxa"/>
            <w:vAlign w:val="bottom"/>
          </w:tcPr>
          <w:p>
            <w:pPr>
              <w:spacing w:after="0"/>
              <w:rPr>
                <w:sz w:val="19"/>
                <w:szCs w:val="19"/>
                <w:color w:val="auto"/>
              </w:rPr>
            </w:pPr>
          </w:p>
        </w:tc>
      </w:tr>
      <w:tr>
        <w:trPr>
          <w:trHeight w:val="372"/>
        </w:trPr>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90"/>
              </w:rPr>
              <w:t>Edmond R. Coletta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Senior Vice President and Chief Financial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9"/>
              </w:rPr>
              <w:t>Edmond R. Coletta</w:t>
            </w:r>
          </w:p>
        </w:tc>
        <w:tc>
          <w:tcPr>
            <w:tcW w:w="120" w:type="dxa"/>
            <w:vAlign w:val="bottom"/>
          </w:tcPr>
          <w:p>
            <w:pPr>
              <w:spacing w:after="0"/>
              <w:rPr>
                <w:sz w:val="19"/>
                <w:szCs w:val="19"/>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(Principal Financial Officer)</w:t>
            </w:r>
          </w:p>
        </w:tc>
        <w:tc>
          <w:tcPr>
            <w:tcW w:w="2480" w:type="dxa"/>
            <w:vAlign w:val="bottom"/>
          </w:tcPr>
          <w:p>
            <w:pPr>
              <w:spacing w:after="0"/>
              <w:rPr>
                <w:sz w:val="19"/>
                <w:szCs w:val="19"/>
                <w:color w:val="auto"/>
              </w:rPr>
            </w:pPr>
          </w:p>
        </w:tc>
      </w:tr>
      <w:tr>
        <w:trPr>
          <w:trHeight w:val="372"/>
        </w:trPr>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89"/>
              </w:rPr>
              <w:t>Christopher B. Heald</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and Chief Accounting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0"/>
              </w:rPr>
              <w:t>Christopher B. Heald</w:t>
            </w:r>
          </w:p>
        </w:tc>
        <w:tc>
          <w:tcPr>
            <w:tcW w:w="120" w:type="dxa"/>
            <w:vAlign w:val="bottom"/>
          </w:tcPr>
          <w:p>
            <w:pPr>
              <w:spacing w:after="0"/>
              <w:rPr>
                <w:sz w:val="19"/>
                <w:szCs w:val="19"/>
                <w:color w:val="auto"/>
              </w:rPr>
            </w:pPr>
          </w:p>
        </w:tc>
        <w:tc>
          <w:tcPr>
            <w:tcW w:w="6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Accounting Officer)</w:t>
            </w:r>
          </w:p>
        </w:tc>
        <w:tc>
          <w:tcPr>
            <w:tcW w:w="2480" w:type="dxa"/>
            <w:vAlign w:val="bottom"/>
          </w:tcPr>
          <w:p>
            <w:pPr>
              <w:spacing w:after="0"/>
              <w:rPr>
                <w:sz w:val="19"/>
                <w:szCs w:val="19"/>
                <w:color w:val="auto"/>
              </w:rPr>
            </w:pPr>
          </w:p>
        </w:tc>
      </w:tr>
      <w:tr>
        <w:trPr>
          <w:trHeight w:val="373"/>
        </w:trPr>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89"/>
              </w:rPr>
              <w:t>Douglas R. Casella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88"/>
              </w:rPr>
              <w:t>Douglas R. Casella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3"/>
              </w:rPr>
              <w:t>/s/</w:t>
            </w: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87"/>
              </w:rPr>
              <w:t>Joseph G. Doody</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620" w:type="dxa"/>
            <w:vAlign w:val="bottom"/>
          </w:tcPr>
          <w:p>
            <w:pPr>
              <w:spacing w:after="0"/>
              <w:rPr>
                <w:sz w:val="19"/>
                <w:szCs w:val="19"/>
                <w:color w:val="auto"/>
              </w:rPr>
            </w:pPr>
          </w:p>
        </w:tc>
        <w:tc>
          <w:tcPr>
            <w:tcW w:w="1840" w:type="dxa"/>
            <w:vAlign w:val="bottom"/>
          </w:tcPr>
          <w:p>
            <w:pPr>
              <w:jc w:val="center"/>
              <w:ind w:right="533"/>
              <w:spacing w:after="0"/>
              <w:rPr>
                <w:sz w:val="20"/>
                <w:szCs w:val="20"/>
                <w:color w:val="auto"/>
              </w:rPr>
            </w:pPr>
            <w:r>
              <w:rPr>
                <w:rFonts w:ascii="Arial" w:cs="Arial" w:eastAsia="Arial" w:hAnsi="Arial"/>
                <w:sz w:val="18"/>
                <w:szCs w:val="18"/>
                <w:color w:val="auto"/>
                <w:w w:val="87"/>
              </w:rPr>
              <w:t>Joseph G. Doody</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91"/>
              </w:rPr>
              <w:t>Rose Stuckey Kirk</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1"/>
              </w:rPr>
              <w:t>Rose Stuckey Kirk</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533"/>
              <w:spacing w:after="0"/>
              <w:rPr>
                <w:sz w:val="20"/>
                <w:szCs w:val="20"/>
                <w:color w:val="auto"/>
              </w:rPr>
            </w:pPr>
            <w:r>
              <w:rPr>
                <w:rFonts w:ascii="Arial" w:cs="Arial" w:eastAsia="Arial" w:hAnsi="Arial"/>
                <w:sz w:val="18"/>
                <w:szCs w:val="18"/>
                <w:color w:val="auto"/>
                <w:w w:val="96"/>
              </w:rPr>
              <w:t>/s/  Gary Sova</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620" w:type="dxa"/>
            <w:vAlign w:val="bottom"/>
          </w:tcPr>
          <w:p>
            <w:pPr>
              <w:spacing w:after="0"/>
              <w:rPr>
                <w:sz w:val="19"/>
                <w:szCs w:val="19"/>
                <w:color w:val="auto"/>
              </w:rPr>
            </w:pPr>
          </w:p>
        </w:tc>
        <w:tc>
          <w:tcPr>
            <w:tcW w:w="1840" w:type="dxa"/>
            <w:vAlign w:val="bottom"/>
          </w:tcPr>
          <w:p>
            <w:pPr>
              <w:jc w:val="center"/>
              <w:ind w:right="513"/>
              <w:spacing w:after="0"/>
              <w:rPr>
                <w:sz w:val="20"/>
                <w:szCs w:val="20"/>
                <w:color w:val="auto"/>
              </w:rPr>
            </w:pPr>
            <w:r>
              <w:rPr>
                <w:rFonts w:ascii="Arial" w:cs="Arial" w:eastAsia="Arial" w:hAnsi="Arial"/>
                <w:sz w:val="18"/>
                <w:szCs w:val="18"/>
                <w:color w:val="auto"/>
                <w:w w:val="89"/>
              </w:rPr>
              <w:t>Gary Sova</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184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color w:val="auto"/>
                <w:w w:val="93"/>
              </w:rPr>
              <w:t>William P. Hulligan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3"/>
              </w:rPr>
              <w:t>William P. Hulligan</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4"/>
              </w:rPr>
              <w:t>/s/</w:t>
            </w: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92"/>
              </w:rPr>
              <w:t>Michael K. Burke</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4"/>
              </w:rPr>
              <w:t>Michael K. Burke</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3"/>
        </w:trPr>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Michael L. Battles</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r>
        <w:trPr>
          <w:trHeight w:val="219"/>
        </w:trPr>
        <w:tc>
          <w:tcPr>
            <w:tcW w:w="2460" w:type="dxa"/>
            <w:vAlign w:val="bottom"/>
            <w:gridSpan w:val="2"/>
          </w:tcPr>
          <w:p>
            <w:pPr>
              <w:jc w:val="center"/>
              <w:spacing w:after="0"/>
              <w:rPr>
                <w:sz w:val="20"/>
                <w:szCs w:val="20"/>
                <w:color w:val="auto"/>
              </w:rPr>
            </w:pPr>
            <w:r>
              <w:rPr>
                <w:rFonts w:ascii="Arial" w:cs="Arial" w:eastAsia="Arial" w:hAnsi="Arial"/>
                <w:sz w:val="18"/>
                <w:szCs w:val="18"/>
                <w:color w:val="auto"/>
                <w:w w:val="92"/>
              </w:rPr>
              <w:t>Michael L. Battles</w:t>
            </w:r>
          </w:p>
        </w:tc>
        <w:tc>
          <w:tcPr>
            <w:tcW w:w="1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72"/>
        </w:trPr>
        <w:tc>
          <w:tcPr>
            <w:tcW w:w="620" w:type="dxa"/>
            <w:vAlign w:val="bottom"/>
          </w:tcPr>
          <w:p>
            <w:pPr>
              <w:ind w:left="380"/>
              <w:spacing w:after="0"/>
              <w:rPr>
                <w:sz w:val="20"/>
                <w:szCs w:val="20"/>
                <w:color w:val="auto"/>
              </w:rPr>
            </w:pPr>
            <w:r>
              <w:rPr>
                <w:rFonts w:ascii="Arial" w:cs="Arial" w:eastAsia="Arial" w:hAnsi="Arial"/>
                <w:sz w:val="18"/>
                <w:szCs w:val="18"/>
                <w:color w:val="auto"/>
              </w:rPr>
              <w:t>/s/</w:t>
            </w:r>
          </w:p>
        </w:tc>
        <w:tc>
          <w:tcPr>
            <w:tcW w:w="1840" w:type="dxa"/>
            <w:vAlign w:val="bottom"/>
          </w:tcPr>
          <w:p>
            <w:pPr>
              <w:jc w:val="center"/>
              <w:ind w:right="173"/>
              <w:spacing w:after="0"/>
              <w:rPr>
                <w:sz w:val="20"/>
                <w:szCs w:val="20"/>
                <w:color w:val="auto"/>
              </w:rPr>
            </w:pPr>
            <w:r>
              <w:rPr>
                <w:rFonts w:ascii="Arial" w:cs="Arial" w:eastAsia="Arial" w:hAnsi="Arial"/>
                <w:sz w:val="18"/>
                <w:szCs w:val="18"/>
                <w:color w:val="auto"/>
                <w:w w:val="91"/>
              </w:rPr>
              <w:t>Emily Nagle Green</w:t>
            </w:r>
          </w:p>
        </w:tc>
        <w:tc>
          <w:tcPr>
            <w:tcW w:w="12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February 18,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5621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Emily Nagle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40" w:type="dxa"/>
            <w:vAlign w:val="bottom"/>
            <w:tcBorders>
              <w:bottom w:val="single" w:sz="8" w:color="CCEEFF"/>
            </w:tcBorders>
          </w:tcPr>
          <w:p>
            <w:pPr>
              <w:spacing w:after="0"/>
              <w:rPr>
                <w:sz w:val="16"/>
                <w:szCs w:val="16"/>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25"/>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171 Church Street,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AGreen Energy,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All Cycle Waste,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BGreen Energy,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Blow Bros.</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Bristol Waste Management,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C.V. Landfill,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Casella Major Account Services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Casella of Holyoke,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Casella Recycling,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Casella Transportation,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Casella Waste Management of Massachusetts,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Casella Waste Management of N.Y.,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Casella Waste Management of Pennsylvania,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Pennsylvania</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Casella Waste Management,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Casella Waste Services of Ontario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Chemung Landfill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Evergreen National Indemnity Company</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Ohio</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Forest Acquisitions,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New Hampshire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Granite State Landfill,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New Hampshire</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GreenerU,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GroundCo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Hakes C &amp; D Disposal,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Hardwick Landfill,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Hiram Hollow Regeneration Corp.</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KTI Environmental Group,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KTI Specialty Waste Services,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KTI, Inc.</w:t>
            </w:r>
          </w:p>
        </w:tc>
        <w:tc>
          <w:tcPr>
            <w:tcW w:w="554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New England Waste Services of ME,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New England Waste Services of N.Y.,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New England Waste Services of Vermont,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New England Waste Services,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Newbury Waste Management,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NEWS of Worcester LLC</w:t>
            </w:r>
          </w:p>
        </w:tc>
        <w:tc>
          <w:tcPr>
            <w:tcW w:w="554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NEWSME Landfill Operations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North Country Environmental Services,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Northern Properties Corporation of Plattsburgh</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North Rd,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Oxford Transfer Station,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Pine Tree Waste,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Portland C&amp;D Site,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Schultz Landfill,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Southbridge Recycling &amp; Disposal Park,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Massachusetts</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Sunderland Waste Management,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TAM,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TAM Organics, LLC</w:t>
            </w: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TAM Recycling,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The Hyland Facility Associates</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Tompkins County Recycling LLC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r>
      <w:tr>
        <w:trPr>
          <w:trHeight w:val="225"/>
        </w:trPr>
        <w:tc>
          <w:tcPr>
            <w:tcW w:w="56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Waste-Stream Inc.</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27"/>
        </w:trPr>
        <w:tc>
          <w:tcPr>
            <w:tcW w:w="5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Willimantic Waste Paper Co., Inc.</w:t>
            </w:r>
          </w:p>
        </w:tc>
        <w:tc>
          <w:tcPr>
            <w:tcW w:w="5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Connecticut</w:t>
            </w:r>
          </w:p>
        </w:tc>
      </w:tr>
    </w:tbl>
    <w:p>
      <w:pPr>
        <w:sectPr>
          <w:pgSz w:w="11900" w:h="16838" w:orient="portrait"/>
          <w:cols w:equalWidth="0" w:num="1">
            <w:col w:w="11240"/>
          </w:cols>
          <w:pgMar w:left="320" w:top="87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Statements on Form S-8 (Nos. 333-40267, 333-43537, 333-43539, 333-43541, 333-43543, 333-43635, 333-67487, 333-92735, 333-31022, 333-100553, 333-141038, 333-163645, 333-175010, 333-199685 and 333-214683) and on Form S-3 (Nos. 333-85279, 333-88097, 333-95841, 333-31268, and 333-260602) of Casella Waste Systems, Inc. of our report dated February 18, 2022, relating to the consolidated financial statements, and the effectiveness of internal control over financial reporting of Casella Waste Systems, Inc. and subsidiaries, appearing in the Annual Report on Form 10-K of Casella Waste Systems, Inc. for the year ended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ectPr>
          <w:pgSz w:w="11900" w:h="16838" w:orient="portrait"/>
          <w:cols w:equalWidth="0" w:num="1">
            <w:col w:w="11240"/>
          </w:cols>
          <w:pgMar w:left="320" w:top="87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2" w:lineRule="exact"/>
        <w:rPr>
          <w:sz w:val="20"/>
          <w:szCs w:val="20"/>
          <w:color w:val="auto"/>
        </w:rPr>
      </w:pPr>
    </w:p>
    <w:p>
      <w:pPr>
        <w:ind w:left="640" w:hanging="235"/>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2" w:lineRule="exact"/>
        <w:rPr>
          <w:rFonts w:ascii="Arial" w:cs="Arial" w:eastAsia="Arial" w:hAnsi="Arial"/>
          <w:sz w:val="18"/>
          <w:szCs w:val="18"/>
          <w:color w:val="auto"/>
        </w:rPr>
      </w:pPr>
    </w:p>
    <w:p>
      <w:pPr>
        <w:jc w:val="center"/>
        <w:ind w:left="400" w:right="40" w:firstLine="5"/>
        <w:spacing w:after="0" w:line="396" w:lineRule="auto"/>
        <w:tabs>
          <w:tab w:leader="none" w:pos="639" w:val="left"/>
        </w:tabs>
        <w:numPr>
          <w:ilvl w:val="0"/>
          <w:numId w:val="7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00" w:right="260" w:firstLine="5"/>
        <w:spacing w:after="0" w:line="296" w:lineRule="auto"/>
        <w:tabs>
          <w:tab w:leader="none" w:pos="639"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400" w:right="100" w:firstLine="5"/>
        <w:spacing w:after="0" w:line="256"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jc w:val="both"/>
        <w:ind w:left="400" w:right="80" w:firstLine="484"/>
        <w:spacing w:after="0" w:line="256" w:lineRule="auto"/>
        <w:tabs>
          <w:tab w:leader="none" w:pos="12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400" w:right="300" w:firstLine="484"/>
        <w:spacing w:after="0" w:line="256" w:lineRule="auto"/>
        <w:tabs>
          <w:tab w:leader="none" w:pos="12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400" w:right="420" w:firstLine="484"/>
        <w:spacing w:after="0" w:line="329" w:lineRule="auto"/>
        <w:tabs>
          <w:tab w:leader="none" w:pos="126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400" w:right="20" w:firstLine="484"/>
        <w:spacing w:after="0" w:line="256" w:lineRule="auto"/>
        <w:tabs>
          <w:tab w:leader="none" w:pos="12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00" w:right="180" w:firstLine="5"/>
        <w:spacing w:after="0" w:line="329" w:lineRule="auto"/>
        <w:tabs>
          <w:tab w:leader="none" w:pos="6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400" w:right="620" w:firstLine="484"/>
        <w:spacing w:after="0" w:line="296" w:lineRule="auto"/>
        <w:tabs>
          <w:tab w:leader="none" w:pos="1269" w:val="left"/>
        </w:tabs>
        <w:numPr>
          <w:ilvl w:val="1"/>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400" w:right="320" w:firstLine="484"/>
        <w:spacing w:after="0" w:line="266" w:lineRule="auto"/>
        <w:tabs>
          <w:tab w:leader="none" w:pos="12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580" w:type="dxa"/>
            <w:vAlign w:val="bottom"/>
          </w:tcPr>
          <w:p>
            <w:pPr>
              <w:spacing w:after="0"/>
              <w:rPr>
                <w:sz w:val="20"/>
                <w:szCs w:val="20"/>
                <w:color w:val="auto"/>
              </w:rPr>
            </w:pPr>
            <w:r>
              <w:rPr>
                <w:rFonts w:ascii="Arial" w:cs="Arial" w:eastAsia="Arial" w:hAnsi="Arial"/>
                <w:sz w:val="18"/>
                <w:szCs w:val="18"/>
                <w:color w:val="auto"/>
              </w:rPr>
              <w:t>Date: February 18,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19"/>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26"/>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26"/>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7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2" w:lineRule="exact"/>
        <w:rPr>
          <w:sz w:val="20"/>
          <w:szCs w:val="20"/>
          <w:color w:val="auto"/>
        </w:rPr>
      </w:pPr>
    </w:p>
    <w:p>
      <w:pPr>
        <w:ind w:left="640" w:hanging="235"/>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2" w:lineRule="exact"/>
        <w:rPr>
          <w:rFonts w:ascii="Arial" w:cs="Arial" w:eastAsia="Arial" w:hAnsi="Arial"/>
          <w:sz w:val="18"/>
          <w:szCs w:val="18"/>
          <w:color w:val="auto"/>
        </w:rPr>
      </w:pPr>
    </w:p>
    <w:p>
      <w:pPr>
        <w:jc w:val="center"/>
        <w:ind w:left="400" w:right="40" w:firstLine="5"/>
        <w:spacing w:after="0" w:line="396" w:lineRule="auto"/>
        <w:tabs>
          <w:tab w:leader="none" w:pos="639"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00" w:right="260" w:firstLine="5"/>
        <w:spacing w:after="0" w:line="296" w:lineRule="auto"/>
        <w:tabs>
          <w:tab w:leader="none" w:pos="639"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400" w:right="100" w:firstLine="5"/>
        <w:spacing w:after="0" w:line="256" w:lineRule="auto"/>
        <w:tabs>
          <w:tab w:leader="none" w:pos="6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jc w:val="both"/>
        <w:ind w:left="400" w:right="80" w:firstLine="484"/>
        <w:spacing w:after="0" w:line="256" w:lineRule="auto"/>
        <w:tabs>
          <w:tab w:leader="none" w:pos="1269"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400" w:right="300" w:firstLine="484"/>
        <w:spacing w:after="0" w:line="256" w:lineRule="auto"/>
        <w:tabs>
          <w:tab w:leader="none" w:pos="12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400" w:right="420" w:firstLine="484"/>
        <w:spacing w:after="0" w:line="329" w:lineRule="auto"/>
        <w:tabs>
          <w:tab w:leader="none" w:pos="1269"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6"/>
          <w:szCs w:val="16"/>
          <w:color w:val="auto"/>
        </w:rPr>
      </w:pPr>
    </w:p>
    <w:p>
      <w:pPr>
        <w:ind w:left="400" w:right="20" w:firstLine="484"/>
        <w:spacing w:after="0" w:line="256" w:lineRule="auto"/>
        <w:tabs>
          <w:tab w:leader="none" w:pos="12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00" w:right="180" w:firstLine="5"/>
        <w:spacing w:after="0" w:line="329" w:lineRule="auto"/>
        <w:tabs>
          <w:tab w:leader="none" w:pos="63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400" w:right="620" w:firstLine="484"/>
        <w:spacing w:after="0" w:line="296" w:lineRule="auto"/>
        <w:tabs>
          <w:tab w:leader="none" w:pos="1269"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400" w:right="320" w:firstLine="484"/>
        <w:spacing w:after="0" w:line="266" w:lineRule="auto"/>
        <w:tabs>
          <w:tab w:leader="none" w:pos="126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25"/>
        </w:trPr>
        <w:tc>
          <w:tcPr>
            <w:tcW w:w="4380" w:type="dxa"/>
            <w:vAlign w:val="bottom"/>
          </w:tcPr>
          <w:p>
            <w:pPr>
              <w:spacing w:after="0"/>
              <w:rPr>
                <w:sz w:val="20"/>
                <w:szCs w:val="20"/>
                <w:color w:val="auto"/>
              </w:rPr>
            </w:pPr>
            <w:r>
              <w:rPr>
                <w:rFonts w:ascii="Arial" w:cs="Arial" w:eastAsia="Arial" w:hAnsi="Arial"/>
                <w:sz w:val="18"/>
                <w:szCs w:val="18"/>
                <w:color w:val="auto"/>
              </w:rPr>
              <w:t>Date: February 18, 2022</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19"/>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26"/>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26"/>
        </w:trPr>
        <w:tc>
          <w:tcPr>
            <w:tcW w:w="438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7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§1350</w:t>
      </w:r>
    </w:p>
    <w:p>
      <w:pPr>
        <w:spacing w:after="0" w:line="200" w:lineRule="exact"/>
        <w:rPr>
          <w:sz w:val="20"/>
          <w:szCs w:val="20"/>
          <w:color w:val="auto"/>
        </w:rPr>
      </w:pPr>
    </w:p>
    <w:p>
      <w:pPr>
        <w:spacing w:after="0" w:line="290" w:lineRule="exact"/>
        <w:rPr>
          <w:sz w:val="20"/>
          <w:szCs w:val="20"/>
          <w:color w:val="auto"/>
        </w:rPr>
      </w:pPr>
    </w:p>
    <w:p>
      <w:pPr>
        <w:ind w:right="60" w:firstLine="319"/>
        <w:spacing w:after="0" w:line="278"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fiscal year ended December 31, 2021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By: /s/ John W. Casella</w:t>
            </w:r>
          </w:p>
        </w:tc>
      </w:tr>
      <w:tr>
        <w:trPr>
          <w:trHeight w:val="219"/>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color w:val="auto"/>
                <w:w w:val="86"/>
              </w:rPr>
              <w:t>John W. Casella</w:t>
            </w:r>
          </w:p>
        </w:tc>
      </w:tr>
      <w:tr>
        <w:trPr>
          <w:trHeight w:val="226"/>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i w:val="1"/>
                <w:iCs w:val="1"/>
                <w:color w:val="auto"/>
                <w:w w:val="90"/>
              </w:rPr>
              <w:t>Chairman and Chief Executive Officer</w:t>
            </w:r>
          </w:p>
        </w:tc>
      </w:tr>
      <w:tr>
        <w:trPr>
          <w:trHeight w:val="226"/>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i w:val="1"/>
                <w:iCs w:val="1"/>
                <w:color w:val="auto"/>
                <w:w w:val="92"/>
              </w:rPr>
              <w:t>(Principal Executive Officer)</w:t>
            </w:r>
          </w:p>
        </w:tc>
      </w:tr>
      <w:tr>
        <w:trPr>
          <w:trHeight w:val="493"/>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By: /s/ Edmond R. Coletta</w:t>
            </w:r>
          </w:p>
        </w:tc>
      </w:tr>
      <w:tr>
        <w:trPr>
          <w:trHeight w:val="219"/>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color w:val="auto"/>
                <w:w w:val="90"/>
              </w:rPr>
              <w:t>Edmond R. Coletta</w:t>
            </w:r>
          </w:p>
        </w:tc>
      </w:tr>
      <w:tr>
        <w:trPr>
          <w:trHeight w:val="226"/>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i w:val="1"/>
                <w:iCs w:val="1"/>
                <w:color w:val="auto"/>
                <w:w w:val="90"/>
              </w:rPr>
              <w:t>Senior Vice President and Chief Financial Officer</w:t>
            </w:r>
          </w:p>
        </w:tc>
      </w:tr>
      <w:tr>
        <w:trPr>
          <w:trHeight w:val="226"/>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93"/>
        </w:trPr>
        <w:tc>
          <w:tcPr>
            <w:tcW w:w="5360" w:type="dxa"/>
            <w:vAlign w:val="bottom"/>
          </w:tcPr>
          <w:p>
            <w:pPr>
              <w:spacing w:after="0"/>
              <w:rPr>
                <w:sz w:val="20"/>
                <w:szCs w:val="20"/>
                <w:color w:val="auto"/>
              </w:rPr>
            </w:pPr>
            <w:r>
              <w:rPr>
                <w:rFonts w:ascii="Arial" w:cs="Arial" w:eastAsia="Arial" w:hAnsi="Arial"/>
                <w:sz w:val="18"/>
                <w:szCs w:val="18"/>
                <w:color w:val="auto"/>
              </w:rPr>
              <w:t>Date: February 18, 2022</w:t>
            </w:r>
          </w:p>
        </w:tc>
        <w:tc>
          <w:tcPr>
            <w:tcW w:w="4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By: /s/ Christopher B. Heald</w:t>
            </w:r>
          </w:p>
        </w:tc>
      </w:tr>
      <w:tr>
        <w:trPr>
          <w:trHeight w:val="219"/>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color w:val="auto"/>
                <w:w w:val="89"/>
              </w:rPr>
              <w:t>Christopher B. Heald</w:t>
            </w:r>
          </w:p>
        </w:tc>
      </w:tr>
      <w:tr>
        <w:trPr>
          <w:trHeight w:val="226"/>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i w:val="1"/>
                <w:iCs w:val="1"/>
                <w:color w:val="auto"/>
                <w:w w:val="89"/>
              </w:rPr>
              <w:t>Vice President and Chief Accounting Officer</w:t>
            </w:r>
          </w:p>
        </w:tc>
      </w:tr>
      <w:tr>
        <w:trPr>
          <w:trHeight w:val="226"/>
        </w:trPr>
        <w:tc>
          <w:tcPr>
            <w:tcW w:w="5360" w:type="dxa"/>
            <w:vAlign w:val="bottom"/>
          </w:tcPr>
          <w:p>
            <w:pPr>
              <w:spacing w:after="0"/>
              <w:rPr>
                <w:sz w:val="19"/>
                <w:szCs w:val="19"/>
                <w:color w:val="auto"/>
              </w:rPr>
            </w:pPr>
          </w:p>
        </w:tc>
        <w:tc>
          <w:tcPr>
            <w:tcW w:w="4500" w:type="dxa"/>
            <w:vAlign w:val="bottom"/>
          </w:tcPr>
          <w:p>
            <w:pPr>
              <w:jc w:val="center"/>
              <w:ind w:left="231"/>
              <w:spacing w:after="0"/>
              <w:rPr>
                <w:sz w:val="20"/>
                <w:szCs w:val="20"/>
                <w:color w:val="auto"/>
              </w:rPr>
            </w:pPr>
            <w:r>
              <w:rPr>
                <w:rFonts w:ascii="Arial" w:cs="Arial" w:eastAsia="Arial" w:hAnsi="Arial"/>
                <w:sz w:val="18"/>
                <w:szCs w:val="18"/>
                <w:i w:val="1"/>
                <w:iCs w:val="1"/>
                <w:color w:val="auto"/>
                <w:w w:val="93"/>
              </w:rPr>
              <w:t>(Principal Accounting Officer)</w:t>
            </w:r>
          </w:p>
        </w:tc>
      </w:tr>
    </w:tbl>
    <w:p>
      <w:pPr>
        <w:spacing w:after="0" w:line="1" w:lineRule="exact"/>
        <w:rPr>
          <w:sz w:val="20"/>
          <w:szCs w:val="20"/>
          <w:color w:val="auto"/>
        </w:rPr>
      </w:pP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decimal"/>
      <w:start w:val="2"/>
    </w:lvl>
    <w:lvl w:ilvl="1">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lvl w:ilvl="1">
      <w:lvlJc w:val="left"/>
      <w:lvlText w:val="▪"/>
      <w:numFmt w:val="bullet"/>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3"/>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5"/>
    </w:lvl>
  </w:abstractNum>
  <w:abstractNum w:abstractNumId="44">
    <w:nsid w:val="61574095"/>
    <w:multiLevelType w:val="hybridMultilevel"/>
    <w:lvl w:ilvl="0">
      <w:lvlJc w:val="left"/>
      <w:lvlText w:val="%1."/>
      <w:numFmt w:val="decimal"/>
      <w:start w:val="9"/>
    </w:lvl>
  </w:abstractNum>
  <w:abstractNum w:abstractNumId="45">
    <w:nsid w:val="7E0C57B1"/>
    <w:multiLevelType w:val="hybridMultilevel"/>
    <w:lvl w:ilvl="0">
      <w:lvlJc w:val="left"/>
      <w:lvlText w:val="%1."/>
      <w:numFmt w:val="decimal"/>
      <w:start w:val="10"/>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decimal"/>
      <w:start w:val="1"/>
    </w:lvl>
    <w:lvl w:ilvl="1">
      <w:lvlJc w:val="left"/>
      <w:lvlText w:val="(%2)"/>
      <w:numFmt w:val="decimal"/>
      <w:start w:val="1"/>
    </w:lvl>
  </w:abstractNum>
  <w:abstractNum w:abstractNumId="56">
    <w:nsid w:val="5DB70AE5"/>
    <w:multiLevelType w:val="hybridMultilevel"/>
    <w:lvl w:ilvl="0">
      <w:lvlJc w:val="left"/>
      <w:lvlText w:val="%1."/>
      <w:numFmt w:val="decimal"/>
      <w:start w:val="11"/>
    </w:lvl>
    <w:lvl w:ilvl="1">
      <w:lvlJc w:val="left"/>
      <w:lvlText w:val="%2"/>
      <w:numFmt w:val="decimal"/>
      <w:start w:val="1"/>
    </w:lvl>
  </w:abstractNum>
  <w:abstractNum w:abstractNumId="57">
    <w:nsid w:val="100F8FCA"/>
    <w:multiLevelType w:val="hybridMultilevel"/>
    <w:lvl w:ilvl="0">
      <w:lvlJc w:val="left"/>
      <w:lvlText w:val="\emdash "/>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2"/>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3"/>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decimal"/>
      <w:start w:val="14"/>
    </w:lvl>
  </w:abstractNum>
  <w:abstractNum w:abstractNumId="66">
    <w:nsid w:val="1EBA5D23"/>
    <w:multiLevelType w:val="hybridMultilevel"/>
    <w:lvl w:ilvl="0">
      <w:lvlJc w:val="left"/>
      <w:lvlText w:val="%1."/>
      <w:numFmt w:val="decimal"/>
      <w:start w:val="15"/>
    </w:lvl>
  </w:abstractNum>
  <w:abstractNum w:abstractNumId="67">
    <w:nsid w:val="661E3F1E"/>
    <w:multiLevelType w:val="hybridMultilevel"/>
    <w:lvl w:ilvl="0">
      <w:lvlJc w:val="left"/>
      <w:lvlText w:val="(%1)"/>
      <w:numFmt w:val="lowerRoman"/>
      <w:start w:val="1"/>
    </w:lvl>
  </w:abstractNum>
  <w:abstractNum w:abstractNumId="68">
    <w:nsid w:val="5DC79EA8"/>
    <w:multiLevelType w:val="hybridMultilevel"/>
    <w:lvl w:ilvl="0">
      <w:lvlJc w:val="left"/>
      <w:lvlText w:val="%1."/>
      <w:numFmt w:val="decimal"/>
      <w:start w:val="16"/>
    </w:lvl>
  </w:abstractNum>
  <w:abstractNum w:abstractNumId="69">
    <w:nsid w:val="540A471C"/>
    <w:multiLevelType w:val="hybridMultilevel"/>
    <w:lvl w:ilvl="0">
      <w:lvlJc w:val="left"/>
      <w:lvlText w:val="%1."/>
      <w:numFmt w:val="decimal"/>
      <w:start w:val="17"/>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decimal"/>
      <w:start w:val="18"/>
    </w:lvl>
  </w:abstractNum>
  <w:abstractNum w:abstractNumId="72">
    <w:nsid w:val="613EFDC5"/>
    <w:multiLevelType w:val="hybridMultilevel"/>
    <w:lvl w:ilvl="0">
      <w:lvlJc w:val="left"/>
      <w:lvlText w:val="%1."/>
      <w:numFmt w:val="decimal"/>
      <w:start w:val="20"/>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5"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175" Type="http://schemas.openxmlformats.org/officeDocument/2006/relationships/hyperlink" Target="http://www.sec.gov/Archives/edgar/data/911177/000104746907009844/a2181401zex-3_1.htm" TargetMode="External"/><Relationship Id="rId176" Type="http://schemas.openxmlformats.org/officeDocument/2006/relationships/hyperlink" Target="https://www.sec.gov/Archives/edgar/data/911177/000091117721000009/cwst-ex032123120.htm" TargetMode="External"/><Relationship Id="rId177" Type="http://schemas.openxmlformats.org/officeDocument/2006/relationships/hyperlink" Target="http://www.sec.gov/Archives/edgar/data/911177/0001029869-97-001166.txt" TargetMode="External"/><Relationship Id="rId178" Type="http://schemas.openxmlformats.org/officeDocument/2006/relationships/hyperlink" Target="http://www.sec.gov/Archives/edgar/data/911177/000091205700038357/ex-4_1.txt" TargetMode="External"/><Relationship Id="rId179" Type="http://schemas.openxmlformats.org/officeDocument/2006/relationships/hyperlink" Target="https://www.sec.gov/Archives/edgar/data/911177/000091117721000009/cwst-ex043123120final.htm" TargetMode="External"/><Relationship Id="rId180" Type="http://schemas.openxmlformats.org/officeDocument/2006/relationships/hyperlink" Target="http://www.sec.gov/Archives/edgar/data/911177/000119312515305083/d68513dex41.htm" TargetMode="External"/><Relationship Id="rId181" Type="http://schemas.openxmlformats.org/officeDocument/2006/relationships/hyperlink" Target="http://www.sec.gov/Archives/edgar/data/911177/000119312515305083/d68513dex42.htm" TargetMode="External"/><Relationship Id="rId182" Type="http://schemas.openxmlformats.org/officeDocument/2006/relationships/hyperlink" Target="http://www.sec.gov/Archives/edgar/data/911177/000119312514446866/d839310dex41.htm" TargetMode="External"/><Relationship Id="rId183" Type="http://schemas.openxmlformats.org/officeDocument/2006/relationships/hyperlink" Target="http://www.sec.gov/Archives/edgar/data/911177/000119312516611235/d202767dex41.htm" TargetMode="External"/><Relationship Id="rId184" Type="http://schemas.openxmlformats.org/officeDocument/2006/relationships/hyperlink" Target="http://www.sec.gov/Archives/edgar/data/911177/000119312514373867/d805861dex101.htm" TargetMode="External"/><Relationship Id="rId187" Type="http://schemas.openxmlformats.org/officeDocument/2006/relationships/hyperlink" Target="http://www.sec.gov/Archives/edgar/data/911177/000119312513144248/d516725dex101.htm" TargetMode="External"/><Relationship Id="rId188" Type="http://schemas.openxmlformats.org/officeDocument/2006/relationships/hyperlink" Target="http://www.sec.gov/Archives/edgar/data/911177/000119312514251471/d708462dex48.htm" TargetMode="External"/><Relationship Id="rId189" Type="http://schemas.openxmlformats.org/officeDocument/2006/relationships/hyperlink" Target="http://www.sec.gov/Archives/edgar/data/911177/000119312513144248/d516725dex102.htm" TargetMode="External"/><Relationship Id="rId190" Type="http://schemas.openxmlformats.org/officeDocument/2006/relationships/hyperlink" Target="http://www.sec.gov/Archives/edgar/data/911177/000110465906000398/a05-22599_1ex10d1.htm" TargetMode="External"/><Relationship Id="rId191" Type="http://schemas.openxmlformats.org/officeDocument/2006/relationships/hyperlink" Target="http://www.sec.gov/Archives/edgar/data/911177/000141057812000058/a12-2158_1ex10d1.htm" TargetMode="External"/><Relationship Id="rId192" Type="http://schemas.openxmlformats.org/officeDocument/2006/relationships/hyperlink" Target="http://www.sec.gov/Archives/edgar/data/911177/000091117717000010/cwst17-0207_x8kex4d2.htm" TargetMode="External"/><Relationship Id="rId193" Type="http://schemas.openxmlformats.org/officeDocument/2006/relationships/hyperlink" Target="http://www.sec.gov/Archives/edgar/data/911177/000091117717000010/cwst17-0207_x8kex4d1.htm" TargetMode="External"/><Relationship Id="rId194" Type="http://schemas.openxmlformats.org/officeDocument/2006/relationships/hyperlink" Target="https://www.sec.gov/Archives/edgar/data/911177/000091117720000074/exhibit41loanagreement.htm" TargetMode="External"/><Relationship Id="rId195" Type="http://schemas.openxmlformats.org/officeDocument/2006/relationships/hyperlink" Target="https://www.sec.gov/Archives/edgar/data/911177/000091117720000074/exhibit42guarantyagree.htm" TargetMode="External"/><Relationship Id="rId196" Type="http://schemas.openxmlformats.org/officeDocument/2006/relationships/hyperlink" Target="http://www.sec.gov/Archives/edgar/data/911177/0001029869-97-000958.txt" TargetMode="External"/><Relationship Id="rId197" Type="http://schemas.openxmlformats.org/officeDocument/2006/relationships/hyperlink" Target="http://www.sec.gov/Archives/edgar/data/911177/0001029869-98-000841.txt" TargetMode="External"/><Relationship Id="rId198" Type="http://schemas.openxmlformats.org/officeDocument/2006/relationships/hyperlink" Target="http://www.sec.gov/Archives/edgar/data/911177/000119312514251471/d708462dex107.htm" TargetMode="External"/><Relationship Id="rId199" Type="http://schemas.openxmlformats.org/officeDocument/2006/relationships/hyperlink" Target="http://www.sec.gov/Archives/edgar/data/911177/000119312514251471/d708462dex109.htm" TargetMode="External"/><Relationship Id="rId202" Type="http://schemas.openxmlformats.org/officeDocument/2006/relationships/hyperlink" Target="http://www.sec.gov/Archives/edgar/data/911177/000107261300000765/0001072613-00-000765-0002.txt" TargetMode="External"/><Relationship Id="rId203" Type="http://schemas.openxmlformats.org/officeDocument/2006/relationships/hyperlink" Target="http://www.sec.gov/Archives/edgar/data/911177/000110465909015154/a09-6583_1ex10d3.htm" TargetMode="External"/><Relationship Id="rId204" Type="http://schemas.openxmlformats.org/officeDocument/2006/relationships/hyperlink" Target="http://www.sec.gov/Archives/edgar/data/911177/000119312516490223/d27133dex1013.htm" TargetMode="External"/><Relationship Id="rId205" Type="http://schemas.openxmlformats.org/officeDocument/2006/relationships/hyperlink" Target="http://www.sec.gov/Archives/edgar/data/911177/000119312514251471/d708462dex1014.htm" TargetMode="External"/><Relationship Id="rId206" Type="http://schemas.openxmlformats.org/officeDocument/2006/relationships/hyperlink" Target="http://www.sec.gov/Archives/edgar/data/911177/000119312514251471/d708462dex1015.htm" TargetMode="External"/><Relationship Id="rId207" Type="http://schemas.openxmlformats.org/officeDocument/2006/relationships/hyperlink" Target="http://www.sec.gov/Archives/edgar/data/911177/000119312514251471/d708462dex1016.htm" TargetMode="External"/><Relationship Id="rId208" Type="http://schemas.openxmlformats.org/officeDocument/2006/relationships/hyperlink" Target="http://www.sec.gov/Archives/edgar/data/911177/000119312514251471/d708462dex1017.htm" TargetMode="External"/><Relationship Id="rId209" Type="http://schemas.openxmlformats.org/officeDocument/2006/relationships/hyperlink" Target="http://www.sec.gov/Archives/edgar/data/911177/000119312514251471/d708462dex1018.htm" TargetMode="External"/><Relationship Id="rId210" Type="http://schemas.openxmlformats.org/officeDocument/2006/relationships/hyperlink" Target="http://www.sec.gov/Archives/edgar/data/911177/000119312514251471/d708462dex1019.htm" TargetMode="External"/><Relationship Id="rId211" Type="http://schemas.openxmlformats.org/officeDocument/2006/relationships/hyperlink" Target="http://www.sec.gov/Archives/edgar/data/911177/000110465908057068/a08-22715_1ex10d2.htm" TargetMode="External"/><Relationship Id="rId212" Type="http://schemas.openxmlformats.org/officeDocument/2006/relationships/hyperlink" Target="http://www.sec.gov/Archives/edgar/data/911177/000119312516495282/d137543dex102.htm" TargetMode="External"/><Relationship Id="rId213" Type="http://schemas.openxmlformats.org/officeDocument/2006/relationships/hyperlink" Target="http://www.sec.gov/Archives/edgar/data/911177/000119312516495282/d137543dex103.htm" TargetMode="External"/><Relationship Id="rId214" Type="http://schemas.openxmlformats.org/officeDocument/2006/relationships/hyperlink" Target="http://www.sec.gov/Archives/edgar/data/911177/000110465910047160/a10-16550_1ex10d1.htm" TargetMode="External"/><Relationship Id="rId215" Type="http://schemas.openxmlformats.org/officeDocument/2006/relationships/hyperlink" Target="http://www.sec.gov/Archives/edgar/data/911177/000119312514251471/d708462dex1026.htm" TargetMode="External"/><Relationship Id="rId216" Type="http://schemas.openxmlformats.org/officeDocument/2006/relationships/hyperlink" Target="http://www.sec.gov/Archives/edgar/data/911177/000119312514251471/d708462dex1028.htm" TargetMode="External"/><Relationship Id="rId217" Type="http://schemas.openxmlformats.org/officeDocument/2006/relationships/hyperlink" Target="http://www.sec.gov/Archives/edgar/data/911177/000119312516495282/d137543dex104.htm" TargetMode="External"/><Relationship Id="rId218" Type="http://schemas.openxmlformats.org/officeDocument/2006/relationships/hyperlink" Target="https://www.sec.gov/Archives/edgar/data/911177/000091117721000009/cwst-ex1025123120.htm" TargetMode="External"/><Relationship Id="rId221" Type="http://schemas.openxmlformats.org/officeDocument/2006/relationships/hyperlink" Target="https://www.sec.gov/Archives/edgar/data/911177/000091117721000009/cwst-ex1026123120.htm" TargetMode="External"/><Relationship Id="rId222" Type="http://schemas.openxmlformats.org/officeDocument/2006/relationships/hyperlink" Target="https://www.sec.gov/Archives/edgar/data/911177/000091117721000009/cwst-ex1027123120.htm" TargetMode="External"/><Relationship Id="rId223" Type="http://schemas.openxmlformats.org/officeDocument/2006/relationships/hyperlink" Target="https://www.sec.gov/Archives/edgar/data/911177/000091117721000048/cwst-ex101093021.htm" TargetMode="External"/><Relationship Id="rId224" Type="http://schemas.openxmlformats.org/officeDocument/2006/relationships/hyperlink" Target="http://www.sec.gov/Archives/edgar/data/911177/000119312514251471/d708462dex1029.htm" TargetMode="External"/><Relationship Id="rId225" Type="http://schemas.openxmlformats.org/officeDocument/2006/relationships/hyperlink" Target="http://www.sec.gov/Archives/edgar/data/911177/000119312516495282/d137543dex101.htm" TargetMode="External"/><Relationship Id="rId226" Type="http://schemas.openxmlformats.org/officeDocument/2006/relationships/hyperlink" Target="http://www.sec.gov/Archives/edgar/data/911177/000091117716000011/cwst16-1117_1s8xex99d1.htm" TargetMode="External"/><Relationship Id="rId227" Type="http://schemas.openxmlformats.org/officeDocument/2006/relationships/hyperlink" Target="http://www.sec.gov/Archives/edgar/data/911177/000091117716000015/cwst16-1122_8kxex10d1.htm" TargetMode="External"/><Relationship Id="rId228" Type="http://schemas.openxmlformats.org/officeDocument/2006/relationships/hyperlink" Target="http://www.sec.gov/Archives/edgar/data/911177/000091117716000015/cwst16-1122_8kxex10d2.htm" TargetMode="External"/><Relationship Id="rId229" Type="http://schemas.openxmlformats.org/officeDocument/2006/relationships/hyperlink" Target="http://www.sec.gov/Archives/edgar/data/911177/000091117716000015/cwst16-1122_8kxex10d3.htm" TargetMode="External"/><Relationship Id="rId230" Type="http://schemas.openxmlformats.org/officeDocument/2006/relationships/hyperlink" Target="http://www.sec.gov/Archives/edgar/data/911177/000091117716000015/cwst16-1122_8kxex10d4.htm" TargetMode="External"/><Relationship Id="rId231" Type="http://schemas.openxmlformats.org/officeDocument/2006/relationships/hyperlink" Target="http://www.sec.gov/Archives/edgar/data/911177/000091117716000015/cwst16-1122_8kxex10d5.htm" TargetMode="External"/><Relationship Id="rId232" Type="http://schemas.openxmlformats.org/officeDocument/2006/relationships/hyperlink" Target="http://www.sec.gov/Archives/edgar/data/911177/000091117716000015/cwst16-1122_8kxex10d6.htm" TargetMode="External"/><Relationship Id="rId233" Type="http://schemas.openxmlformats.org/officeDocument/2006/relationships/hyperlink" Target="http://www.sec.gov/Archives/edgar/data/911177/000091117716000015/cwst16-1122_8kxex10d7.htm" TargetMode="External"/><Relationship Id="rId234" Type="http://schemas.openxmlformats.org/officeDocument/2006/relationships/hyperlink" Target="http://www.sec.gov/Archives/edgar/data/911177/000091117716000015/cwst16-1122_8kxex10d8.htm" TargetMode="External"/><Relationship Id="rId235" Type="http://schemas.openxmlformats.org/officeDocument/2006/relationships/hyperlink" Target="http://www.sec.gov/Archives/edgar/data/911177/000091117716000015/cwst16-1122_8kxex10d9.htm" TargetMode="External"/><Relationship Id="rId236" Type="http://schemas.openxmlformats.org/officeDocument/2006/relationships/hyperlink" Target="http://www.sec.gov/Archives/edgar/data/911177/000091117716000015/cwst16-1122_8kxex10d10.htm" TargetMode="External"/><Relationship Id="rId237" Type="http://schemas.openxmlformats.org/officeDocument/2006/relationships/hyperlink" Target="http://www.sec.gov/Archives/edgar/data/911177/000091117716000015/cwst16-1122_8kxex10d11.htm" TargetMode="External"/><Relationship Id="rId240" Type="http://schemas.openxmlformats.org/officeDocument/2006/relationships/hyperlink" Target="http://www.sec.gov/Archives/edgar/data/911177/000091117717000053/cwst-093017xex101.htm" TargetMode="External"/><Relationship Id="rId241" Type="http://schemas.openxmlformats.org/officeDocument/2006/relationships/hyperlink" Target="http://www.sec.gov/Archives/edgar/data/911177/000091117718000031/cwst-qxex101.htm" TargetMode="External"/><Relationship Id="rId242" Type="http://schemas.openxmlformats.org/officeDocument/2006/relationships/hyperlink" Target="https://www.sec.gov/Archives/edgar/data/911177/000091117720000048/masterleaseagreement.htm" TargetMode="External"/><Relationship Id="rId243" Type="http://schemas.openxmlformats.org/officeDocument/2006/relationships/hyperlink" Target="https://www.sec.gov/Archives/edgar/data/911177/000091117720000048/masterleaseaddendum.htm" TargetMode="External"/><Relationship Id="rId244" Type="http://schemas.openxmlformats.org/officeDocument/2006/relationships/hyperlink" Target="https://www.sec.gov/Archives/edgar/data/911177/000110465911012173/a11-5937_1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2022-02-18T15:45:40Z</dcterms:created>
  <dcterms:modified xsi:type="dcterms:W3CDTF">2022-02-18T15:45:40Z</dcterms:modified>
</cp:coreProperties>
</file>