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86995</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-127635</wp:posOffset>
            </wp:positionV>
            <wp:extent cx="2821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42"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05"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000-23211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102870</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CASELLA WASTE SYSTEMS,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167640</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1660" w:type="dxa"/>
        <w:tblCellMar>
          <w:top w:w="0" w:type="dxa"/>
          <w:left w:w="0" w:type="dxa"/>
          <w:bottom w:w="0" w:type="dxa"/>
          <w:right w:w="0" w:type="dxa"/>
        </w:tblCellMar>
      </w:tblPr>
      <w:tr>
        <w:trPr>
          <w:trHeight w:val="186"/>
        </w:trPr>
        <w:tc>
          <w:tcPr>
            <w:tcW w:w="4380" w:type="dxa"/>
            <w:vAlign w:val="bottom"/>
          </w:tcPr>
          <w:p>
            <w:pPr>
              <w:jc w:val="center"/>
              <w:ind w:right="1888"/>
              <w:spacing w:after="0"/>
              <w:rPr>
                <w:sz w:val="20"/>
                <w:szCs w:val="20"/>
                <w:color w:val="auto"/>
              </w:rPr>
            </w:pPr>
            <w:r>
              <w:rPr>
                <w:rFonts w:ascii="Arial" w:cs="Arial" w:eastAsia="Arial" w:hAnsi="Arial"/>
                <w:sz w:val="14"/>
                <w:szCs w:val="14"/>
                <w:b w:val="1"/>
                <w:bCs w:val="1"/>
                <w:color w:val="auto"/>
                <w:w w:val="94"/>
              </w:rPr>
              <w:t>Delaware</w:t>
            </w:r>
          </w:p>
        </w:tc>
        <w:tc>
          <w:tcPr>
            <w:tcW w:w="3100" w:type="dxa"/>
            <w:vAlign w:val="bottom"/>
          </w:tcPr>
          <w:p>
            <w:pPr>
              <w:jc w:val="right"/>
              <w:ind w:right="148"/>
              <w:spacing w:after="0"/>
              <w:rPr>
                <w:sz w:val="20"/>
                <w:szCs w:val="20"/>
                <w:color w:val="auto"/>
              </w:rPr>
            </w:pPr>
            <w:r>
              <w:rPr>
                <w:rFonts w:ascii="Arial" w:cs="Arial" w:eastAsia="Arial" w:hAnsi="Arial"/>
                <w:sz w:val="14"/>
                <w:szCs w:val="14"/>
                <w:b w:val="1"/>
                <w:bCs w:val="1"/>
                <w:color w:val="auto"/>
              </w:rPr>
              <w:t>03-0338873</w:t>
            </w:r>
          </w:p>
        </w:tc>
      </w:tr>
      <w:tr>
        <w:trPr>
          <w:trHeight w:val="165"/>
        </w:trPr>
        <w:tc>
          <w:tcPr>
            <w:tcW w:w="4380" w:type="dxa"/>
            <w:vAlign w:val="bottom"/>
          </w:tcPr>
          <w:p>
            <w:pPr>
              <w:jc w:val="center"/>
              <w:ind w:right="1908"/>
              <w:spacing w:after="0"/>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90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380" w:type="dxa"/>
            <w:vAlign w:val="bottom"/>
          </w:tcPr>
          <w:p>
            <w:pPr>
              <w:jc w:val="center"/>
              <w:ind w:right="1908"/>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888"/>
              <w:spacing w:after="0"/>
              <w:rPr>
                <w:sz w:val="20"/>
                <w:szCs w:val="20"/>
                <w:color w:val="auto"/>
              </w:rPr>
            </w:pPr>
            <w:r>
              <w:rPr>
                <w:rFonts w:ascii="Arial" w:cs="Arial" w:eastAsia="Arial" w:hAnsi="Arial"/>
                <w:sz w:val="14"/>
                <w:szCs w:val="14"/>
                <w:b w:val="1"/>
                <w:bCs w:val="1"/>
                <w:color w:val="auto"/>
                <w:w w:val="96"/>
              </w:rPr>
              <w:t>Identification No.)</w:t>
            </w:r>
          </w:p>
        </w:tc>
      </w:tr>
      <w:tr>
        <w:trPr>
          <w:trHeight w:val="392"/>
        </w:trPr>
        <w:tc>
          <w:tcPr>
            <w:tcW w:w="4380" w:type="dxa"/>
            <w:vAlign w:val="bottom"/>
          </w:tcPr>
          <w:p>
            <w:pPr>
              <w:jc w:val="center"/>
              <w:ind w:right="1888"/>
              <w:spacing w:after="0"/>
              <w:rPr>
                <w:sz w:val="20"/>
                <w:szCs w:val="20"/>
                <w:color w:val="auto"/>
              </w:rPr>
            </w:pPr>
            <w:r>
              <w:rPr>
                <w:rFonts w:ascii="Arial" w:cs="Arial" w:eastAsia="Arial" w:hAnsi="Arial"/>
                <w:sz w:val="14"/>
                <w:szCs w:val="14"/>
                <w:b w:val="1"/>
                <w:bCs w:val="1"/>
                <w:color w:val="auto"/>
                <w:w w:val="95"/>
              </w:rPr>
              <w:t>25 Greens Hill Lane, Rutland, Vermont</w:t>
            </w:r>
          </w:p>
        </w:tc>
        <w:tc>
          <w:tcPr>
            <w:tcW w:w="3100" w:type="dxa"/>
            <w:vAlign w:val="bottom"/>
          </w:tcPr>
          <w:p>
            <w:pPr>
              <w:jc w:val="right"/>
              <w:ind w:right="308"/>
              <w:spacing w:after="0"/>
              <w:rPr>
                <w:sz w:val="20"/>
                <w:szCs w:val="20"/>
                <w:color w:val="auto"/>
              </w:rPr>
            </w:pPr>
            <w:r>
              <w:rPr>
                <w:rFonts w:ascii="Arial" w:cs="Arial" w:eastAsia="Arial" w:hAnsi="Arial"/>
                <w:sz w:val="14"/>
                <w:szCs w:val="14"/>
                <w:b w:val="1"/>
                <w:bCs w:val="1"/>
                <w:color w:val="auto"/>
              </w:rPr>
              <w:t>05701</w:t>
            </w:r>
          </w:p>
        </w:tc>
      </w:tr>
      <w:tr>
        <w:trPr>
          <w:trHeight w:val="203"/>
        </w:trPr>
        <w:tc>
          <w:tcPr>
            <w:tcW w:w="4380" w:type="dxa"/>
            <w:vAlign w:val="bottom"/>
          </w:tcPr>
          <w:p>
            <w:pPr>
              <w:jc w:val="center"/>
              <w:ind w:right="188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888"/>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(802) 775-0325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180340</wp:posOffset>
            </wp:positionV>
            <wp:extent cx="2821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76" w:lineRule="exact"/>
        <w:rPr>
          <w:sz w:val="24"/>
          <w:szCs w:val="24"/>
          <w:color w:val="auto"/>
        </w:rPr>
      </w:pPr>
    </w:p>
    <w:p>
      <w:pPr>
        <w:ind w:right="18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40"/>
        <w:spacing w:after="0" w:line="268"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184" w:lineRule="exact"/>
        <w:tabs>
          <w:tab w:leader="none" w:pos="520" w:val="left"/>
          <w:tab w:leader="none" w:pos="11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24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6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3120" w:type="dxa"/>
            <w:vAlign w:val="bottom"/>
          </w:tcPr>
          <w:p>
            <w:pPr>
              <w:ind w:left="920"/>
              <w:spacing w:after="0"/>
              <w:rPr>
                <w:sz w:val="20"/>
                <w:szCs w:val="20"/>
                <w:color w:val="auto"/>
              </w:rPr>
            </w:pPr>
            <w:r>
              <w:rPr>
                <w:rFonts w:ascii="Arial" w:cs="Arial" w:eastAsia="Arial" w:hAnsi="Arial"/>
                <w:sz w:val="16"/>
                <w:szCs w:val="16"/>
                <w:color w:val="auto"/>
              </w:rPr>
              <w:t>Accelerated filer</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4640" w:type="dxa"/>
            <w:vAlign w:val="bottom"/>
          </w:tcPr>
          <w:p>
            <w:pPr>
              <w:ind w:left="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120" w:type="dxa"/>
            <w:vAlign w:val="bottom"/>
          </w:tcPr>
          <w:p>
            <w:pPr>
              <w:ind w:left="920"/>
              <w:spacing w:after="0"/>
              <w:rPr>
                <w:sz w:val="20"/>
                <w:szCs w:val="20"/>
                <w:color w:val="auto"/>
              </w:rPr>
            </w:pPr>
            <w:r>
              <w:rPr>
                <w:rFonts w:ascii="Arial" w:cs="Arial" w:eastAsia="Arial" w:hAnsi="Arial"/>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9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120" w:type="dxa"/>
            <w:vAlign w:val="bottom"/>
          </w:tcPr>
          <w:p>
            <w:pPr>
              <w:ind w:left="920"/>
              <w:spacing w:after="0"/>
              <w:rPr>
                <w:sz w:val="20"/>
                <w:szCs w:val="20"/>
                <w:color w:val="auto"/>
              </w:rPr>
            </w:pPr>
            <w:r>
              <w:rPr>
                <w:rFonts w:ascii="Arial" w:cs="Arial" w:eastAsia="Arial" w:hAnsi="Arial"/>
                <w:sz w:val="16"/>
                <w:szCs w:val="16"/>
                <w:color w:val="auto"/>
              </w:rPr>
              <w:t>Emerging growth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9" w:lineRule="exact"/>
        <w:rPr>
          <w:sz w:val="24"/>
          <w:szCs w:val="24"/>
          <w:color w:val="auto"/>
        </w:rPr>
      </w:pPr>
    </w:p>
    <w:p>
      <w:pPr>
        <w:ind w:right="1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each of the registrant’s classes of common stock, as of July 31, 2018:</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080" w:type="dxa"/>
            <w:vAlign w:val="bottom"/>
          </w:tcPr>
          <w:p>
            <w:pPr>
              <w:ind w:left="1640"/>
              <w:spacing w:after="0"/>
              <w:rPr>
                <w:sz w:val="20"/>
                <w:szCs w:val="20"/>
                <w:color w:val="auto"/>
              </w:rPr>
            </w:pPr>
            <w:r>
              <w:rPr>
                <w:rFonts w:ascii="Arial" w:cs="Arial" w:eastAsia="Arial" w:hAnsi="Arial"/>
                <w:sz w:val="16"/>
                <w:szCs w:val="16"/>
                <w:color w:val="auto"/>
              </w:rPr>
              <w:t>Class A common stock, $0.01 par value per share:</w:t>
            </w:r>
          </w:p>
        </w:tc>
        <w:tc>
          <w:tcPr>
            <w:tcW w:w="5340" w:type="dxa"/>
            <w:vAlign w:val="bottom"/>
          </w:tcPr>
          <w:p>
            <w:pPr>
              <w:jc w:val="right"/>
              <w:ind w:right="3339"/>
              <w:spacing w:after="0"/>
              <w:rPr>
                <w:sz w:val="20"/>
                <w:szCs w:val="20"/>
                <w:color w:val="auto"/>
              </w:rPr>
            </w:pPr>
            <w:r>
              <w:rPr>
                <w:rFonts w:ascii="Arial" w:cs="Arial" w:eastAsia="Arial" w:hAnsi="Arial"/>
                <w:sz w:val="16"/>
                <w:szCs w:val="16"/>
                <w:color w:val="auto"/>
              </w:rPr>
              <w:t>41,764,993</w:t>
            </w:r>
          </w:p>
        </w:tc>
      </w:tr>
      <w:tr>
        <w:trPr>
          <w:trHeight w:val="270"/>
        </w:trPr>
        <w:tc>
          <w:tcPr>
            <w:tcW w:w="6080" w:type="dxa"/>
            <w:vAlign w:val="bottom"/>
          </w:tcPr>
          <w:p>
            <w:pPr>
              <w:ind w:left="1640"/>
              <w:spacing w:after="0"/>
              <w:rPr>
                <w:sz w:val="20"/>
                <w:szCs w:val="20"/>
                <w:color w:val="auto"/>
              </w:rPr>
            </w:pPr>
            <w:r>
              <w:rPr>
                <w:rFonts w:ascii="Arial" w:cs="Arial" w:eastAsia="Arial" w:hAnsi="Arial"/>
                <w:sz w:val="16"/>
                <w:szCs w:val="16"/>
                <w:color w:val="auto"/>
              </w:rPr>
              <w:t>Class B common stock, $0.01 par value per share:</w:t>
            </w:r>
          </w:p>
        </w:tc>
        <w:tc>
          <w:tcPr>
            <w:tcW w:w="5340" w:type="dxa"/>
            <w:vAlign w:val="bottom"/>
          </w:tcPr>
          <w:p>
            <w:pPr>
              <w:jc w:val="right"/>
              <w:ind w:right="3339"/>
              <w:spacing w:after="0"/>
              <w:rPr>
                <w:sz w:val="20"/>
                <w:szCs w:val="20"/>
                <w:color w:val="auto"/>
              </w:rPr>
            </w:pPr>
            <w:r>
              <w:rPr>
                <w:rFonts w:ascii="Arial" w:cs="Arial" w:eastAsia="Arial" w:hAnsi="Arial"/>
                <w:sz w:val="16"/>
                <w:szCs w:val="16"/>
                <w:color w:val="auto"/>
              </w:rPr>
              <w:t>988,200</w:t>
            </w:r>
          </w:p>
        </w:tc>
      </w:tr>
      <w:tr>
        <w:trPr>
          <w:trHeight w:val="168"/>
        </w:trPr>
        <w:tc>
          <w:tcPr>
            <w:tcW w:w="6080" w:type="dxa"/>
            <w:vAlign w:val="bottom"/>
            <w:tcBorders>
              <w:bottom w:val="single" w:sz="8" w:color="auto"/>
            </w:tcBorders>
          </w:tcPr>
          <w:p>
            <w:pPr>
              <w:spacing w:after="0"/>
              <w:rPr>
                <w:sz w:val="14"/>
                <w:szCs w:val="14"/>
                <w:color w:val="auto"/>
              </w:rPr>
            </w:pPr>
          </w:p>
        </w:tc>
        <w:tc>
          <w:tcPr>
            <w:tcW w:w="5340" w:type="dxa"/>
            <w:vAlign w:val="bottom"/>
            <w:tcBorders>
              <w:bottom w:val="single" w:sz="8" w:color="auto"/>
            </w:tcBorders>
          </w:tcPr>
          <w:p>
            <w:pPr>
              <w:spacing w:after="0"/>
              <w:rPr>
                <w:sz w:val="14"/>
                <w:szCs w:val="14"/>
                <w:color w:val="auto"/>
              </w:rPr>
            </w:pPr>
          </w:p>
        </w:tc>
      </w:tr>
      <w:tr>
        <w:trPr>
          <w:trHeight w:val="115"/>
        </w:trPr>
        <w:tc>
          <w:tcPr>
            <w:tcW w:w="608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963"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660" w:type="dxa"/>
            <w:vAlign w:val="bottom"/>
          </w:tcPr>
          <w:p>
            <w:pPr>
              <w:jc w:val="center"/>
              <w:ind w:left="2310"/>
              <w:spacing w:after="0"/>
              <w:rPr>
                <w:sz w:val="20"/>
                <w:szCs w:val="20"/>
                <w:color w:val="auto"/>
              </w:rPr>
            </w:pPr>
            <w:r>
              <w:rPr>
                <w:rFonts w:ascii="Arial" w:cs="Arial" w:eastAsia="Arial" w:hAnsi="Arial"/>
                <w:sz w:val="18"/>
                <w:szCs w:val="18"/>
                <w:b w:val="1"/>
                <w:bCs w:val="1"/>
                <w:color w:val="auto"/>
                <w:w w:val="96"/>
              </w:rPr>
              <w:t>PART I.</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660" w:type="dxa"/>
            <w:vAlign w:val="bottom"/>
          </w:tcPr>
          <w:p>
            <w:pPr>
              <w:ind w:left="62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4"/>
        </w:trPr>
        <w:tc>
          <w:tcPr>
            <w:tcW w:w="680" w:type="dxa"/>
            <w:vAlign w:val="bottom"/>
          </w:tcPr>
          <w:p>
            <w:pPr>
              <w:spacing w:after="0"/>
              <w:rPr>
                <w:sz w:val="24"/>
                <w:szCs w:val="24"/>
                <w:color w:val="auto"/>
              </w:rPr>
            </w:pPr>
          </w:p>
        </w:tc>
        <w:tc>
          <w:tcPr>
            <w:tcW w:w="7660" w:type="dxa"/>
            <w:vAlign w:val="bottom"/>
          </w:tcPr>
          <w:p>
            <w:pPr>
              <w:jc w:val="center"/>
              <w:ind w:left="2310"/>
              <w:spacing w:after="0"/>
              <w:rPr>
                <w:sz w:val="20"/>
                <w:szCs w:val="20"/>
                <w:color w:val="auto"/>
              </w:rPr>
            </w:pPr>
            <w:r>
              <w:rPr>
                <w:rFonts w:ascii="Arial" w:cs="Arial" w:eastAsia="Arial" w:hAnsi="Arial"/>
                <w:sz w:val="18"/>
                <w:szCs w:val="18"/>
                <w:b w:val="1"/>
                <w:bCs w:val="1"/>
                <w:color w:val="auto"/>
                <w:w w:val="98"/>
              </w:rPr>
              <w:t>CASELLA WASTE SYSTEMS, INC. AND SUBSIDIARIES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7660" w:type="dxa"/>
            <w:vAlign w:val="bottom"/>
          </w:tcPr>
          <w:p>
            <w:pPr>
              <w:jc w:val="center"/>
              <w:ind w:left="233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7660" w:type="dxa"/>
            <w:vAlign w:val="bottom"/>
          </w:tcPr>
          <w:p>
            <w:pPr>
              <w:jc w:val="center"/>
              <w:ind w:left="231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88"/>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24"/>
                <w:szCs w:val="2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68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68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68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jc w:val="center"/>
              <w:ind w:left="231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1,995</w:t>
            </w:r>
          </w:p>
        </w:tc>
      </w:tr>
      <w:tr>
        <w:trPr>
          <w:trHeight w:val="243"/>
        </w:trPr>
        <w:tc>
          <w:tcPr>
            <w:tcW w:w="680" w:type="dxa"/>
            <w:vAlign w:val="bottom"/>
          </w:tcPr>
          <w:p>
            <w:pPr>
              <w:spacing w:after="0"/>
              <w:rPr>
                <w:sz w:val="21"/>
                <w:szCs w:val="21"/>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w w:val="97"/>
              </w:rPr>
              <w:t>Accounts receivable - trade, net of allowance for doubtful accounts of $865 and $809, respectively</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78,920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65,953</w:t>
            </w:r>
          </w:p>
        </w:tc>
      </w:tr>
      <w:tr>
        <w:trPr>
          <w:trHeight w:val="27"/>
        </w:trPr>
        <w:tc>
          <w:tcPr>
            <w:tcW w:w="6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Refundable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w:t>
            </w:r>
          </w:p>
        </w:tc>
      </w:tr>
      <w:tr>
        <w:trPr>
          <w:trHeight w:val="243"/>
        </w:trPr>
        <w:tc>
          <w:tcPr>
            <w:tcW w:w="680" w:type="dxa"/>
            <w:vAlign w:val="bottom"/>
          </w:tcPr>
          <w:p>
            <w:pPr>
              <w:spacing w:after="0"/>
              <w:rPr>
                <w:sz w:val="21"/>
                <w:szCs w:val="21"/>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6,624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8,299</w:t>
            </w:r>
          </w:p>
        </w:tc>
      </w:tr>
      <w:tr>
        <w:trPr>
          <w:trHeight w:val="27"/>
        </w:trPr>
        <w:tc>
          <w:tcPr>
            <w:tcW w:w="6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6,534</w:t>
            </w:r>
          </w:p>
        </w:tc>
      </w:tr>
      <w:tr>
        <w:trPr>
          <w:trHeight w:val="243"/>
        </w:trPr>
        <w:tc>
          <w:tcPr>
            <w:tcW w:w="680" w:type="dxa"/>
            <w:vAlign w:val="bottom"/>
          </w:tcPr>
          <w:p>
            <w:pPr>
              <w:spacing w:after="0"/>
              <w:rPr>
                <w:sz w:val="21"/>
                <w:szCs w:val="21"/>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1,077</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96,875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84,380</w:t>
            </w:r>
          </w:p>
        </w:tc>
      </w:tr>
      <w:tr>
        <w:trPr>
          <w:trHeight w:val="229"/>
        </w:trPr>
        <w:tc>
          <w:tcPr>
            <w:tcW w:w="8340" w:type="dxa"/>
            <w:vAlign w:val="bottom"/>
            <w:gridSpan w:val="2"/>
          </w:tcPr>
          <w:p>
            <w:pPr>
              <w:ind w:left="40"/>
              <w:spacing w:after="0"/>
              <w:rPr>
                <w:sz w:val="20"/>
                <w:szCs w:val="20"/>
                <w:color w:val="auto"/>
              </w:rPr>
            </w:pPr>
            <w:r>
              <w:rPr>
                <w:rFonts w:ascii="Arial" w:cs="Arial" w:eastAsia="Arial" w:hAnsi="Arial"/>
                <w:sz w:val="18"/>
                <w:szCs w:val="18"/>
                <w:color w:val="auto"/>
                <w:w w:val="95"/>
              </w:rPr>
              <w:t>Property, plant and equipment, net of accumulated depreciation and amortization of $845,156 and $811,474,</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378,782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361,547</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130,317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122,605</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9,715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8,149</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Cost method investments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12,333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12,333</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11,567</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12,796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13,148</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652,574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614,949</w:t>
            </w: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3740"/>
              <w:spacing w:after="0"/>
              <w:rPr>
                <w:sz w:val="20"/>
                <w:szCs w:val="20"/>
                <w:color w:val="auto"/>
              </w:rPr>
            </w:pPr>
            <w:r>
              <w:rPr>
                <w:rFonts w:ascii="Arial" w:cs="Arial" w:eastAsia="Arial" w:hAnsi="Arial"/>
                <w:sz w:val="18"/>
                <w:szCs w:val="18"/>
                <w:b w:val="1"/>
                <w:bCs w:val="1"/>
                <w:color w:val="auto"/>
              </w:rPr>
              <w:t>LIABILITIES AND STOCKHOLDERS' DEFICIT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maturities of long-term debt and capital leases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54,623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47,081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payroll and related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12,183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2,093</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Contract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Current accrued capping, closure and post-closure costs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6,406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3,035</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accrued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17,428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95,743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88,569</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and capital leases, less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502,094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477,576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capping, closure and post-closure costs, less current portion</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61,339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59,255</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25,730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25,106</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DEFICIT:</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Casella Waste Systems, Inc. stockholders' deficit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820"/>
              <w:spacing w:after="0"/>
              <w:rPr>
                <w:sz w:val="20"/>
                <w:szCs w:val="20"/>
                <w:color w:val="auto"/>
              </w:rPr>
            </w:pPr>
            <w:r>
              <w:rPr>
                <w:rFonts w:ascii="Arial" w:cs="Arial" w:eastAsia="Arial" w:hAnsi="Arial"/>
                <w:sz w:val="18"/>
                <w:szCs w:val="18"/>
                <w:color w:val="auto"/>
                <w:w w:val="94"/>
              </w:rPr>
              <w:t>Class A common stock, $0.01 par value per share; 100,000,000 shares authorized; 41,765,000 and</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820"/>
              <w:spacing w:after="0"/>
              <w:rPr>
                <w:sz w:val="20"/>
                <w:szCs w:val="20"/>
                <w:color w:val="auto"/>
              </w:rPr>
            </w:pPr>
            <w:r>
              <w:rPr>
                <w:rFonts w:ascii="Arial" w:cs="Arial" w:eastAsia="Arial" w:hAnsi="Arial"/>
                <w:sz w:val="18"/>
                <w:szCs w:val="18"/>
                <w:color w:val="auto"/>
              </w:rPr>
              <w:t>41,298,000 shares issued and outstanding, respectively</w:t>
            </w:r>
          </w:p>
        </w:tc>
        <w:tc>
          <w:tcPr>
            <w:tcW w:w="24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413</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0"/>
              </w:rPr>
              <w:t>Class B common stock, $0.01 par value per share; 1,000,000 shares authorized; 988,000 shares issued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and outstanding; 10 votes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361,502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356,638</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(397,295)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(395,107)</w:t>
            </w: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184</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deficit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(37,862)</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 and stockholders' deficit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652,574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614,949</w:t>
            </w:r>
          </w:p>
        </w:tc>
      </w:tr>
      <w:tr>
        <w:trPr>
          <w:trHeight w:val="27"/>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165,649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154,016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313,104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287,818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111,800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217,409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197,063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administration</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20,793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18,794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41,820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37,638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17,386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33,370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29,717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Contract settlement charge</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Southbridge Landfill closure charge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64,114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Development project charge</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Expense from acquisition activities and other items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150,500</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201,295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297,118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328,532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15,149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15,986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(40,714)</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6,469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6,334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12,922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12,784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debt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7,352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7,352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13,400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19,735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(3,749)</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(53,489)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1,704</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(53,900)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share attributable to common stockholders: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42,661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41,811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42,516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41,698</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Basic earnings per common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9"/>
              </w:rPr>
              <w:t>Diluted earnings per share attributable to common stockholders: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43,916</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42,516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41,698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 earnings per common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(53,900)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Hedging activity:</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600"/>
              <w:spacing w:after="0"/>
              <w:rPr>
                <w:sz w:val="20"/>
                <w:szCs w:val="20"/>
                <w:color w:val="auto"/>
              </w:rPr>
            </w:pPr>
            <w:r>
              <w:rPr>
                <w:rFonts w:ascii="Arial" w:cs="Arial" w:eastAsia="Arial" w:hAnsi="Arial"/>
                <w:sz w:val="18"/>
                <w:szCs w:val="18"/>
                <w:color w:val="auto"/>
              </w:rPr>
              <w:t>Interest rate swap settlements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w w:val="93"/>
              </w:rPr>
              <w:t>Interest rate swap amounts reclassified into interest expense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r>
      <w:tr>
        <w:trPr>
          <w:trHeight w:val="229"/>
        </w:trPr>
        <w:tc>
          <w:tcPr>
            <w:tcW w:w="5160" w:type="dxa"/>
            <w:vAlign w:val="bottom"/>
          </w:tcPr>
          <w:p>
            <w:pPr>
              <w:ind w:left="600"/>
              <w:spacing w:after="0"/>
              <w:rPr>
                <w:sz w:val="20"/>
                <w:szCs w:val="20"/>
                <w:color w:val="auto"/>
              </w:rPr>
            </w:pPr>
            <w:r>
              <w:rPr>
                <w:rFonts w:ascii="Arial" w:cs="Arial" w:eastAsia="Arial" w:hAnsi="Arial"/>
                <w:sz w:val="18"/>
                <w:szCs w:val="18"/>
                <w:color w:val="auto"/>
                <w:w w:val="94"/>
              </w:rPr>
              <w:t>Unrealized (loss) gain resulting from changes in fair value of</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60" w:type="dxa"/>
            <w:vAlign w:val="bottom"/>
          </w:tcPr>
          <w:p>
            <w:pPr>
              <w:ind w:left="600"/>
              <w:spacing w:after="0"/>
              <w:rPr>
                <w:sz w:val="20"/>
                <w:szCs w:val="20"/>
                <w:color w:val="auto"/>
              </w:rPr>
            </w:pPr>
            <w:r>
              <w:rPr>
                <w:rFonts w:ascii="Arial" w:cs="Arial" w:eastAsia="Arial" w:hAnsi="Arial"/>
                <w:sz w:val="18"/>
                <w:szCs w:val="18"/>
                <w:color w:val="auto"/>
              </w:rPr>
              <w:t>derivative instruments</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 resulting from changes in fair value of</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marketable securities</w:t>
            </w:r>
          </w:p>
        </w:tc>
        <w:tc>
          <w:tcPr>
            <w:tcW w:w="9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 income, before tax</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 (benefit) provision related to items of other</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(loss) income</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(54,118)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center"/>
        <w:ind w:right="-279"/>
        <w:spacing w:after="0"/>
        <w:rPr>
          <w:sz w:val="20"/>
          <w:szCs w:val="20"/>
          <w:color w:val="auto"/>
        </w:rPr>
      </w:pPr>
      <w:r>
        <w:rPr>
          <w:rFonts w:ascii="Arial" w:cs="Arial" w:eastAsia="Arial" w:hAnsi="Arial"/>
          <w:sz w:val="17"/>
          <w:szCs w:val="17"/>
          <w:b w:val="1"/>
          <w:bCs w:val="1"/>
          <w:color w:val="auto"/>
        </w:rPr>
        <w:t>CASELLA WASTE SYSTEMS, INC. AND SUBSIDIARIES</w:t>
      </w:r>
    </w:p>
    <w:p>
      <w:pPr>
        <w:spacing w:after="0" w:line="3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CONSOLIDATED STATEMENT OF</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STOCKHOLDERS' DEFICIT</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060"/>
          </w:cols>
          <w:pgMar w:left="280" w:top="580"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Balance, December 31, 2017</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Net loss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Issuances of Class A common stock</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ind w:left="140"/>
        <w:spacing w:after="0" w:line="253" w:lineRule="auto"/>
        <w:rPr>
          <w:sz w:val="20"/>
          <w:szCs w:val="20"/>
          <w:color w:val="auto"/>
        </w:rPr>
      </w:pPr>
      <w:r>
        <w:rPr>
          <w:rFonts w:ascii="Arial" w:cs="Arial" w:eastAsia="Arial" w:hAnsi="Arial"/>
          <w:sz w:val="14"/>
          <w:szCs w:val="14"/>
          <w:color w:val="auto"/>
        </w:rPr>
        <w:t>Cumulative effect of new accounting principle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Balance, June 30, 2018</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3"/>
                <w:szCs w:val="13"/>
                <w:b w:val="1"/>
                <w:bCs w:val="1"/>
                <w:color w:val="auto"/>
              </w:rPr>
              <w:t>Casella Waste Systems, Inc. Stockholders' Deficit</w:t>
            </w: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left="651"/>
              <w:spacing w:after="0" w:line="144" w:lineRule="exact"/>
              <w:rPr>
                <w:sz w:val="20"/>
                <w:szCs w:val="20"/>
                <w:color w:val="auto"/>
              </w:rPr>
            </w:pPr>
            <w:r>
              <w:rPr>
                <w:rFonts w:ascii="Arial" w:cs="Arial" w:eastAsia="Arial" w:hAnsi="Arial"/>
                <w:sz w:val="13"/>
                <w:szCs w:val="13"/>
                <w:b w:val="1"/>
                <w:bCs w:val="1"/>
                <w:color w:val="auto"/>
                <w:w w:val="83"/>
              </w:rPr>
              <w:t>Class A</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left="671"/>
              <w:spacing w:after="0" w:line="144" w:lineRule="exact"/>
              <w:rPr>
                <w:sz w:val="20"/>
                <w:szCs w:val="20"/>
                <w:color w:val="auto"/>
              </w:rPr>
            </w:pPr>
            <w:r>
              <w:rPr>
                <w:rFonts w:ascii="Arial" w:cs="Arial" w:eastAsia="Arial" w:hAnsi="Arial"/>
                <w:sz w:val="13"/>
                <w:szCs w:val="13"/>
                <w:b w:val="1"/>
                <w:bCs w:val="1"/>
                <w:color w:val="auto"/>
                <w:w w:val="83"/>
              </w:rPr>
              <w:t>Class B</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8"/>
              </w:rPr>
              <w:t>Common Stock</w:t>
            </w:r>
          </w:p>
        </w:tc>
        <w:tc>
          <w:tcPr>
            <w:tcW w:w="198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5"/>
              </w:rPr>
              <w:t>Common Stock</w:t>
            </w: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Additional Paid-In</w:t>
            </w:r>
          </w:p>
        </w:tc>
        <w:tc>
          <w:tcPr>
            <w:tcW w:w="140" w:type="dxa"/>
            <w:vAlign w:val="bottom"/>
          </w:tcPr>
          <w:p>
            <w:pPr>
              <w:spacing w:after="0"/>
              <w:rPr>
                <w:sz w:val="15"/>
                <w:szCs w:val="15"/>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5"/>
                <w:szCs w:val="15"/>
                <w:color w:val="auto"/>
              </w:rPr>
            </w:pPr>
          </w:p>
        </w:tc>
        <w:tc>
          <w:tcPr>
            <w:tcW w:w="130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w w:val="91"/>
              </w:rPr>
              <w:t>Accumulated Other</w:t>
            </w:r>
          </w:p>
        </w:tc>
        <w:tc>
          <w:tcPr>
            <w:tcW w:w="0" w:type="dxa"/>
            <w:vAlign w:val="bottom"/>
          </w:tcPr>
          <w:p>
            <w:pPr>
              <w:spacing w:after="0"/>
              <w:rPr>
                <w:sz w:val="1"/>
                <w:szCs w:val="1"/>
                <w:color w:val="auto"/>
              </w:rPr>
            </w:pPr>
          </w:p>
        </w:tc>
      </w:tr>
      <w:tr>
        <w:trPr>
          <w:trHeight w:val="90"/>
        </w:trPr>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102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0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Deficit</w:t>
            </w:r>
          </w:p>
        </w:tc>
        <w:tc>
          <w:tcPr>
            <w:tcW w:w="1440" w:type="dxa"/>
            <w:vAlign w:val="bottom"/>
            <w:gridSpan w:val="2"/>
          </w:tcPr>
          <w:p>
            <w:pPr>
              <w:jc w:val="right"/>
              <w:ind w:right="9"/>
              <w:spacing w:after="0"/>
              <w:rPr>
                <w:sz w:val="20"/>
                <w:szCs w:val="20"/>
                <w:color w:val="auto"/>
              </w:rPr>
            </w:pPr>
            <w:r>
              <w:rPr>
                <w:rFonts w:ascii="Arial" w:cs="Arial" w:eastAsia="Arial" w:hAnsi="Arial"/>
                <w:sz w:val="13"/>
                <w:szCs w:val="13"/>
                <w:b w:val="1"/>
                <w:bCs w:val="1"/>
                <w:color w:val="auto"/>
                <w:w w:val="91"/>
              </w:rPr>
              <w:t>Comprehensive Income</w:t>
            </w:r>
          </w:p>
        </w:tc>
        <w:tc>
          <w:tcPr>
            <w:tcW w:w="0" w:type="dxa"/>
            <w:vAlign w:val="bottom"/>
          </w:tcPr>
          <w:p>
            <w:pPr>
              <w:spacing w:after="0"/>
              <w:rPr>
                <w:sz w:val="1"/>
                <w:szCs w:val="1"/>
                <w:color w:val="auto"/>
              </w:rPr>
            </w:pPr>
          </w:p>
        </w:tc>
      </w:tr>
      <w:tr>
        <w:trPr>
          <w:trHeight w:val="245"/>
        </w:trPr>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(37,862)</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41,298</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21"/>
                <w:szCs w:val="21"/>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356,638</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(395,107)</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(2,206)</w:t>
            </w:r>
          </w:p>
        </w:tc>
        <w:tc>
          <w:tcPr>
            <w:tcW w:w="12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23"/>
                <w:szCs w:val="23"/>
                <w:color w:val="auto"/>
              </w:rPr>
            </w:pPr>
          </w:p>
        </w:tc>
        <w:tc>
          <w:tcPr>
            <w:tcW w:w="900" w:type="dxa"/>
            <w:vAlign w:val="bottom"/>
          </w:tcPr>
          <w:p>
            <w:pPr>
              <w:jc w:val="right"/>
              <w:ind w:right="51"/>
              <w:spacing w:after="0"/>
              <w:rPr>
                <w:sz w:val="20"/>
                <w:szCs w:val="20"/>
                <w:color w:val="auto"/>
              </w:rPr>
            </w:pPr>
            <w:r>
              <w:rPr>
                <w:rFonts w:ascii="Arial" w:cs="Arial" w:eastAsia="Arial" w:hAnsi="Arial"/>
                <w:sz w:val="14"/>
                <w:szCs w:val="14"/>
                <w:color w:val="auto"/>
              </w:rPr>
              <w:t>467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4,198</w:t>
            </w:r>
          </w:p>
        </w:tc>
        <w:tc>
          <w:tcPr>
            <w:tcW w:w="12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4,198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7"/>
        </w:trPr>
        <w:tc>
          <w:tcPr>
            <w:tcW w:w="18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37"/>
        </w:trPr>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(34,716)</w:t>
            </w:r>
          </w:p>
        </w:tc>
        <w:tc>
          <w:tcPr>
            <w:tcW w:w="1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41,765</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361,502</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(397,295)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-1268730</wp:posOffset>
            </wp:positionV>
            <wp:extent cx="70408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40880" cy="17145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-925830</wp:posOffset>
            </wp:positionV>
            <wp:extent cx="70408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40880" cy="17145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-582295</wp:posOffset>
            </wp:positionV>
            <wp:extent cx="70408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40880" cy="17145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-187960</wp:posOffset>
            </wp:positionV>
            <wp:extent cx="70408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2260" w:space="40"/>
            <w:col w:w="8760"/>
          </w:cols>
          <w:pgMar w:left="280" w:top="580" w:right="559" w:bottom="1440" w:gutter="0" w:footer="0" w:header="0"/>
          <w:type w:val="continuous"/>
        </w:sectPr>
      </w:pPr>
    </w:p>
    <w:p>
      <w:pPr>
        <w:jc w:val="center"/>
        <w:ind w:right="-29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280" w:top="580" w:right="559" w:bottom="1440" w:gutter="0" w:footer="0" w:header="0"/>
          <w:type w:val="continuous"/>
        </w:sectPr>
      </w:pPr>
    </w:p>
    <w:bookmarkStart w:id="6" w:name="page7"/>
    <w:bookmarkEnd w:id="6"/>
    <w:p>
      <w:pPr>
        <w:jc w:val="center"/>
        <w:ind w:right="40"/>
        <w:spacing w:after="0"/>
        <w:rPr>
          <w:sz w:val="20"/>
          <w:szCs w:val="20"/>
          <w:color w:val="auto"/>
        </w:rPr>
      </w:pPr>
      <w:r>
        <w:rPr>
          <w:rFonts w:ascii="Arial" w:cs="Arial" w:eastAsia="Arial" w:hAnsi="Arial"/>
          <w:sz w:val="17"/>
          <w:szCs w:val="17"/>
          <w:b w:val="1"/>
          <w:bCs w:val="1"/>
          <w:color w:val="auto"/>
        </w:rPr>
        <w:t>CASELLA WASTE SYSTEMS, INC. AND SUBSIDIARIES</w:t>
      </w:r>
    </w:p>
    <w:p>
      <w:pPr>
        <w:spacing w:after="0" w:line="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380"/>
          </w:cols>
          <w:pgMar w:left="28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-106680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Adjustments to reconcile net loss to net cash provided by operating activities: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Depletion of landfill operating lease obligations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Interest accretion on landfill and environmental remediation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Amortization of debt issuance costs and discount on long-term debt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Gain on sale of property and equipment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Southbridge Landfill non-cash closure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Development project charge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Non-cash expense from acquisition activities and 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Loss on debt extinguishment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Changes in assets and liabilities, net of effects of acquisitions and divestitures: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Prepaid expenses, inventories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Accrued expenses, contract liabilities and other liabilities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Investing Activities: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Additions to property, plant and equipment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Payments on landfill operating lease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sale of property and equipment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Financing Activities: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Principal payments on long-term debt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Payments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the exercise of share based awards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Net increase in cash and cash equivalents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end of period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81280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Cash paid during the period for:</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Income taxes, net of refunds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Non-current assets obtained through long-term obligations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19551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528"/>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(2,206)</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(53,900)</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33,370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29,717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4,993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4,173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2,862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1,939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1,290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1,320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4,198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2,912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1,273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63,526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7,352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(725)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284</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(11,338)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(4,570)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6,425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(1,458)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2,617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517</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(2,184)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(4,871)</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48,079</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40,009</w:t>
            </w:r>
          </w:p>
        </w:tc>
      </w:tr>
      <w:tr>
        <w:trPr>
          <w:trHeight w:val="528"/>
        </w:trPr>
        <w:tc>
          <w:tcPr>
            <w:tcW w:w="360" w:type="dxa"/>
            <w:vAlign w:val="bottom"/>
          </w:tcPr>
          <w:p>
            <w:pPr>
              <w:spacing w:after="0"/>
              <w:rPr>
                <w:sz w:val="24"/>
                <w:szCs w:val="2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(19,369)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(2,694)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(35,492)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(24,548)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(3,467)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(3,177)</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382</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(57,859)</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(30,037)</w:t>
            </w:r>
          </w:p>
        </w:tc>
      </w:tr>
      <w:tr>
        <w:trPr>
          <w:trHeight w:val="528"/>
        </w:trPr>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528,900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117,000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(513,854)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(126,238)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(5,567)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(1,451)</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858</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9,877</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(9,831)</w:t>
            </w:r>
          </w:p>
        </w:tc>
      </w:tr>
      <w:tr>
        <w:trPr>
          <w:trHeight w:val="244"/>
        </w:trPr>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141</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1,995</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2,544</w:t>
            </w:r>
          </w:p>
        </w:tc>
      </w:tr>
      <w:tr>
        <w:trPr>
          <w:trHeight w:val="237"/>
        </w:trPr>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2,092</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2,685</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85"/>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11,423</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14,079</w:t>
            </w:r>
          </w:p>
        </w:tc>
      </w:tr>
      <w:tr>
        <w:trPr>
          <w:trHeight w:val="270"/>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189</w:t>
            </w:r>
          </w:p>
        </w:tc>
      </w:tr>
      <w:tr>
        <w:trPr>
          <w:trHeight w:val="540"/>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3,267</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2,813</w:t>
            </w:r>
          </w:p>
        </w:tc>
      </w:tr>
    </w:tbl>
    <w:p>
      <w:pPr>
        <w:spacing w:after="0" w:line="106" w:lineRule="exact"/>
        <w:rPr>
          <w:sz w:val="20"/>
          <w:szCs w:val="20"/>
          <w:color w:val="auto"/>
        </w:rPr>
      </w:pPr>
    </w:p>
    <w:p>
      <w:pPr>
        <w:sectPr>
          <w:pgSz w:w="11900" w:h="16838" w:orient="portrait"/>
          <w:cols w:equalWidth="0" w:num="2">
            <w:col w:w="7580" w:space="720"/>
            <w:col w:w="3080"/>
          </w:cols>
          <w:pgMar w:left="280" w:top="580" w:right="23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380"/>
          </w:cols>
          <w:pgMar w:left="280" w:top="580" w:right="239" w:bottom="1440" w:gutter="0" w:footer="0" w:header="0"/>
          <w:type w:val="continuous"/>
        </w:sectPr>
      </w:pP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80" w:top="580" w:right="239" w:bottom="1440" w:gutter="0" w:footer="0" w:header="0"/>
          <w:type w:val="continuous"/>
        </w:sectPr>
      </w:pPr>
    </w:p>
    <w:bookmarkStart w:id="7" w:name="page8"/>
    <w:bookmarkEnd w:id="7"/>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Casella Waste Systems, Inc. (“Parent”), and its consolidated subsidiaries (collectively, “we”, “us” or “our”), is a regional, vertically integrated solid waste services company that provides collection, transfer, disposal, landfill, landfill gas-to-energy, recycling, and organics services in the northeastern United States. We market recyclable metals, aluminum, plastics, paper, and corrugated cardboard, which have been processed at our recycling facilities, as well as recyclables purchased from third-parties. We manage our solid waste operations on a geographic basis through two regional operating segments, the Eastern and Western regions, each of which provides a full range of solid waste services, and our larger-scale recycling and commodity brokerage operations through our Recycling segment. Organics services, ancillary operations, major account and industrial services, discontinued operations and earnings from equity method investees, as applicable, are included in our Other segment.</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of our Annual Report on Form 10-K for the fiscal year ended December 31, 2017, which was filed with the SEC on March 2, 2018.</w:t>
      </w:r>
    </w:p>
    <w:p>
      <w:pPr>
        <w:spacing w:after="0" w:line="19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For comparative purposes, certain prior period amounts in the consolidated financial statements, including the presentation of contract balances associated with the adoption of Accounting Standards Update ("ASU") 2014-09, as amended, Revenue from Contracts with Customers (</w:t>
      </w:r>
      <w:r>
        <w:rPr>
          <w:rFonts w:ascii="Arial" w:cs="Arial" w:eastAsia="Arial" w:hAnsi="Arial"/>
          <w:sz w:val="18"/>
          <w:szCs w:val="18"/>
          <w:i w:val="1"/>
          <w:iCs w:val="1"/>
          <w:color w:val="auto"/>
        </w:rPr>
        <w:t>Topic 606</w:t>
      </w:r>
      <w:r>
        <w:rPr>
          <w:rFonts w:ascii="Arial" w:cs="Arial" w:eastAsia="Arial" w:hAnsi="Arial"/>
          <w:sz w:val="18"/>
          <w:szCs w:val="18"/>
          <w:color w:val="auto"/>
        </w:rPr>
        <w:t xml:space="preserve">) have been reclassified. See Note 3,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for additional disclosure.</w:t>
      </w:r>
    </w:p>
    <w:p>
      <w:pPr>
        <w:spacing w:after="0" w:line="18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which include normal recurring and nonrecurring adjustments, necessary for a fair presentation of the financial position, results of operations and cash flows for the periods presented. The results for the three and six months ended June 30, 2018 may not be indicative of the results for any other interim period or the entire fiscal year. The consolidated financial statements presented herein should be read in conjunction with our audited consolidated financial statements included in our Annual Report on Form 10-K for the fiscal year ended December 31,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evaluated subsequent events or transactions that have occurred after the consolidated balance sheet date of June 30, 2018 through the date of filing of the consolidated financial statements with the SEC on this Quarterly Report on Form 10-Q. We have determined that, except as disclosed, there are no subsequent events that require disclosure in this Quarterly Report on Form 10-Q.</w:t>
      </w:r>
    </w:p>
    <w:p>
      <w:pPr>
        <w:spacing w:after="0" w:line="177"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CHANGES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 table providing a brief description of recent ASUs to the Accounting Standards Codification (“ASC”) issued by the Financial Accounting Standards Board (“FASB”) deemed to have a possible material effect on our consolidated financial statements upon adoption based on current account balances and activity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Standard</w:t>
            </w:r>
          </w:p>
        </w:tc>
        <w:tc>
          <w:tcPr>
            <w:tcW w:w="254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Description</w:t>
            </w:r>
          </w:p>
        </w:tc>
        <w:tc>
          <w:tcPr>
            <w:tcW w:w="4260" w:type="dxa"/>
            <w:vAlign w:val="bottom"/>
          </w:tcPr>
          <w:p>
            <w:pPr>
              <w:jc w:val="center"/>
              <w:ind w:left="548"/>
              <w:spacing w:after="0"/>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auto"/>
            </w:tcBorders>
            <w:vMerge w:val="continue"/>
          </w:tcPr>
          <w:p>
            <w:pPr>
              <w:spacing w:after="0"/>
              <w:rPr>
                <w:sz w:val="16"/>
                <w:szCs w:val="16"/>
                <w:color w:val="auto"/>
              </w:rPr>
            </w:pPr>
          </w:p>
        </w:tc>
        <w:tc>
          <w:tcPr>
            <w:tcW w:w="2540" w:type="dxa"/>
            <w:vAlign w:val="bottom"/>
            <w:tcBorders>
              <w:bottom w:val="single" w:sz="8" w:color="auto"/>
            </w:tcBorders>
            <w:vMerge w:val="continue"/>
          </w:tcPr>
          <w:p>
            <w:pPr>
              <w:spacing w:after="0"/>
              <w:rPr>
                <w:sz w:val="16"/>
                <w:szCs w:val="16"/>
                <w:color w:val="auto"/>
              </w:rPr>
            </w:pPr>
          </w:p>
        </w:tc>
        <w:tc>
          <w:tcPr>
            <w:tcW w:w="426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b w:val="1"/>
                <w:bCs w:val="1"/>
                <w:color w:val="auto"/>
                <w:w w:val="95"/>
              </w:rPr>
              <w:t>Significant Matters</w:t>
            </w:r>
          </w:p>
        </w:tc>
        <w:tc>
          <w:tcPr>
            <w:tcW w:w="0" w:type="dxa"/>
            <w:vAlign w:val="bottom"/>
          </w:tcPr>
          <w:p>
            <w:pPr>
              <w:spacing w:after="0"/>
              <w:rPr>
                <w:sz w:val="1"/>
                <w:szCs w:val="1"/>
                <w:color w:val="auto"/>
              </w:rPr>
            </w:pPr>
          </w:p>
        </w:tc>
      </w:tr>
      <w:tr>
        <w:trPr>
          <w:trHeight w:val="190"/>
        </w:trPr>
        <w:tc>
          <w:tcPr>
            <w:tcW w:w="4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Accounting standards that are adopted effective January 1, 2018</w:t>
            </w:r>
          </w:p>
        </w:tc>
        <w:tc>
          <w:tcPr>
            <w:tcW w:w="25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sectPr>
          <w:pgSz w:w="11900" w:h="16859" w:orient="portrait"/>
          <w:cols w:equalWidth="0" w:num="1">
            <w:col w:w="11420"/>
          </w:cols>
          <w:pgMar w:left="240" w:top="580" w:right="239" w:bottom="0" w:gutter="0" w:footer="0" w:header="0"/>
        </w:sectPr>
      </w:pPr>
    </w:p>
    <w:p>
      <w:pPr>
        <w:ind w:left="40"/>
        <w:spacing w:after="0"/>
        <w:tabs>
          <w:tab w:leader="none" w:pos="3900" w:val="left"/>
        </w:tabs>
        <w:rPr>
          <w:sz w:val="20"/>
          <w:szCs w:val="20"/>
          <w:color w:val="auto"/>
        </w:rPr>
      </w:pPr>
      <w:r>
        <w:rPr>
          <w:rFonts w:ascii="Arial" w:cs="Arial" w:eastAsia="Arial" w:hAnsi="Arial"/>
          <w:sz w:val="18"/>
          <w:szCs w:val="18"/>
          <w:color w:val="auto"/>
        </w:rPr>
        <w:t>ASU 2017-09: Compensation - Stock</w:t>
      </w:r>
      <w:r>
        <w:rPr>
          <w:sz w:val="20"/>
          <w:szCs w:val="20"/>
          <w:color w:val="auto"/>
        </w:rPr>
        <w:tab/>
      </w:r>
      <w:r>
        <w:rPr>
          <w:rFonts w:ascii="Arial" w:cs="Arial" w:eastAsia="Arial" w:hAnsi="Arial"/>
          <w:sz w:val="16"/>
          <w:szCs w:val="16"/>
          <w:color w:val="auto"/>
        </w:rPr>
        <w:t>Requires that an entity should account for the</w:t>
      </w:r>
    </w:p>
    <w:p>
      <w:pPr>
        <w:spacing w:after="0" w:line="23" w:lineRule="exact"/>
        <w:rPr>
          <w:sz w:val="20"/>
          <w:szCs w:val="20"/>
          <w:color w:val="auto"/>
        </w:rPr>
      </w:pPr>
    </w:p>
    <w:p>
      <w:pPr>
        <w:ind w:left="40"/>
        <w:spacing w:after="0"/>
        <w:tabs>
          <w:tab w:leader="none" w:pos="3900" w:val="left"/>
        </w:tabs>
        <w:rPr>
          <w:sz w:val="20"/>
          <w:szCs w:val="20"/>
          <w:color w:val="auto"/>
        </w:rPr>
      </w:pPr>
      <w:r>
        <w:rPr>
          <w:rFonts w:ascii="Arial" w:cs="Arial" w:eastAsia="Arial" w:hAnsi="Arial"/>
          <w:sz w:val="18"/>
          <w:szCs w:val="18"/>
          <w:color w:val="auto"/>
        </w:rPr>
        <w:t>Compensation (</w:t>
      </w:r>
      <w:r>
        <w:rPr>
          <w:rFonts w:ascii="Arial" w:cs="Arial" w:eastAsia="Arial" w:hAnsi="Arial"/>
          <w:sz w:val="18"/>
          <w:szCs w:val="18"/>
          <w:i w:val="1"/>
          <w:iCs w:val="1"/>
          <w:color w:val="auto"/>
        </w:rPr>
        <w:t>Topic 718</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effects of a modification to an award unless all of</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the following conditions are met: the fair value of</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the modified award is the same as the fair value</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of the original award immediately before the</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original award is modified; the vesting conditions</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of the modified award are the same as the vesting</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conditions immediately before the original award</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is modified; and the classification of modified</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award as an equity instrument or a liability</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instrument is the same as the classification of the</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original award immediately before the original</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award is modified.</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adoption of this guidance could affect equity compensation expense and net income if there is a modification of an award.</w:t>
      </w:r>
    </w:p>
    <w:p>
      <w:pPr>
        <w:spacing w:after="0" w:line="2204" w:lineRule="exact"/>
        <w:rPr>
          <w:sz w:val="20"/>
          <w:szCs w:val="20"/>
          <w:color w:val="auto"/>
        </w:rPr>
      </w:pPr>
    </w:p>
    <w:p>
      <w:pPr>
        <w:sectPr>
          <w:pgSz w:w="11900" w:h="16859" w:orient="portrait"/>
          <w:cols w:equalWidth="0" w:num="2">
            <w:col w:w="7500" w:space="300"/>
            <w:col w:w="3620"/>
          </w:cols>
          <w:pgMar w:left="240" w:top="580" w:right="239" w:bottom="0" w:gutter="0" w:footer="0" w:header="0"/>
          <w:type w:val="continuous"/>
        </w:sectPr>
      </w:pPr>
    </w:p>
    <w:p>
      <w:pPr>
        <w:ind w:left="40"/>
        <w:spacing w:after="0"/>
        <w:rPr>
          <w:sz w:val="20"/>
          <w:szCs w:val="20"/>
          <w:color w:val="auto"/>
        </w:rPr>
      </w:pPr>
      <w:r>
        <w:rPr>
          <w:rFonts w:ascii="Arial" w:cs="Arial" w:eastAsia="Arial" w:hAnsi="Arial"/>
          <w:sz w:val="16"/>
          <w:szCs w:val="16"/>
          <w:color w:val="auto"/>
        </w:rPr>
        <w:t>ASU 2016-01, as amended through March 2018:</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Financial Instruments - Overall (</w:t>
      </w:r>
      <w:r>
        <w:rPr>
          <w:rFonts w:ascii="Arial" w:cs="Arial" w:eastAsia="Arial" w:hAnsi="Arial"/>
          <w:sz w:val="17"/>
          <w:szCs w:val="17"/>
          <w:i w:val="1"/>
          <w:iCs w:val="1"/>
          <w:color w:val="auto"/>
        </w:rPr>
        <w:t>Topic 825-10</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6"/>
          <w:szCs w:val="16"/>
          <w:color w:val="auto"/>
        </w:rPr>
        <w:t>Requires the following: (1) equity investments (except those accounted for under the equity method of accounting, or those that result in consolidation of the investee) to be measured at fair value with changes in fair value recognized in net income; (2) entities to use the exit price notion when measuring the fair value of financial instruments for disclosure purposes; (3) separate presentation of financial assets and financial liabilities by measurement category and form of financial asset; and (4) the elimination of the</w:t>
      </w:r>
    </w:p>
    <w:p>
      <w:pPr>
        <w:spacing w:after="0" w:line="20" w:lineRule="exact"/>
        <w:rPr>
          <w:sz w:val="20"/>
          <w:szCs w:val="20"/>
          <w:color w:val="auto"/>
        </w:rPr>
      </w:pPr>
      <w:r>
        <w:rPr>
          <w:sz w:val="20"/>
          <w:szCs w:val="20"/>
          <w:color w:val="auto"/>
        </w:rPr>
        <w:br w:type="column"/>
      </w:r>
    </w:p>
    <w:p>
      <w:pPr>
        <w:ind w:right="80"/>
        <w:spacing w:after="0" w:line="272" w:lineRule="auto"/>
        <w:rPr>
          <w:sz w:val="20"/>
          <w:szCs w:val="20"/>
          <w:color w:val="auto"/>
        </w:rPr>
      </w:pPr>
      <w:r>
        <w:rPr>
          <w:rFonts w:ascii="Arial" w:cs="Arial" w:eastAsia="Arial" w:hAnsi="Arial"/>
          <w:sz w:val="17"/>
          <w:szCs w:val="17"/>
          <w:color w:val="auto"/>
        </w:rPr>
        <w:t>The adoption of this guidance resulted in: a cumulative-effect adjustment to Accumulated Deficit; recognition of the change in fair value of certain equity investments in net income; and enhanced disclosure. The adoption of this guidance did not have a material impact on our consolidated financial statements.</w:t>
      </w:r>
    </w:p>
    <w:p>
      <w:pPr>
        <w:sectPr>
          <w:pgSz w:w="11900" w:h="16859" w:orient="portrait"/>
          <w:cols w:equalWidth="0" w:num="3">
            <w:col w:w="3540" w:space="380"/>
            <w:col w:w="3560" w:space="320"/>
            <w:col w:w="3620"/>
          </w:cols>
          <w:pgMar w:left="240" w:top="580" w:right="239" w:bottom="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40" w:right="20"/>
        <w:spacing w:after="0" w:line="264" w:lineRule="auto"/>
        <w:rPr>
          <w:sz w:val="20"/>
          <w:szCs w:val="20"/>
          <w:color w:val="auto"/>
        </w:rPr>
      </w:pPr>
      <w:r>
        <w:rPr>
          <w:rFonts w:ascii="Arial" w:cs="Arial" w:eastAsia="Arial" w:hAnsi="Arial"/>
          <w:sz w:val="18"/>
          <w:szCs w:val="18"/>
          <w:color w:val="auto"/>
        </w:rPr>
        <w:t>ASU 2014-09, as amended through November 2017: Revenue from Contracts with Customers (</w:t>
      </w:r>
      <w:r>
        <w:rPr>
          <w:rFonts w:ascii="Arial" w:cs="Arial" w:eastAsia="Arial" w:hAnsi="Arial"/>
          <w:sz w:val="18"/>
          <w:szCs w:val="18"/>
          <w:i w:val="1"/>
          <w:iCs w:val="1"/>
          <w:color w:val="auto"/>
        </w:rPr>
        <w:t>Topic 606</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40"/>
        <w:spacing w:after="0" w:line="277" w:lineRule="auto"/>
        <w:rPr>
          <w:sz w:val="20"/>
          <w:szCs w:val="20"/>
          <w:color w:val="auto"/>
        </w:rPr>
      </w:pPr>
      <w:r>
        <w:rPr>
          <w:rFonts w:ascii="Arial" w:cs="Arial" w:eastAsia="Arial" w:hAnsi="Arial"/>
          <w:sz w:val="18"/>
          <w:szCs w:val="18"/>
          <w:color w:val="auto"/>
        </w:rPr>
        <w:t>ASU 2017-12: Derivatives and Hedging (</w:t>
      </w:r>
      <w:r>
        <w:rPr>
          <w:rFonts w:ascii="Arial" w:cs="Arial" w:eastAsia="Arial" w:hAnsi="Arial"/>
          <w:sz w:val="18"/>
          <w:szCs w:val="18"/>
          <w:i w:val="1"/>
          <w:iCs w:val="1"/>
          <w:color w:val="auto"/>
        </w:rPr>
        <w:t>Topic</w:t>
      </w:r>
      <w:r>
        <w:rPr>
          <w:rFonts w:ascii="Arial" w:cs="Arial" w:eastAsia="Arial" w:hAnsi="Arial"/>
          <w:sz w:val="18"/>
          <w:szCs w:val="18"/>
          <w:color w:val="auto"/>
        </w:rPr>
        <w:t xml:space="preserve"> </w:t>
      </w:r>
      <w:r>
        <w:rPr>
          <w:rFonts w:ascii="Arial" w:cs="Arial" w:eastAsia="Arial" w:hAnsi="Arial"/>
          <w:sz w:val="18"/>
          <w:szCs w:val="18"/>
          <w:i w:val="1"/>
          <w:iCs w:val="1"/>
          <w:color w:val="auto"/>
        </w:rPr>
        <w:t>815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disclosure requirement to disclose the method(s) and significant assumptions used to estimate the fair value that is required to be disclosed for financial instruments measured at amortized cost.</w:t>
      </w:r>
    </w:p>
    <w:p>
      <w:pPr>
        <w:spacing w:after="0" w:line="11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core principle of the guidance is that using a five step methodology an entity should recognize revenue to depict the transfer of promised goods or services to customers in an amount that reflects the consideration to which the entity expects to be entitled in exchange for those goods or services. The standard also requires enhanced qualitative and quantitative disclosure regarding revenue recognition from customer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Requires that an entity align its risk management activities and financial reporting for hedging relationships through changes to both the designation and measurement guidance for qualifying hedging relationships and the presentation of hedge results. This guidance expands and refines hedge accounting for both financial and commodity risk components and aligns the recognition and presentation of the effects of the hedging instrument and the hedged item in the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The adoption of this guidance requires using either a full retrospective approach for all periods presented or a modified retrospective approach with a cumulative effect adjustment to Accumulated Deficit as of the date of adoption. We adopted the guidance using the modified retrospective approach effective January 1, 2018 with no adjustment to Accumulated Deficit. We adopted the standard through the application of the portfolio approach. We selected a sample of customer contracts to assess under the guidance of the new standard that were characteristically representative of each portfolio. Upon completion of our review, the guidance did not result in a significant change to the timing of revenue recognition. We identified certain immaterial sales commissions, which represent costs of obtaining a contract, that should be capitalized as contract acquisition costs under the guidance and amortized to general and administration expense over the expected life of the customer contract. Based on the immateriality of these sales commissions, no adjustment to Accumulated Deficit nor the accounting of these costs was deemed necessary. See Note 3, </w:t>
      </w: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for additional disclosure.</w:t>
      </w:r>
    </w:p>
    <w:p>
      <w:pPr>
        <w:spacing w:after="0" w:line="13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The adoption of this guidance affects the designation and measurement guidance for qualifying hedging relationships and the method of presenting hedge results, including the addition of a tabular disclosure related to the effect on the income statement of fair value and cash flow hedges and no longer measuring and reporting hedge ineffectiveness. We early adopted this guidance using a modified retrospective approach effective April 1, 2018 with an initial application date of January 1, 2018 with no adjustment to Accumulated Deficit. See Note 7,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for additional disclosure.</w:t>
      </w:r>
    </w:p>
    <w:p>
      <w:pPr>
        <w:spacing w:after="0" w:line="200" w:lineRule="exact"/>
        <w:rPr>
          <w:sz w:val="20"/>
          <w:szCs w:val="20"/>
          <w:color w:val="auto"/>
        </w:rPr>
      </w:pPr>
    </w:p>
    <w:p>
      <w:pPr>
        <w:sectPr>
          <w:pgSz w:w="11900" w:h="16946" w:orient="portrait"/>
          <w:cols w:equalWidth="0" w:num="3">
            <w:col w:w="3440" w:space="480"/>
            <w:col w:w="3600" w:space="280"/>
            <w:col w:w="3620"/>
          </w:cols>
          <w:pgMar w:left="240" w:top="125" w:right="239" w:bottom="0" w:gutter="0" w:footer="0" w:header="0"/>
        </w:sectPr>
      </w:pPr>
    </w:p>
    <w:p>
      <w:pPr>
        <w:spacing w:after="0" w:line="1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table providing a brief description of recent ASUs to the ASC issued by the FASB that may have a material effect on our consolidated financial statements upon adoption based on current account balances and activity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Standard</w:t>
            </w:r>
          </w:p>
        </w:tc>
        <w:tc>
          <w:tcPr>
            <w:tcW w:w="296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Description</w:t>
            </w:r>
          </w:p>
        </w:tc>
        <w:tc>
          <w:tcPr>
            <w:tcW w:w="4260" w:type="dxa"/>
            <w:vAlign w:val="bottom"/>
          </w:tcPr>
          <w:p>
            <w:pPr>
              <w:jc w:val="center"/>
              <w:ind w:left="548"/>
              <w:spacing w:after="0"/>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92"/>
        </w:trPr>
        <w:tc>
          <w:tcPr>
            <w:tcW w:w="4200" w:type="dxa"/>
            <w:vAlign w:val="bottom"/>
            <w:tcBorders>
              <w:bottom w:val="single" w:sz="8" w:color="auto"/>
            </w:tcBorders>
            <w:vMerge w:val="continue"/>
          </w:tcPr>
          <w:p>
            <w:pPr>
              <w:spacing w:after="0"/>
              <w:rPr>
                <w:sz w:val="16"/>
                <w:szCs w:val="16"/>
                <w:color w:val="auto"/>
              </w:rPr>
            </w:pPr>
          </w:p>
        </w:tc>
        <w:tc>
          <w:tcPr>
            <w:tcW w:w="2960" w:type="dxa"/>
            <w:vAlign w:val="bottom"/>
            <w:tcBorders>
              <w:bottom w:val="single" w:sz="8" w:color="auto"/>
            </w:tcBorders>
            <w:vMerge w:val="continue"/>
          </w:tcPr>
          <w:p>
            <w:pPr>
              <w:spacing w:after="0"/>
              <w:rPr>
                <w:sz w:val="16"/>
                <w:szCs w:val="16"/>
                <w:color w:val="auto"/>
              </w:rPr>
            </w:pPr>
          </w:p>
        </w:tc>
        <w:tc>
          <w:tcPr>
            <w:tcW w:w="426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b w:val="1"/>
                <w:bCs w:val="1"/>
                <w:color w:val="auto"/>
                <w:w w:val="95"/>
              </w:rPr>
              <w:t>Significant Matters</w:t>
            </w:r>
          </w:p>
        </w:tc>
        <w:tc>
          <w:tcPr>
            <w:tcW w:w="0" w:type="dxa"/>
            <w:vAlign w:val="bottom"/>
          </w:tcPr>
          <w:p>
            <w:pPr>
              <w:spacing w:after="0"/>
              <w:rPr>
                <w:sz w:val="1"/>
                <w:szCs w:val="1"/>
                <w:color w:val="auto"/>
              </w:rPr>
            </w:pPr>
          </w:p>
        </w:tc>
      </w:tr>
      <w:tr>
        <w:trPr>
          <w:trHeight w:val="190"/>
        </w:trPr>
        <w:tc>
          <w:tcPr>
            <w:tcW w:w="4200" w:type="dxa"/>
            <w:vAlign w:val="bottom"/>
          </w:tcPr>
          <w:p>
            <w:pPr>
              <w:ind w:left="40"/>
              <w:spacing w:after="0"/>
              <w:rPr>
                <w:sz w:val="20"/>
                <w:szCs w:val="20"/>
                <w:color w:val="auto"/>
              </w:rPr>
            </w:pPr>
            <w:r>
              <w:rPr>
                <w:rFonts w:ascii="Arial" w:cs="Arial" w:eastAsia="Arial" w:hAnsi="Arial"/>
                <w:sz w:val="14"/>
                <w:szCs w:val="14"/>
                <w:b w:val="1"/>
                <w:bCs w:val="1"/>
                <w:color w:val="auto"/>
              </w:rPr>
              <w:t>Accounting standards that are pending adoption</w:t>
            </w:r>
          </w:p>
        </w:tc>
        <w:tc>
          <w:tcPr>
            <w:tcW w:w="29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sectPr>
          <w:pgSz w:w="11900" w:h="16946" w:orient="portrait"/>
          <w:cols w:equalWidth="0" w:num="1">
            <w:col w:w="11420"/>
          </w:cols>
          <w:pgMar w:left="240" w:top="125" w:right="239" w:bottom="0" w:gutter="0" w:footer="0" w:header="0"/>
          <w:type w:val="continuous"/>
        </w:sectPr>
      </w:pPr>
    </w:p>
    <w:p>
      <w:pPr>
        <w:ind w:left="40"/>
        <w:spacing w:after="0" w:line="277" w:lineRule="auto"/>
        <w:rPr>
          <w:sz w:val="20"/>
          <w:szCs w:val="20"/>
          <w:color w:val="auto"/>
        </w:rPr>
      </w:pPr>
      <w:r>
        <w:rPr>
          <w:rFonts w:ascii="Arial" w:cs="Arial" w:eastAsia="Arial" w:hAnsi="Arial"/>
          <w:sz w:val="18"/>
          <w:szCs w:val="18"/>
          <w:color w:val="auto"/>
        </w:rPr>
        <w:t>ASU 2017-04: Intangibles - Goodwill and Other (</w:t>
      </w:r>
      <w:r>
        <w:rPr>
          <w:rFonts w:ascii="Arial" w:cs="Arial" w:eastAsia="Arial" w:hAnsi="Arial"/>
          <w:sz w:val="18"/>
          <w:szCs w:val="18"/>
          <w:i w:val="1"/>
          <w:iCs w:val="1"/>
          <w:color w:val="auto"/>
        </w:rPr>
        <w:t>Topic 350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8"/>
          <w:szCs w:val="18"/>
          <w:color w:val="auto"/>
        </w:rPr>
        <w:t>Requires that when an entity is performing its annual, or interim, goodwill impairment test, it should compare the fair value of the reporting unit with its carrying amount when calculating its impairment charge, noting that the loss recognized should not exceed the total amount of goodwill allocated to that reporting unit. Additionally, if applicable, an entity should consider income tax effects from any tax deductible goodwill on the carrying amount of the reporting unit when calculating its impairment charge.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As of December 31, 2017, we did not record a goodwill impairment charge related to our annual goodwill impairment test because at that time the fair value of each reporting unit exceeded its respective carrying value. Upon adoption, if the carrying value of any of these reporting units exceeds the fair value when we perform a goodwill impairment test, we would record an impairment charge equal to the amount by which the carrying value exceeds its fair value. This guidance is effective January 1, 2020 with early adoption permitted for interim or annual goodwill impairment tests performed after January 1, 2017.</w:t>
      </w:r>
    </w:p>
    <w:p>
      <w:pPr>
        <w:spacing w:after="0" w:line="200" w:lineRule="exact"/>
        <w:rPr>
          <w:sz w:val="20"/>
          <w:szCs w:val="20"/>
          <w:color w:val="auto"/>
        </w:rPr>
      </w:pPr>
    </w:p>
    <w:p>
      <w:pPr>
        <w:sectPr>
          <w:pgSz w:w="11900" w:h="16946" w:orient="portrait"/>
          <w:cols w:equalWidth="0" w:num="3">
            <w:col w:w="3520" w:space="400"/>
            <w:col w:w="3580" w:space="300"/>
            <w:col w:w="3620"/>
          </w:cols>
          <w:pgMar w:left="240" w:top="125" w:right="239" w:bottom="0" w:gutter="0" w:footer="0" w:header="0"/>
          <w:type w:val="continuous"/>
        </w:sectPr>
      </w:pP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ASU 2016-02, as amended through July 2018:</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Leases (</w:t>
      </w:r>
      <w:r>
        <w:rPr>
          <w:rFonts w:ascii="Arial" w:cs="Arial" w:eastAsia="Arial" w:hAnsi="Arial"/>
          <w:sz w:val="18"/>
          <w:szCs w:val="18"/>
          <w:i w:val="1"/>
          <w:iCs w:val="1"/>
          <w:color w:val="auto"/>
        </w:rPr>
        <w:t>Topic 842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Requires that a lessee recognize at the commencement date: a lease liability, which is the obligation of the lessee to make lease payments arising from a lease, measured on a discounted basis; and a right-of-use asset, which is an asset that represents the lessee’s right to use, or control the use of, a specified asset for the lease term.</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are currently assessing the provisions of this guidance and evaluating the impact the guidance will have on our consolidated financial statements and related disclosures. We have also engaged outside resources to assist in applying and implementing this guidance. We are currently in the process of identifying and aggregating lease contracts for review and input into a third-</w:t>
      </w:r>
    </w:p>
    <w:p>
      <w:pPr>
        <w:sectPr>
          <w:pgSz w:w="11900" w:h="16946" w:orient="portrait"/>
          <w:cols w:equalWidth="0" w:num="3">
            <w:col w:w="3380" w:space="540"/>
            <w:col w:w="3580" w:space="300"/>
            <w:col w:w="3620"/>
          </w:cols>
          <w:pgMar w:left="240" w:top="125" w:right="239" w:bottom="0" w:gutter="0" w:footer="0" w:header="0"/>
          <w:type w:val="continuous"/>
        </w:sectPr>
      </w:pPr>
    </w:p>
    <w:bookmarkStart w:id="9" w:name="page10"/>
    <w:bookmarkEnd w:id="9"/>
    <w:p>
      <w:pPr>
        <w:ind w:left="7800"/>
        <w:spacing w:after="0"/>
        <w:rPr>
          <w:sz w:val="20"/>
          <w:szCs w:val="20"/>
          <w:color w:val="auto"/>
        </w:rPr>
      </w:pPr>
      <w:r>
        <w:rPr>
          <w:rFonts w:ascii="Arial" w:cs="Arial" w:eastAsia="Arial" w:hAnsi="Arial"/>
          <w:sz w:val="16"/>
          <w:szCs w:val="16"/>
          <w:color w:val="auto"/>
        </w:rPr>
        <w:t>party lease accounting software application. The</w:t>
      </w:r>
    </w:p>
    <w:p>
      <w:pPr>
        <w:spacing w:after="0" w:line="46"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adoption of this ASU is expected to impact the</w:t>
      </w:r>
    </w:p>
    <w:p>
      <w:pPr>
        <w:spacing w:after="0" w:line="21" w:lineRule="exact"/>
        <w:rPr>
          <w:sz w:val="20"/>
          <w:szCs w:val="20"/>
          <w:color w:val="auto"/>
        </w:rPr>
      </w:pPr>
    </w:p>
    <w:p>
      <w:pPr>
        <w:ind w:left="7800"/>
        <w:spacing w:after="0"/>
        <w:rPr>
          <w:sz w:val="20"/>
          <w:szCs w:val="20"/>
          <w:color w:val="auto"/>
        </w:rPr>
      </w:pPr>
      <w:r>
        <w:rPr>
          <w:rFonts w:ascii="Arial" w:cs="Arial" w:eastAsia="Arial" w:hAnsi="Arial"/>
          <w:sz w:val="16"/>
          <w:szCs w:val="16"/>
          <w:color w:val="auto"/>
        </w:rPr>
        <w:t>balance sheet through the recognition of a right-</w:t>
      </w:r>
    </w:p>
    <w:p>
      <w:pPr>
        <w:spacing w:after="0" w:line="32"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of-use asset and a lease liability for all leases</w:t>
      </w:r>
    </w:p>
    <w:p>
      <w:pPr>
        <w:spacing w:after="0" w:line="21" w:lineRule="exact"/>
        <w:rPr>
          <w:sz w:val="20"/>
          <w:szCs w:val="20"/>
          <w:color w:val="auto"/>
        </w:rPr>
      </w:pPr>
    </w:p>
    <w:p>
      <w:pPr>
        <w:ind w:left="7800"/>
        <w:spacing w:after="0"/>
        <w:rPr>
          <w:sz w:val="20"/>
          <w:szCs w:val="20"/>
          <w:color w:val="auto"/>
        </w:rPr>
      </w:pPr>
      <w:r>
        <w:rPr>
          <w:rFonts w:ascii="Arial" w:cs="Arial" w:eastAsia="Arial" w:hAnsi="Arial"/>
          <w:sz w:val="16"/>
          <w:szCs w:val="16"/>
          <w:color w:val="auto"/>
        </w:rPr>
        <w:t>with terms in excess of 12 months. This guidance</w:t>
      </w:r>
    </w:p>
    <w:p>
      <w:pPr>
        <w:spacing w:after="0" w:line="32"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is effective January 1, 2019 using a modified</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retrospective transition approach with early</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adoption permitted.</w:t>
      </w:r>
    </w:p>
    <w:p>
      <w:pPr>
        <w:spacing w:after="0" w:line="23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adopted ASU 2014-09, as amended, Revenue from Contracts with Customers (</w:t>
      </w:r>
      <w:r>
        <w:rPr>
          <w:rFonts w:ascii="Arial" w:cs="Arial" w:eastAsia="Arial" w:hAnsi="Arial"/>
          <w:sz w:val="17"/>
          <w:szCs w:val="17"/>
          <w:i w:val="1"/>
          <w:iCs w:val="1"/>
          <w:color w:val="auto"/>
        </w:rPr>
        <w:t>Topic 606</w:t>
      </w:r>
      <w:r>
        <w:rPr>
          <w:rFonts w:ascii="Arial" w:cs="Arial" w:eastAsia="Arial" w:hAnsi="Arial"/>
          <w:sz w:val="17"/>
          <w:szCs w:val="17"/>
          <w:color w:val="auto"/>
        </w:rPr>
        <w:t>) effective January 1, 2018. We adopted this guidance using the modified retrospective approach, noting that no cumulative effect adjustment to the beginning balance of Accumulated Deficit was needed. The comparative periods have not been restated and continue to be reported under Revenue Recognition (</w:t>
      </w:r>
      <w:r>
        <w:rPr>
          <w:rFonts w:ascii="Arial" w:cs="Arial" w:eastAsia="Arial" w:hAnsi="Arial"/>
          <w:sz w:val="17"/>
          <w:szCs w:val="17"/>
          <w:i w:val="1"/>
          <w:iCs w:val="1"/>
          <w:color w:val="auto"/>
        </w:rPr>
        <w:t>Topic 605).</w:t>
      </w:r>
      <w:r>
        <w:rPr>
          <w:rFonts w:ascii="Arial" w:cs="Arial" w:eastAsia="Arial" w:hAnsi="Arial"/>
          <w:sz w:val="17"/>
          <w:szCs w:val="17"/>
          <w:color w:val="auto"/>
        </w:rPr>
        <w:t xml:space="preserve"> We applied this guidance to contracts that were not substantially completed contracts at the date of adoption. Additionally, contract modifications that occurred before the adoption date were not separately evaluated, rather the guidance was applied to the current version of the contract only. We disaggregate our revenues by applicable service line: collection, landfill, transfer, customer solutions, recycling, organics, transportation and landfill gas-to-energy.</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25" w:right="299" w:bottom="1440" w:gutter="0" w:footer="0" w:header="0"/>
        </w:sectPr>
      </w:pPr>
    </w:p>
    <w:bookmarkStart w:id="10" w:name="page11"/>
    <w:bookmarkEnd w:id="10"/>
    <w:p>
      <w:pPr>
        <w:spacing w:after="0" w:line="268" w:lineRule="auto"/>
        <w:rPr>
          <w:sz w:val="20"/>
          <w:szCs w:val="20"/>
          <w:color w:val="auto"/>
        </w:rPr>
      </w:pPr>
      <w:r>
        <w:rPr>
          <w:rFonts w:ascii="Arial" w:cs="Arial" w:eastAsia="Arial" w:hAnsi="Arial"/>
          <w:sz w:val="17"/>
          <w:szCs w:val="17"/>
          <w:color w:val="auto"/>
        </w:rPr>
        <w:t>Under the new revenue recognition guidance, revenues are measured based on the consideration specified in a contract with a customer. The circumstances that impact the timing and amount of revenue recognized for each applicable service line may vary based on the nature of the service performed. We generally recognize revenues for services over time as we satisfy the performance obligation by transferring control over the service to the customer as the service is performed and the benefit is received and consumed by the customer. Services are typically delivered in a series as a single bundled performance obligation over either a designated period of time or for specified number of services. Services may also be delivered as a single bundled service, on a period-to-period basis, or in a spot transaction. Consideration may be variable on a per ton basis and/or fixed. Fixed consideration is allocated to each distinct service and variable consideration is allocated to the increment of time that the service is performed and we have the contractual right to the fee. Fees are typically billed weekly, monthly, quarterly or in advance. Generally, the amount of consideration that we have the right to receive that is invoiced to the customer directly corresponds to the value of our performance completed to date. We elected the optional exemption, to not disclose the amount of variable consideration included in the transaction price that is allocated to outstanding performance obligations when the variable consideration is allocated entirely to unsatisfied performance obligations or to a wholly unsatisfied promise to transfer a distinct good or service that forms part of a single performance obligation. Revenues that are not satisfied over time are recognized at a point-in-time. This typically includes the sale of recycled or organic materials, as well as renewable energy credits ("RECs"). Revenues from the sale of organic or recycled materials are recognized at a point-in-time as control of the materials transfers to the customer upon shipment or pick-up by the customer. Revenues from the sale of RECs are recognized at a point-in-time as the trade is executed and control transfers to the customer.</w:t>
      </w:r>
    </w:p>
    <w:p>
      <w:pPr>
        <w:spacing w:after="0" w:line="18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$1,616 and $3,084 in the three and six months ended June 30, 2018, respectively. Rebates are generally recorded as a reduction of revenues upon the sale of such materials, or upon receipt of the recycled materials at our facilities. These payments were previously recorded as a cost of operations. We did not record any revenues in the three and six months ended June 30, 2018 from performance obligations satisfied in previous periods.</w:t>
      </w:r>
    </w:p>
    <w:p>
      <w:pPr>
        <w:spacing w:after="0" w:line="17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Contract receivables, which are included in Accounts receivable - trade, net are recorded when billed or when related revenue is earned, if earlier, and represent claims against third-parties that will be settled in cash. Accounts receivable - trade, net includes gross receivables from contracts of $77,822 and $66,227 as of June 30, 2018 and December 31, 2017, respectively. Certain customers are billed in advance and, accordingly, recognition of the related revenues is deferred as a contract liability until the services are provided and control transferred to the customer. Contract liabilities of $2,115 and $1,823 as of June 30, 2018 and December 31, 2017, respectively, were reclassified out of Other accrued liabilities and presented separately on the face of the Consolidated Balance Sheets. Due to the short term nature of advanced billings, substantially all of the deferred revenue recognized as a contract liability as of December 31, 2017 was recognized as revenue during the three and six months ended June 30, 2018 when the services were performed.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by Service 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Collection</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Collection revenues are principally generated by providing waste collection and disposal services to our customers. Services may be provided as needed or as scheduled. We derive a substantial portion of our collection revenues from commercial and industrial services, which typically have a standard contract duration of three years, along with municipal services that are generally performed pursuant to contracts with municipalities with varying terms. The majority of our residential collection services are performed on a subscription basis with individual households.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Landfill</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Landfill disposal services primarily consist of receiving some form of acceptable solid waste materials at one of our landfills and appropriately disposing of it. Landfill customers are typically charged a tipping fee on a per ton basis for disposing of their solid waste at our disposal facilities. In general, these fees are variable in nature.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Station</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Transfer station disposal services primarily consist of receiving some form of acceptable solid waste materials at one of our transfer stations and appropriately disposing of it by transporting it to an appropriate disposal site. Transfer station customers are charged a tipping fee on a per ton basis for disposing of their solid waste at our transfer stations. In general, these fees are variable in nature.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0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Transportation</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Transportation services consist of the transportation of large volumes of waste or recycled materials from a customer designated location to another location or disposal facility. Transportation customers are charged a fee on a per ton basis for transporting and/or disposal of the materials. In general, these fees are variable in nature.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Recycling</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Recycling services primarily consist of the collection and/or receipt of recycled materials at one of our materials recovery facilities; the processing or sorting of the recycled materials; and the disposal or sale of the recycled materials. Revenues from recycling services consist of revenues derived from municipalities and customers in the form of processing fees, tipping fees and commodity sales. In brokerage arrangements, we act as an agent that facilitates the sale of recyclable materials between an inbound customer and an outbound customer. Revenues from the brokerage of recycled materials are recognized on a net basis at the time of shipment. In general, these fees are variable in nature.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Solutions</w:t>
      </w:r>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Customer solutions services consist of commercial and industrial offerings. Commercial services consist of traditional collection, disposal and recycling services provided to large account multi-site customers. Industrial services consist of overall resource management services provided to large and complex organizations, such as universities, hospitals, manufacturers and municipalities, delivering a wide range of environmental services and zero waste solutions.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Organics services primarily consist of the collection and/or receipt of organic materials at one of our processing or disposal facilities; the processing of the organic materials; and the disposal or sale of the organic materials.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Landfill Gas-to-Energy</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Landfill gas-to-energy services primarily consist of the generation and sale of electricity from landfill gas-to-energy facilities located at certain of our landfills; the reservation of electric generating capacity to be used by a customer on demand; and the sale of RECs.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800" w:right="29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 table of revenues disaggregated by service line and timing of revenue recognition by operating segment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Eastern</w:t>
            </w:r>
          </w:p>
        </w:tc>
        <w:tc>
          <w:tcPr>
            <w:tcW w:w="120" w:type="dxa"/>
            <w:vAlign w:val="bottom"/>
            <w:tcBorders>
              <w:bottom w:val="single" w:sz="8" w:color="CCEEFF"/>
            </w:tcBorders>
            <w:gridSpan w:val="2"/>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Western</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Recycling</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Other</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 Revenues</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40,869</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75,494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Landfill</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7,883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16,200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Transfer</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Customer solutions</w:t>
            </w:r>
          </w:p>
        </w:tc>
        <w:tc>
          <w:tcPr>
            <w:tcW w:w="300" w:type="dxa"/>
            <w:vAlign w:val="bottom"/>
          </w:tcPr>
          <w:p>
            <w:pPr>
              <w:spacing w:after="0"/>
              <w:rPr>
                <w:sz w:val="21"/>
                <w:szCs w:val="21"/>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15,950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Organics</w:t>
            </w:r>
          </w:p>
        </w:tc>
        <w:tc>
          <w:tcPr>
            <w:tcW w:w="300" w:type="dxa"/>
            <w:vAlign w:val="bottom"/>
          </w:tcPr>
          <w:p>
            <w:pPr>
              <w:spacing w:after="0"/>
              <w:rPr>
                <w:sz w:val="21"/>
                <w:szCs w:val="21"/>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14,647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14,647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Transportation</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Landfill gas-to-energy</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53,589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71,043</w:t>
            </w: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31,417</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165,649</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Transferred at a point-in-time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Transferred over time</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53,408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70,797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3,982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29,692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157,879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53,589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71,043</w:t>
            </w: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31,417</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165,649</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Six Months Ended June 30, 2018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5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Eastern</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Western</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Recycling</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Other</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2"/>
              </w:rPr>
              <w:t>Total Revenues</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65,149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77,353</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142,502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Landfill</w:t>
            </w: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13,843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30,740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44,583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Transfer</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13,617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31,921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Customer solutions</w:t>
            </w:r>
          </w:p>
        </w:tc>
        <w:tc>
          <w:tcPr>
            <w:tcW w:w="300" w:type="dxa"/>
            <w:vAlign w:val="bottom"/>
          </w:tcPr>
          <w:p>
            <w:pPr>
              <w:spacing w:after="0"/>
              <w:rPr>
                <w:sz w:val="21"/>
                <w:szCs w:val="21"/>
                <w:color w:val="auto"/>
              </w:rPr>
            </w:pP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31,119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31,119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19,757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Organics</w:t>
            </w:r>
          </w:p>
        </w:tc>
        <w:tc>
          <w:tcPr>
            <w:tcW w:w="300" w:type="dxa"/>
            <w:vAlign w:val="bottom"/>
          </w:tcPr>
          <w:p>
            <w:pPr>
              <w:spacing w:after="0"/>
              <w:rPr>
                <w:sz w:val="21"/>
                <w:szCs w:val="21"/>
                <w:color w:val="auto"/>
              </w:rPr>
            </w:pP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26,847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26,847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Transportation</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Landfill gas-to-energy</w:t>
            </w: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798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2,296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98,094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135,783</w:t>
            </w: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19,757</w:t>
            </w: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59,470</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313,104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Transferred at a point-in-time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12,875</w:t>
            </w: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2,082</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Transferred over time</w:t>
            </w: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97,722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135,169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6,882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57,388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297,161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98,094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135,783</w:t>
            </w: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19,757</w:t>
            </w: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59,470</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313,104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BUSINESS COMBINATIONS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acquired one solid waste collection, transfer and processing business in our Eastern region, Complete Disposal Company, Inc. and its subsidiary United Material Management of Holyoke, Inc. (collectively, "Complete"), which provides residential and roll-off collection services, operates a construction and demolition processing facility, and operates a solid waste transfer station with both truck and rail transfer capabilities during the six months ended June 30, 2018. We also acquired one solid waste collection business in our Western region during the six months ended June 30, 2018. In the six months ended June 30, 2017, we acquired one solid waste collection business in each of our Eastern and Western regions. The operating results of these businesses are included in the accompanying unaudited consolidated statements of operations from each date of acquisition, and the purchase price has been allocated to the net assets acquired based on fair values at each date of acquisition, with the residual amounts recorded as goodwill. Acquired intangible assets other than goodwill that are subject to amortization include client lists and non-compete covenants. Such assets are amortized over a five to ten year period from the date of acquisition. All amounts recorded to goodwill, except amounts related to the Complete acquisition, are expected to be deductible for tax purposes.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 summary of the purchase price paid for these acquisitions and the allocation of the purchase price for these acquisitions follows: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Cash paid for acquisitions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19,189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2,664</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payable</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non-cash consideration</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Holdbacks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19,361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5,360</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Allocated as follows: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Current assets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Building</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Equipment</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4,642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2,291</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liabilities, net</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liability</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(1,635)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Fair value of assets acquired and liabilities assumed</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11,649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3,559</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purchase price allocated to goodwill</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purchase price allocations are preliminary and are based on information existing at the acquisition dates or upon closing the transaction. Accordingly, the purchase price allocations are subject to change. Unaudited pro forma combined information that shows our operational results as though each acquisition completed since the beginning of the prior fiscal year had occurred as of January 1, 2017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165,649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159,892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313,503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300,041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15,149</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(46,986)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16,005</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(40,112)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1,704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(53,553)</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shares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42,661</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42,516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41,698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per share attributable to common stockholders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weighted average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43,916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42,516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41,698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per share attributable to common stockholders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pro forma results set forth in the table above have been prepared for comparative purposes only and are not necessarily indicative of the actual results of operations had the acquisitions occurred as of January 1, 2017 or of the results of our future operations. Furthermore, the pro forma results do not give effect to all cost savings or incremental costs that may occur as a result of the integration and consolidation of the completed acquisitions.</w:t>
      </w:r>
    </w:p>
    <w:p>
      <w:pPr>
        <w:spacing w:after="0" w:line="16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A summary of the activity and balances related to goodwill by operating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Pr>
          <w:p>
            <w:pPr>
              <w:spacing w:after="0"/>
              <w:rPr>
                <w:sz w:val="16"/>
                <w:szCs w:val="16"/>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Acquisitions</w:t>
            </w:r>
          </w:p>
        </w:tc>
        <w:tc>
          <w:tcPr>
            <w:tcW w:w="280" w:type="dxa"/>
            <w:vAlign w:val="bottom"/>
          </w:tcPr>
          <w:p>
            <w:pPr>
              <w:spacing w:after="0"/>
              <w:rPr>
                <w:sz w:val="16"/>
                <w:szCs w:val="16"/>
                <w:color w:val="auto"/>
              </w:rPr>
            </w:pPr>
          </w:p>
        </w:tc>
        <w:tc>
          <w:tcPr>
            <w:tcW w:w="1420" w:type="dxa"/>
            <w:vAlign w:val="bottom"/>
          </w:tcPr>
          <w:p>
            <w:pPr>
              <w:jc w:val="right"/>
              <w:ind w:right="353"/>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 region (1)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25,200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Western region</w:t>
            </w:r>
          </w:p>
        </w:tc>
        <w:tc>
          <w:tcPr>
            <w:tcW w:w="20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89,369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91,073</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12,315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1,729</w:t>
            </w: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122,605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130,317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8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acquisitions amount includes a $1,635 goodwill adjustment for the tax treatment associated with the Complete acquisition. See Note 13,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w:t>
      </w:r>
      <w:r>
        <w:rPr>
          <w:rFonts w:ascii="Arial" w:cs="Arial" w:eastAsia="Arial" w:hAnsi="Arial"/>
          <w:sz w:val="18"/>
          <w:szCs w:val="18"/>
          <w:color w:val="auto"/>
        </w:rPr>
        <w:t>for additional disclosure.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by intangible asset type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Covenants</w:t>
            </w:r>
          </w:p>
        </w:tc>
        <w:tc>
          <w:tcPr>
            <w:tcW w:w="320" w:type="dxa"/>
            <w:vAlign w:val="bottom"/>
          </w:tcPr>
          <w:p>
            <w:pPr>
              <w:spacing w:after="0"/>
              <w:rPr>
                <w:sz w:val="14"/>
                <w:szCs w:val="14"/>
                <w:color w:val="auto"/>
              </w:rPr>
            </w:pPr>
          </w:p>
        </w:tc>
        <w:tc>
          <w:tcPr>
            <w:tcW w:w="15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Client Lists</w:t>
            </w:r>
          </w:p>
        </w:tc>
        <w:tc>
          <w:tcPr>
            <w:tcW w:w="400" w:type="dxa"/>
            <w:vAlign w:val="bottom"/>
          </w:tcPr>
          <w:p>
            <w:pPr>
              <w:spacing w:after="0"/>
              <w:rPr>
                <w:sz w:val="14"/>
                <w:szCs w:val="14"/>
                <w:color w:val="auto"/>
              </w:rPr>
            </w:pPr>
          </w:p>
        </w:tc>
        <w:tc>
          <w:tcPr>
            <w:tcW w:w="130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Not-to-Compete</w:t>
            </w:r>
          </w:p>
        </w:tc>
        <w:tc>
          <w:tcPr>
            <w:tcW w:w="3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2018</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19,192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19,687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38,879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(29,164)</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7,721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9,715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Covenants</w:t>
            </w:r>
          </w:p>
        </w:tc>
        <w:tc>
          <w:tcPr>
            <w:tcW w:w="320" w:type="dxa"/>
            <w:vAlign w:val="bottom"/>
          </w:tcPr>
          <w:p>
            <w:pPr>
              <w:spacing w:after="0"/>
              <w:rPr>
                <w:sz w:val="24"/>
                <w:szCs w:val="24"/>
                <w:color w:val="auto"/>
              </w:rPr>
            </w:pPr>
          </w:p>
        </w:tc>
        <w:tc>
          <w:tcPr>
            <w:tcW w:w="15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Client Lists</w:t>
            </w:r>
          </w:p>
        </w:tc>
        <w:tc>
          <w:tcPr>
            <w:tcW w:w="400" w:type="dxa"/>
            <w:vAlign w:val="bottom"/>
          </w:tcPr>
          <w:p>
            <w:pPr>
              <w:spacing w:after="0"/>
              <w:rPr>
                <w:sz w:val="24"/>
                <w:szCs w:val="24"/>
                <w:color w:val="auto"/>
              </w:rPr>
            </w:pPr>
          </w:p>
        </w:tc>
        <w:tc>
          <w:tcPr>
            <w:tcW w:w="130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Not-to-Compete</w:t>
            </w:r>
          </w:p>
        </w:tc>
        <w:tc>
          <w:tcPr>
            <w:tcW w:w="3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18,092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18,087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36,179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(28,030)</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6,908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8,149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Intangible amortization expense was $567 and $1,134 during the three and six months ended June 30, 2018, respectively, as compared to $505 and $991 during the three and six months ended June 30, 2017,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A summary of intangible amortization expense estimated for the five fiscal years following the fiscal year ended December 31, 2017 and thereafter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gridSpan w:val="3"/>
          </w:tcPr>
          <w:p>
            <w:pPr>
              <w:ind w:left="40"/>
              <w:spacing w:after="0"/>
              <w:rPr>
                <w:sz w:val="20"/>
                <w:szCs w:val="20"/>
                <w:color w:val="auto"/>
              </w:rPr>
            </w:pPr>
            <w:r>
              <w:rPr>
                <w:rFonts w:ascii="Arial" w:cs="Arial" w:eastAsia="Arial" w:hAnsi="Arial"/>
                <w:sz w:val="14"/>
                <w:szCs w:val="14"/>
                <w:b w:val="1"/>
                <w:bCs w:val="1"/>
                <w:color w:val="auto"/>
              </w:rPr>
              <w:t>Estimated Future Amortization Expense as of June 30, 2018</w:t>
            </w:r>
          </w:p>
        </w:tc>
        <w:tc>
          <w:tcPr>
            <w:tcW w:w="3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368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Fiscal year ending December 31, 2018</w:t>
            </w:r>
          </w:p>
        </w:tc>
        <w:tc>
          <w:tcPr>
            <w:tcW w:w="3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w:t>
            </w:r>
          </w:p>
        </w:tc>
      </w:tr>
      <w:tr>
        <w:trPr>
          <w:trHeight w:val="243"/>
        </w:trPr>
        <w:tc>
          <w:tcPr>
            <w:tcW w:w="6720" w:type="dxa"/>
            <w:vAlign w:val="bottom"/>
            <w:gridSpan w:val="3"/>
          </w:tcPr>
          <w:p>
            <w:pPr>
              <w:ind w:left="40"/>
              <w:spacing w:after="0"/>
              <w:rPr>
                <w:sz w:val="20"/>
                <w:szCs w:val="20"/>
                <w:color w:val="auto"/>
              </w:rPr>
            </w:pPr>
            <w:r>
              <w:rPr>
                <w:rFonts w:ascii="Arial" w:cs="Arial" w:eastAsia="Arial" w:hAnsi="Arial"/>
                <w:sz w:val="18"/>
                <w:szCs w:val="18"/>
                <w:color w:val="auto"/>
              </w:rPr>
              <w:t>Fiscal year ending December 31, 2019</w:t>
            </w:r>
          </w:p>
        </w:tc>
        <w:tc>
          <w:tcPr>
            <w:tcW w:w="36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1,975</w:t>
            </w:r>
          </w:p>
        </w:tc>
      </w:tr>
      <w:tr>
        <w:trPr>
          <w:trHeight w:val="27"/>
        </w:trPr>
        <w:tc>
          <w:tcPr>
            <w:tcW w:w="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Fiscal year ending December 31, 2020</w:t>
            </w:r>
          </w:p>
        </w:tc>
        <w:tc>
          <w:tcPr>
            <w:tcW w:w="3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w:t>
            </w:r>
          </w:p>
        </w:tc>
      </w:tr>
      <w:tr>
        <w:trPr>
          <w:trHeight w:val="243"/>
        </w:trPr>
        <w:tc>
          <w:tcPr>
            <w:tcW w:w="6720" w:type="dxa"/>
            <w:vAlign w:val="bottom"/>
            <w:gridSpan w:val="3"/>
          </w:tcPr>
          <w:p>
            <w:pPr>
              <w:ind w:left="40"/>
              <w:spacing w:after="0"/>
              <w:rPr>
                <w:sz w:val="20"/>
                <w:szCs w:val="20"/>
                <w:color w:val="auto"/>
              </w:rPr>
            </w:pPr>
            <w:r>
              <w:rPr>
                <w:rFonts w:ascii="Arial" w:cs="Arial" w:eastAsia="Arial" w:hAnsi="Arial"/>
                <w:sz w:val="18"/>
                <w:szCs w:val="18"/>
                <w:color w:val="auto"/>
              </w:rPr>
              <w:t>Fiscal year ending December 31, 2021</w:t>
            </w:r>
          </w:p>
        </w:tc>
        <w:tc>
          <w:tcPr>
            <w:tcW w:w="36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1,583</w:t>
            </w:r>
          </w:p>
        </w:tc>
      </w:tr>
      <w:tr>
        <w:trPr>
          <w:trHeight w:val="27"/>
        </w:trPr>
        <w:tc>
          <w:tcPr>
            <w:tcW w:w="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Fiscal year ending December 31, 2022</w:t>
            </w:r>
          </w:p>
        </w:tc>
        <w:tc>
          <w:tcPr>
            <w:tcW w:w="3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r>
      <w:tr>
        <w:trPr>
          <w:trHeight w:val="243"/>
        </w:trPr>
        <w:tc>
          <w:tcPr>
            <w:tcW w:w="67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6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1,926</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ACCRUED FINAL CAPPING, CLOSURE AND POST CLOSURE</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 summary of the changes to accrued final capping, closure and post-closure liabilities follows:</w:t>
      </w:r>
    </w:p>
    <w:p>
      <w:pPr>
        <w:spacing w:after="0" w:line="17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62,290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44,207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Obligations incurred</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1,310</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Revision in estimates (1)</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9,598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Accretion expense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1,939</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settled (2)</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67,745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56,747</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left="660" w:right="2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Relates to changes in estimates and assumptions associated with anticipated costs of future final capping, closure and post-closure activities at the Town of Southbridge, Massachusetts Landfill. See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Note 11, </w:t>
      </w:r>
      <w:r>
        <w:rPr>
          <w:rFonts w:ascii="Arial" w:cs="Arial" w:eastAsia="Arial" w:hAnsi="Arial"/>
          <w:sz w:val="18"/>
          <w:szCs w:val="18"/>
          <w:i w:val="1"/>
          <w:iCs w:val="1"/>
          <w:color w:val="auto"/>
        </w:rPr>
        <w:t>Other Items and Charges</w:t>
      </w:r>
      <w:r>
        <w:rPr>
          <w:rFonts w:ascii="Arial" w:cs="Arial" w:eastAsia="Arial" w:hAnsi="Arial"/>
          <w:sz w:val="18"/>
          <w:szCs w:val="18"/>
          <w:color w:val="auto"/>
        </w:rPr>
        <w:t xml:space="preserve"> for additional disclosure.</w:t>
      </w:r>
    </w:p>
    <w:p>
      <w:pPr>
        <w:spacing w:after="0" w:line="73"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and capital leases by debt instrument follows:</w:t>
      </w:r>
    </w:p>
    <w:p>
      <w:pPr>
        <w:spacing w:after="0" w:line="163" w:lineRule="exact"/>
        <w:rPr>
          <w:sz w:val="20"/>
          <w:szCs w:val="20"/>
          <w:color w:val="auto"/>
        </w:rPr>
      </w:pPr>
    </w:p>
    <w:p>
      <w:pPr>
        <w:ind w:left="8820"/>
        <w:spacing w:after="0"/>
        <w:tabs>
          <w:tab w:leader="none" w:pos="1024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December 31,</w:t>
      </w:r>
    </w:p>
    <w:p>
      <w:pPr>
        <w:spacing w:after="0" w:line="4"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Senior Secured Credit Facility:</w:t>
      </w:r>
    </w:p>
    <w:p>
      <w:pPr>
        <w:sectPr>
          <w:pgSz w:w="11900" w:h="16838" w:orient="portrait"/>
          <w:cols w:equalWidth="0" w:num="1">
            <w:col w:w="11420"/>
          </w:cols>
          <w:pgMar w:left="240" w:top="827" w:right="239" w:bottom="1440" w:gutter="0" w:footer="0" w:header="0"/>
        </w:sectPr>
      </w:pPr>
    </w:p>
    <w:p>
      <w:pPr>
        <w:spacing w:after="0" w:line="127" w:lineRule="exact"/>
        <w:rPr>
          <w:sz w:val="20"/>
          <w:szCs w:val="20"/>
          <w:color w:val="auto"/>
        </w:rPr>
      </w:pPr>
    </w:p>
    <w:p>
      <w:pPr>
        <w:ind w:left="40" w:right="2860"/>
        <w:spacing w:after="0" w:line="402" w:lineRule="auto"/>
        <w:rPr>
          <w:sz w:val="20"/>
          <w:szCs w:val="20"/>
          <w:color w:val="auto"/>
        </w:rPr>
      </w:pPr>
      <w:r>
        <w:rPr>
          <w:rFonts w:ascii="Arial" w:cs="Arial" w:eastAsia="Arial" w:hAnsi="Arial"/>
          <w:sz w:val="14"/>
          <w:szCs w:val="14"/>
          <w:color w:val="auto"/>
        </w:rPr>
        <w:t xml:space="preserve">Revolving Credit Facility due May 2023; bearing interest at LIBOR plus 2.00% Refinanced Revolving Credit Facility due October 2021; bore interest at LIBOR plus 2.75% Term Loan Facility due May 2023; bearing interest at LIBOR plus 2.00% Term Loan B Facility due October 2023; bore interest at LIBOR plus 2.50% </w:t>
      </w:r>
      <w:r>
        <w:rPr>
          <w:rFonts w:ascii="Arial" w:cs="Arial" w:eastAsia="Arial" w:hAnsi="Arial"/>
          <w:sz w:val="14"/>
          <w:szCs w:val="14"/>
          <w:b w:val="1"/>
          <w:bCs w:val="1"/>
          <w:color w:val="auto"/>
        </w:rPr>
        <w:t>Tax-Exempt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-689610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2228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left="40" w:right="280"/>
        <w:spacing w:after="0" w:line="253" w:lineRule="auto"/>
        <w:rPr>
          <w:sz w:val="20"/>
          <w:szCs w:val="20"/>
          <w:color w:val="auto"/>
        </w:rPr>
      </w:pPr>
      <w:r>
        <w:rPr>
          <w:rFonts w:ascii="Arial" w:cs="Arial" w:eastAsia="Arial" w:hAnsi="Arial"/>
          <w:sz w:val="14"/>
          <w:szCs w:val="14"/>
          <w:color w:val="auto"/>
        </w:rPr>
        <w:t>New York State Environmental Facilities Corporation Solid Waste Disposal Revenue Bonds Series 2014 due December 2044 - fixed rate interest period through 2019; bearing interest at 3.75%</w:t>
      </w:r>
    </w:p>
    <w:p>
      <w:pPr>
        <w:spacing w:after="0" w:line="12" w:lineRule="exact"/>
        <w:rPr>
          <w:sz w:val="20"/>
          <w:szCs w:val="20"/>
          <w:color w:val="auto"/>
        </w:rPr>
      </w:pPr>
    </w:p>
    <w:p>
      <w:pPr>
        <w:ind w:left="40" w:right="60"/>
        <w:spacing w:after="0" w:line="253" w:lineRule="auto"/>
        <w:rPr>
          <w:sz w:val="20"/>
          <w:szCs w:val="20"/>
          <w:color w:val="auto"/>
        </w:rPr>
      </w:pPr>
      <w:r>
        <w:rPr>
          <w:rFonts w:ascii="Arial" w:cs="Arial" w:eastAsia="Arial" w:hAnsi="Arial"/>
          <w:sz w:val="14"/>
          <w:szCs w:val="14"/>
          <w:color w:val="auto"/>
        </w:rPr>
        <w:t>New York State Environmental Facilities Corporation Solid Waste Disposal Revenue Bonds Series 2014R-2 due December 2044 - fixed rate interest period through 2026; bearing interest at 3.125%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22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left="40"/>
        <w:spacing w:after="0" w:line="253" w:lineRule="auto"/>
        <w:rPr>
          <w:sz w:val="20"/>
          <w:szCs w:val="20"/>
          <w:color w:val="auto"/>
        </w:rPr>
      </w:pPr>
      <w:r>
        <w:rPr>
          <w:rFonts w:ascii="Arial" w:cs="Arial" w:eastAsia="Arial" w:hAnsi="Arial"/>
          <w:sz w:val="14"/>
          <w:szCs w:val="14"/>
          <w:color w:val="auto"/>
        </w:rPr>
        <w:t>Finance Authority of Maine Solid Waste Disposal Revenue Bonds Series 2005R-3 due January 2025 - fixed rate interest period through 2025; bearing interest at 5.25%</w:t>
      </w:r>
    </w:p>
    <w:p>
      <w:pPr>
        <w:spacing w:after="0" w:line="12" w:lineRule="exact"/>
        <w:rPr>
          <w:sz w:val="20"/>
          <w:szCs w:val="20"/>
          <w:color w:val="auto"/>
        </w:rPr>
      </w:pPr>
    </w:p>
    <w:p>
      <w:pPr>
        <w:ind w:left="40" w:right="20"/>
        <w:spacing w:after="0" w:line="253" w:lineRule="auto"/>
        <w:rPr>
          <w:sz w:val="20"/>
          <w:szCs w:val="20"/>
          <w:color w:val="auto"/>
        </w:rPr>
      </w:pPr>
      <w:r>
        <w:rPr>
          <w:rFonts w:ascii="Arial" w:cs="Arial" w:eastAsia="Arial" w:hAnsi="Arial"/>
          <w:sz w:val="14"/>
          <w:szCs w:val="14"/>
          <w:color w:val="auto"/>
        </w:rPr>
        <w:t>Finance Authority of Maine Solid Waste Disposal Revenue Bonds Series 2015R-1 due August 2035 - fixed rate interest period through 2025; bearing interest at 5.125%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left="40" w:right="20"/>
        <w:spacing w:after="0" w:line="253" w:lineRule="auto"/>
        <w:rPr>
          <w:sz w:val="20"/>
          <w:szCs w:val="20"/>
          <w:color w:val="auto"/>
        </w:rPr>
      </w:pPr>
      <w:r>
        <w:rPr>
          <w:rFonts w:ascii="Arial" w:cs="Arial" w:eastAsia="Arial" w:hAnsi="Arial"/>
          <w:sz w:val="14"/>
          <w:szCs w:val="14"/>
          <w:color w:val="auto"/>
        </w:rPr>
        <w:t>Finance Authority of Maine Solid Waste Disposal Revenue Bonds Series 2015R-2 due August 2035 - fixed rate interest period through 2025; bearing interest at 4.375%</w:t>
      </w:r>
    </w:p>
    <w:p>
      <w:pPr>
        <w:spacing w:after="0" w:line="1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Vermont Economic Development Authority Solid Waste Disposal Long-Term Revenue Bonds Series 2013 due April 2036 - fixed rate interest period through 2028; bearing interest at 4.625%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22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left="40" w:right="260"/>
        <w:spacing w:after="0" w:line="253" w:lineRule="auto"/>
        <w:rPr>
          <w:sz w:val="20"/>
          <w:szCs w:val="20"/>
          <w:color w:val="auto"/>
        </w:rPr>
      </w:pPr>
      <w:r>
        <w:rPr>
          <w:rFonts w:ascii="Arial" w:cs="Arial" w:eastAsia="Arial" w:hAnsi="Arial"/>
          <w:sz w:val="14"/>
          <w:szCs w:val="14"/>
          <w:color w:val="auto"/>
        </w:rPr>
        <w:t>Business Finance Authority of the State of New Hampshire Solid Waste Disposal Revenue Bonds Series 2013 due April 2029 - fixed rate interest period through 2019; bearing interest at 4.00%</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Capital leases maturing through December 2107; bearing interest at a weighted average of 5.52%</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Notes payable maturing through June 2027; bearing interest at a weighted average of 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Principal amount of long-term debt and capital leases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Less—unamortized discount and debt issuance costs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Long-term debt and capital leases less unamortized discount and debt issuance costs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Less—current maturities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60"/>
        <w:spacing w:after="0"/>
        <w:tabs>
          <w:tab w:leader="none" w:pos="700" w:val="left"/>
          <w:tab w:leader="none" w:pos="1880" w:val="left"/>
        </w:tabs>
        <w:rPr>
          <w:sz w:val="20"/>
          <w:szCs w:val="20"/>
          <w:color w:val="auto"/>
        </w:rPr>
      </w:pPr>
      <w:r>
        <w:rPr>
          <w:rFonts w:ascii="Arial" w:cs="Arial" w:eastAsia="Arial" w:hAnsi="Arial"/>
          <w:sz w:val="14"/>
          <w:szCs w:val="14"/>
          <w:color w:val="auto"/>
        </w:rPr>
        <w:t>33,300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36,000</w:t>
      </w:r>
    </w:p>
    <w:p>
      <w:pPr>
        <w:spacing w:after="0" w:line="109" w:lineRule="exact"/>
        <w:rPr>
          <w:sz w:val="20"/>
          <w:szCs w:val="20"/>
          <w:color w:val="auto"/>
        </w:rPr>
      </w:pPr>
    </w:p>
    <w:p>
      <w:pPr>
        <w:spacing w:after="0"/>
        <w:tabs>
          <w:tab w:leader="none" w:pos="1880" w:val="left"/>
        </w:tabs>
        <w:rPr>
          <w:sz w:val="20"/>
          <w:szCs w:val="20"/>
          <w:color w:val="auto"/>
        </w:rPr>
      </w:pPr>
      <w:r>
        <w:rPr>
          <w:rFonts w:ascii="Arial" w:cs="Arial" w:eastAsia="Arial" w:hAnsi="Arial"/>
          <w:sz w:val="14"/>
          <w:szCs w:val="14"/>
          <w:color w:val="auto"/>
        </w:rPr>
        <w:t>350,000</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346,500</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25,000</w:t>
            </w:r>
          </w:p>
        </w:tc>
        <w:tc>
          <w:tcPr>
            <w:tcW w:w="50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25,000</w:t>
            </w:r>
          </w:p>
        </w:tc>
      </w:tr>
      <w:tr>
        <w:trPr>
          <w:trHeight w:val="35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15,000</w:t>
            </w:r>
          </w:p>
        </w:tc>
        <w:tc>
          <w:tcPr>
            <w:tcW w:w="5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15,000</w:t>
            </w:r>
          </w:p>
        </w:tc>
      </w:tr>
      <w:tr>
        <w:trPr>
          <w:trHeight w:val="35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25,000</w:t>
            </w:r>
          </w:p>
        </w:tc>
        <w:tc>
          <w:tcPr>
            <w:tcW w:w="5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25,000</w:t>
            </w:r>
          </w:p>
        </w:tc>
      </w:tr>
      <w:tr>
        <w:trPr>
          <w:trHeight w:val="35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15,000</w:t>
            </w:r>
          </w:p>
        </w:tc>
        <w:tc>
          <w:tcPr>
            <w:tcW w:w="5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15,000</w:t>
            </w:r>
          </w:p>
        </w:tc>
      </w:tr>
      <w:tr>
        <w:trPr>
          <w:trHeight w:val="35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15,000</w:t>
            </w:r>
          </w:p>
        </w:tc>
        <w:tc>
          <w:tcPr>
            <w:tcW w:w="5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16,000</w:t>
            </w:r>
          </w:p>
        </w:tc>
        <w:tc>
          <w:tcPr>
            <w:tcW w:w="5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16,000</w:t>
            </w:r>
          </w:p>
        </w:tc>
      </w:tr>
      <w:tr>
        <w:trPr>
          <w:trHeight w:val="35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11,000</w:t>
            </w:r>
          </w:p>
        </w:tc>
        <w:tc>
          <w:tcPr>
            <w:tcW w:w="5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11,000</w:t>
            </w:r>
          </w:p>
        </w:tc>
      </w:tr>
      <w:tr>
        <w:trPr>
          <w:trHeight w:val="54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8,261</w:t>
            </w:r>
          </w:p>
        </w:tc>
        <w:tc>
          <w:tcPr>
            <w:tcW w:w="5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5,595</w:t>
            </w:r>
          </w:p>
        </w:tc>
      </w:tr>
      <w:tr>
        <w:trPr>
          <w:trHeight w:val="276"/>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2,431</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2,585</w:t>
            </w:r>
          </w:p>
        </w:tc>
      </w:tr>
      <w:tr>
        <w:trPr>
          <w:trHeight w:val="244"/>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515,992</w:t>
            </w:r>
          </w:p>
        </w:tc>
        <w:tc>
          <w:tcPr>
            <w:tcW w:w="50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497,680</w:t>
            </w:r>
          </w:p>
        </w:tc>
      </w:tr>
      <w:tr>
        <w:trPr>
          <w:trHeight w:val="276"/>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12,102</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15,178</w:t>
            </w:r>
          </w:p>
        </w:tc>
      </w:tr>
      <w:tr>
        <w:trPr>
          <w:trHeight w:val="244"/>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503,890</w:t>
            </w:r>
          </w:p>
        </w:tc>
        <w:tc>
          <w:tcPr>
            <w:tcW w:w="50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482,502</w:t>
            </w:r>
          </w:p>
        </w:tc>
      </w:tr>
      <w:tr>
        <w:trPr>
          <w:trHeight w:val="276"/>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1,796</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4,926</w:t>
            </w:r>
          </w:p>
        </w:tc>
      </w:tr>
      <w:tr>
        <w:trPr>
          <w:trHeight w:val="237"/>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502,094</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477,576</w:t>
            </w:r>
          </w:p>
        </w:tc>
      </w:tr>
      <w:tr>
        <w:trPr>
          <w:trHeight w:val="20"/>
        </w:trPr>
        <w:tc>
          <w:tcPr>
            <w:tcW w:w="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-8255</wp:posOffset>
            </wp:positionV>
            <wp:extent cx="951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200" w:space="160"/>
            <w:col w:w="180" w:space="720"/>
            <w:col w:w="2160"/>
          </w:cols>
          <w:pgMar w:left="240" w:top="827" w:right="239" w:bottom="1440" w:gutter="0" w:footer="0" w:header="0"/>
          <w:type w:val="continuous"/>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827" w:right="239" w:bottom="1440" w:gutter="0" w:footer="0" w:header="0"/>
          <w:type w:val="continuous"/>
        </w:sectPr>
      </w:pPr>
    </w:p>
    <w:bookmarkStart w:id="16" w:name="page17"/>
    <w:bookmarkEnd w:id="16"/>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summary of unamortized discount and debt issuance costs by debt instrument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Refinanced Revolving Credit Facility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Term Loan B Facility (including unamortized discount of $0 and $1,482)</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New York State Environmental Facilities Corporation Solid Waste Disposal Revenue Bonds Series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New York State Environmental Facilities Corporation Solid Waste Disposal Revenue Bonds Series 2014R-2</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Finance Authority of Maine Solid Waste Disposal Revenue Bonds Series 2005R-3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Finance Authority of Maine Solid Waste Disposal Revenue Bonds Series 2015R-1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Finance Authority of Maine Solid Waste Disposal Revenue Bonds Series 2015R-2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Vermont Economic Development Authority Solid Waste Disposal Long-Term Revenue Bonds Series 2013</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Business Finance Authority of the State of New Hampshire Solid Waste Disposal Revenue Bonds Series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44"/>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3,938</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7,948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7,392</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941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1,034</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511</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603</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656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691</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573</w:t>
            </w:r>
          </w:p>
        </w:tc>
      </w:tr>
      <w:tr>
        <w:trPr>
          <w:trHeight w:val="276"/>
        </w:trPr>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436</w:t>
            </w:r>
          </w:p>
        </w:tc>
      </w:tr>
      <w:tr>
        <w:trPr>
          <w:trHeight w:val="237"/>
        </w:trPr>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12,102</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15,178</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620" w:space="720"/>
            <w:col w:w="3080"/>
          </w:cols>
          <w:pgMar w:left="240" w:top="692" w:right="239" w:bottom="1440" w:gutter="0" w:footer="0" w:header="0"/>
        </w:sect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three months ended June 30, 2018, we entered into a credit agreement ("Credit Agreement"), which provides for a $350,000 aggregate principal amount term loan A facility ("Term Loan Facility") and a $200,000 revolving line of credit facility ("Revolving Credit Facility" and, together with the Term Loan Facility, the "Credit Facility"). The net proceeds from this transaction were used to repay in full the amounts outstanding of the $350,000 aggregate principal amount term loan b facility ("Term Loan B Facility") and the $160,000 revolving line of credit facility ("Refinanced Revolving Credit Facility") plus accrued and unpaid interest thereon and to pay related transaction expenses. We have the right to request, at our discretion, an increase in the amount of loans under the Credit Facility by an aggregate amount of $125,000, subject to the terms and conditions set forth in the Credit Agreement.</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Credit Facility has a 5-year term and will initially bear interest at a rate of LIBOR plus 2.00% per annum, which will be reduced to a rate of LIBOR plus 1.25% upon us reaching a consolidated net leverage ratio of less than 2.25x. The Credit Facility is guaranteed jointly and severally, fully and unconditionally by all of our significant wholly-owned subsidiaries and secured by substantially all of our assets. As of June 30, 2018, further advances were available under the Credit Facility in the amount of $144,179. The available amount is net of outstanding irrevocable letters of credit totaling $22,521, at which date no amount had been drawn.</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Credit Agreement requires us to maintain a minimum interest coverage ratio and a maximum consolidated net leverage ratio, to be measured at the end of each fiscal quarter. As of June 30, 2018, we were in compliance with the covenants contained in the Credit Agreement. In addition to these financial covenants,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Tax-Exempt Financings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three months ended June 30, 2018, we completed the issuance of $15,000 aggregate principal amount of Finance Authority of Maine Solid Waste Disposal Revenue Bonds Series 2015R-2 (“FAME Bonds 2015R-2”). The FAME Bonds 2015R-2, which are unsecured and guaranteed jointly and severally, fully and unconditionally by all of our significant wholly-owned subsidiaries, accrue interest at 4.375% per annum through July 31, 2025, at which time they may be converted from a fixed to a variable rate. Interest is payable semiannually each year on May 1 and November 1 until the FAME Bonds 2015R-2 mature on August 1, 2035. We borrowed the proceeds of the offering of the FAME Bonds 2015R-2 to finance or refinance the costs of certain of our solid waste landfill facilities and solid waste collection, organics and transfer, recycling and hauling facilities, and to pay certain costs of the issuance of the FAME Bonds 2015R-2.</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type w:val="continuous"/>
        </w:sectPr>
      </w:pPr>
    </w:p>
    <w:bookmarkStart w:id="17" w:name="page18"/>
    <w:bookmarkEnd w:id="17"/>
    <w:p>
      <w:pPr>
        <w:ind w:right="320"/>
        <w:spacing w:after="0" w:line="279" w:lineRule="auto"/>
        <w:rPr>
          <w:sz w:val="20"/>
          <w:szCs w:val="20"/>
          <w:color w:val="auto"/>
        </w:rPr>
      </w:pPr>
      <w:r>
        <w:rPr>
          <w:rFonts w:ascii="Arial" w:cs="Arial" w:eastAsia="Arial" w:hAnsi="Arial"/>
          <w:sz w:val="17"/>
          <w:szCs w:val="17"/>
          <w:color w:val="auto"/>
        </w:rPr>
        <w:t>In the three months ended June 30, 2018, we completed the remarketing of $16,000 aggregate principal amount of 4.75% fixed rate Vermont Economic Development Authority Solid Waste Disposal Revenue Bonds Series 2013 (“Vermont Bonds”). The Vermont Bonds, which are unsecured and guaranteed jointly and severally, fully and unconditionally by all of our significant wholly-owned subsidiaries, accrue interest at 4.625% per annum through April 2, 2028 after which time there is a mandatory tender. The Vermont Bonds mature on April 1, 2036.</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quarter ended March 31, 2017, we completed the remarketing of $3,600 aggregate principal amount of Finance Authority of Maine Solid Waste Disposal Revenue Bonds Series 2005R-1 (“FAME Bonds 2005R-1”) and $21,400 aggregate principal amount of Finance Authority of Maine Solid Waste Disposal Revenue Bonds Series 2005R-2 (“FAME Bonds 2005R-2”) into one series of $25,000 aggregate principal amount Finance Authority of Maine Solid Waste Disposal Revenue Bonds Series 2005R-3 (“FAME Bonds 2005R-3”). The FAME Bonds 2005R-3, which are unsecured and guaranteed jointly and severally, fully and unconditionally by all of our significant wholly-owned subsidiaries, accrue interest at 5.25% per annum until they mature on January 1, 2025.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Debt Extinguishment</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recorded losses on debt extinguishment of $7,352 and $7,352 during the three and six months ended June 30, 2018, respectively, as compared to $46 and $517 during the three and six months ended June 30, 2017, respectively, associated with the following:</w:t>
      </w:r>
    </w:p>
    <w:p>
      <w:pPr>
        <w:spacing w:after="0" w:line="62" w:lineRule="exact"/>
        <w:rPr>
          <w:sz w:val="20"/>
          <w:szCs w:val="20"/>
          <w:color w:val="auto"/>
        </w:rPr>
      </w:pPr>
    </w:p>
    <w:p>
      <w:pPr>
        <w:ind w:left="660" w:right="3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write-off of debt issuance costs and unamortized discount in connection with the refinancing of our Credit Facility in the three months ended June 30, 2018;</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the remarketing of our Vermont Bonds in the three months ended June 30, 2018;</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the amendment and repricing of our Term Loan B Facility in the three months ended June 30, 2017; and</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the remarketing of the FAME Bonds 2005R-1 and the FAME Bonds 2005R-2 into the FAME Bonds 2005R-3 in the quarter ended March 31,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24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the three months ended June 30, 2018, we early adopted ASU 2017-12: Derivatives and Hedging (</w:t>
      </w:r>
      <w:r>
        <w:rPr>
          <w:rFonts w:ascii="Arial" w:cs="Arial" w:eastAsia="Arial" w:hAnsi="Arial"/>
          <w:sz w:val="17"/>
          <w:szCs w:val="17"/>
          <w:i w:val="1"/>
          <w:iCs w:val="1"/>
          <w:color w:val="auto"/>
        </w:rPr>
        <w:t>Topic 815</w:t>
      </w:r>
      <w:r>
        <w:rPr>
          <w:rFonts w:ascii="Arial" w:cs="Arial" w:eastAsia="Arial" w:hAnsi="Arial"/>
          <w:sz w:val="17"/>
          <w:szCs w:val="17"/>
          <w:color w:val="auto"/>
        </w:rPr>
        <w:t>) using a modified retrospective approach effective April 1, 2018 with an initial application date of January 1, 2018 with no adjustment to Accumulated Deficit. Under the new guidance, for highly effective hedging relationships the entire change in fair value of the hedging instruments, both the effective and ineffective portion, is recorded in equity as a component of accumulated other comprehensive income (loss), net of tax until the hedged item effects earnings.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of April 1, 2018, we had in place three interest rate derivative agreements to hedge interest rate risk associated with the variable rate portion of our long-term debt. According to the interest rate derivative agreements, we receive interest based on the 1-month LIBOR index with a 1.00% LIBOR floor and pay interest based on fixed rates. The refinancing of the Credit Facility resulted in changes to the critical terms of the hedged item in these hedging relationships. As a result, we dedesignated the original hedging relationship between the three interest rate derivative agreements and the variable rate interest payments related to the Term Loan B Facility and then subsequently designated new hedging relationships between the three interest rate derivative agreements and the variable rate interest payments related to the Term Loan Facility based on a quantitative assessment using a regression analysis, which indicated that the hedging relationships were highly effective. Because the interest rate payments associated with the variable rate portion of our long-term debt will still occur, the net gain of $1,383 associated with the interest rate derivative agreements in accumulated other comprehensive income is not reclassified into earnings. Instead, this gain will continue to be reclassified from accumulated other comprehensive income into interest expense as the interest payments affect earnings.</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Additionally, in the three months ended June 30, 2018, we entered into four additional interest rate derivative agreements to hedge interest rate risk associated with the variable rate portion of our long-term debt. Given that the critical terms of these interest rate derivative agreements match those of the underlying long-term debt being hedged, we determined qualitatively that the hedging relationships were highly effective.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692" w:right="259" w:bottom="1440" w:gutter="0" w:footer="0" w:header="0"/>
        </w:sectPr>
      </w:pPr>
    </w:p>
    <w:bookmarkStart w:id="18" w:name="page19"/>
    <w:bookmarkEnd w:id="18"/>
    <w:p>
      <w:pPr>
        <w:ind w:right="80"/>
        <w:spacing w:after="0" w:line="264" w:lineRule="auto"/>
        <w:rPr>
          <w:sz w:val="20"/>
          <w:szCs w:val="20"/>
          <w:color w:val="auto"/>
        </w:rPr>
      </w:pPr>
      <w:r>
        <w:rPr>
          <w:rFonts w:ascii="Arial" w:cs="Arial" w:eastAsia="Arial" w:hAnsi="Arial"/>
          <w:sz w:val="18"/>
          <w:szCs w:val="18"/>
          <w:color w:val="auto"/>
        </w:rPr>
        <w:t>The total notional amount of all of our interest rate derivative agreements is $145,000 and according to the terms of the agreements, we receive interest based on the 1-month LIBOR index and pay interest at a weighted average rate of approximately 2.46%. The agreements mature between February 2021 and May 2023. We have designated these derivative instruments as effective cash flow hedges.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effect of cash flow hedges related to derivative instruments on the consolidated balance sheet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412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3"/>
                <w:szCs w:val="13"/>
                <w:color w:val="auto"/>
              </w:rPr>
            </w:pPr>
          </w:p>
        </w:tc>
        <w:tc>
          <w:tcPr>
            <w:tcW w:w="118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rate swaps - tax provision</w:t>
            </w: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A summary of the amount of gain or (loss) on cash flow hedging relationships related to interest rate swaps reclassified from accumulated other comprehensive income into earnings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3"/>
          </w:tcPr>
          <w:p>
            <w:pPr>
              <w:jc w:val="center"/>
              <w:ind w:left="444"/>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3"/>
          </w:tcPr>
          <w:p>
            <w:pPr>
              <w:jc w:val="center"/>
              <w:ind w:right="159"/>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59"/>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left="484"/>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Statement of Operations Location</w:t>
            </w:r>
          </w:p>
        </w:tc>
        <w:tc>
          <w:tcPr>
            <w:tcW w:w="14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4"/>
                <w:szCs w:val="14"/>
                <w:b w:val="1"/>
                <w:bCs w:val="1"/>
                <w:color w:val="auto"/>
                <w:w w:val="91"/>
              </w:rPr>
              <w:t>(Expense) Income</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center"/>
              <w:ind w:right="159"/>
              <w:spacing w:after="0"/>
              <w:rPr>
                <w:sz w:val="20"/>
                <w:szCs w:val="20"/>
                <w:color w:val="auto"/>
              </w:rPr>
            </w:pPr>
            <w:r>
              <w:rPr>
                <w:rFonts w:ascii="Arial" w:cs="Arial" w:eastAsia="Arial" w:hAnsi="Arial"/>
                <w:sz w:val="14"/>
                <w:szCs w:val="14"/>
                <w:b w:val="1"/>
                <w:bCs w:val="1"/>
                <w:color w:val="auto"/>
                <w:w w:val="91"/>
              </w:rPr>
              <w:t>(Expense) Income</w:t>
            </w:r>
          </w:p>
        </w:tc>
      </w:tr>
      <w:tr>
        <w:trPr>
          <w:trHeight w:val="243"/>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CEEFF"/>
          </w:tcPr>
          <w:p>
            <w:pPr>
              <w:jc w:val="right"/>
              <w:ind w:right="584"/>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(38)</w:t>
            </w:r>
          </w:p>
        </w:tc>
        <w:tc>
          <w:tcPr>
            <w:tcW w:w="70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(91)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6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7640" w:firstLine="8"/>
        <w:spacing w:after="0" w:line="503" w:lineRule="auto"/>
        <w:tabs>
          <w:tab w:leader="none" w:pos="31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Proceedings</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18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accordance with FASB ASC 450 - Contingencies, we accrue for legal proceedings, inclusive of legal costs, when losses become probable and reasonably estimable.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Environmental Remediation Liability (including related litigation)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22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is operated by SRD. Those results indicated the presence of contaminants above the levels triggering notice and response obligations under MADEP regulations. In response to those results, we are carrying out an Immediate Response Action pursuant to Massachusetts General Law Chapter 21E (the "Charlton 21E Obligations") pursuant to state law. Further, we have implemented a plan to analyze and better understand the groundwater near the Southbridge Landfill and we are investigating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(the “Massachusetts Court”)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 operation of the Southbridge Landfill, and costs of litigation, plus interest on any damage award, on behalf of the Residents. We believe the Litigation to be factually inaccurate, and without legal merit, and we and SRD intend to vigorously defend the Litigation. Nevertheless, we believe it is reasonably possible that a loss will occur as a result of the Litigation although an estimate of loss cannot be reasonably provided at this time. We also continue to believe the Town should be responsible for costs or liabilities associated with the Litigation relative to alleged contamination originating from the unlined portion of the Southbridge Landfill, although there can be no assurance that we will not be required to incur some or all of such costs and liabilities. In December 2017, we filed a Motion to Dismiss the Litigation, and we are awaiting a date to be set by the Massachusetts Court for oral arguments.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96" w:right="239" w:bottom="1440" w:gutter="0" w:footer="0" w:header="0"/>
        </w:sectPr>
      </w:pPr>
    </w:p>
    <w:bookmarkStart w:id="20" w:name="page21"/>
    <w:bookmarkEnd w:id="20"/>
    <w:p>
      <w:pPr>
        <w:ind w:right="60"/>
        <w:spacing w:after="0" w:line="290" w:lineRule="auto"/>
        <w:rPr>
          <w:sz w:val="20"/>
          <w:szCs w:val="20"/>
          <w:color w:val="auto"/>
        </w:rPr>
      </w:pPr>
      <w:r>
        <w:rPr>
          <w:rFonts w:ascii="Arial" w:cs="Arial" w:eastAsia="Arial" w:hAnsi="Arial"/>
          <w:sz w:val="16"/>
          <w:szCs w:val="16"/>
          <w:color w:val="auto"/>
        </w:rPr>
        <w:t>We entered into an Administrative Consent Order on April 26, 2017 (the “ACO”), with MADEP, the Town, and the Town of Charlton, committing us to equally share the costs with MADEP, of up to $10,000 ($5,000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will issue a twenty (20) year bond for our portion of the Waterline costs (up to $5,000). We have agreed to reimburse the Town for periodic payments under such bond. The Town has recently advised us that it has solicited and received proposals for the construction of the Waterline as contemplated by the ACO, and that construction of the Waterline will commence shortly.</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recorded an environmental remediation liability associated with the future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 The changes to the environmental remediation liability associated with the Southbridge Landfill are as follows:</w:t>
      </w:r>
    </w:p>
    <w:p>
      <w:pPr>
        <w:spacing w:after="0" w:line="12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5,936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Accretion expense</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incurred</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Obligations settled (1)</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5,573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In November 2016, SRD received a cease and desist order (“Order”) from the Charlton alternate zoning enforcement officer, alleging that two storm water detention basins on SRD’s property in Charlton existed in violation of Charlton zoning requirements. SRD appealed the Order to the Charlton Zoning Board of Appeals, which upheld the Order. In June 2018, the Massachusetts Land Court approved a settlement reached between SRD and Charlton resolving all issues associated with the Order. Based on this settlement with Charlton, we will pay a total of $850 in cash, and will provide ancillary services to Charlton over the next five (5) years for a total of cash and services of approximately $1,200. This matter is now resolved. We will make payment of the cash portion of this settlement by the end of August 2018. We have recorded a reserve of $1,216 as of June 30, 2018, which is recorded as part of the Southbridge Landfill closure charge in the six months ended June 30, 2018. See Note 11, </w:t>
      </w:r>
      <w:r>
        <w:rPr>
          <w:rFonts w:ascii="Arial" w:cs="Arial" w:eastAsia="Arial" w:hAnsi="Arial"/>
          <w:sz w:val="16"/>
          <w:szCs w:val="16"/>
          <w:i w:val="1"/>
          <w:iCs w:val="1"/>
          <w:color w:val="auto"/>
        </w:rPr>
        <w:t>Other Items and Charges</w:t>
      </w:r>
      <w:r>
        <w:rPr>
          <w:rFonts w:ascii="Arial" w:cs="Arial" w:eastAsia="Arial" w:hAnsi="Arial"/>
          <w:sz w:val="16"/>
          <w:szCs w:val="16"/>
          <w:color w:val="auto"/>
        </w:rPr>
        <w:t xml:space="preserve"> for additional disclosure.</w:t>
      </w:r>
    </w:p>
    <w:p>
      <w:pPr>
        <w:spacing w:after="0" w:line="16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August 2016, we filed a complaint against Steadfast Insurance Company (“Steadfast”) in the Superior Court of Suffolk County, Massachusetts (the "Court"), alleging among other things, that Steadfast breached its Pollution Liability Policy (“Policy”) purchased by us in April 2015, by refusing to acknowledge coverage under the Policy, and refusing to cover any of the costs and liabilities incurred by us as described above as well as costs and liabilities that we may incur in the future. Steadfast filed an answer and counterclaim in September 2016, denying that it has any obligations to us under the Policy, and seeking a declaratory judgment of Steadfast’s obligations under the Policy. Steadfast filed a Motion to Dismiss (the "Motion") our litigation against it, and we filed our response on July 11, 2017. On September 7, 2017, the Court denied the Motion. On July 17, 2018, we reached an agreement with Steadfast settling this litigation (the “Settlement”). Pursuant to the Settlement, Steadfast agreed to partially reimburse us for direct costs incurred or to be incurred by us under the ACO, as well as for substantial investigative costs associated with our efforts to ascertain the source of contaminants and other costs related to the Charlton 21E Obligations. Additionally, the Settlement payment is intended to reimburse us for all costs and liabilities arising out of the Litigation. Steadfast’s payment to us will be $10,000. The Settlement is subject to the finalization of an agreement detailing the terms of the Settlement, including appropriate releases of Steadfast, and is subject to Court approval.</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21" w:name="page22"/>
    <w:bookmarkEnd w:id="21"/>
    <w:p>
      <w:pPr>
        <w:spacing w:after="0" w:line="267" w:lineRule="auto"/>
        <w:rPr>
          <w:sz w:val="20"/>
          <w:szCs w:val="20"/>
          <w:color w:val="auto"/>
        </w:rPr>
      </w:pPr>
      <w:r>
        <w:rPr>
          <w:rFonts w:ascii="Arial" w:cs="Arial" w:eastAsia="Arial" w:hAnsi="Arial"/>
          <w:sz w:val="17"/>
          <w:szCs w:val="17"/>
          <w:color w:val="auto"/>
        </w:rPr>
        <w:t>On June 13, 2017, Town voters rejected a non-binding ballot initiative intended to provide guidance to Town officials with respect to our pursuit of other landfill development opportunities at the Southbridge Landfill. Following such rejection by the Town voters, our board of directors and senior management determined after due consideration of all facts and circumstances that it is no longer likely that further development at the existing landfill site will generate an adequate risk adjusted return at the Southbridge Landfill, and accordingly we expect to cease operations at the Southbridge Landfill when no further capacity is available, expected by no later than early 2019. We delivered correspondence to the Town to this effect on August 3, 2017, citing events of Change in Law and Force Majeure pursuant to our May 29, 2007 Extension Agreement with the Town ("Extension Agreement") and the impacts of such events on further expansion of the Southbridge Landfill. We have advised the Town that we see no economically feasible way to operate the Southbridge Landfill beyond its current permitted life and we have filed a closure plan with MADEP. Following cessation of operations, we will proceed to conduct proper closure and other activities at the Southbridge Landfill in accordance with the Extension Agreement with the Town, and Federal, state and local law. We reached this conclusion after carefully evaluating the estimated future costs associated with the permitting, engineering and construction activities for the planned expansion of the Southbridge Landfill against the possible outcomes of the permitting process and the anticipated future benefits of successful expansions. Under the Extension Agreement, which we account for as an operating lease, there are potential contractual obligations and commitments, including future cash payments of $2,199 and services that extend beyond the current useful life of the Southbridge Landfill. In accordance with FASB ASC 420 - Exit or Disposal Cost Obligations, a liability for costs to be incurred under a contract for its remaining term without economic benefit shall be recognized when we cease using the right conveyed by the contract. We may incur a loss associated with these potential contractual obligations upon cessation of operations at the Southbridge Landfill when remaining capacity is exhausted by the placement of waste at the site. In this respect, the Town had, on or about April 11, 2018, filed a motion for a declaratory judgment and injunctive relief in the United States District Court for the District of Massachusetts (the “District Court”) seeking a judgment from the District Court as to the rights of the parties pursuant to the Extension Agreement, and injunctive relief to prevent us from discontinuing free collection and disposal of the Town’s municipal waste when the Southbridge Landfill ceases to accept waste (the “Town Equity Litigation”). We are vigorously defending the Town Equity Litigation on its merits, and further, on the grounds that the Town Equity Litigation is not in compliance with the procedures for dispute resolution as set forth in the Extension Agreement. On June 26, 2018, the District Court denied the Town’s request for a preliminary injunction without prejudice.</w:t>
      </w:r>
    </w:p>
    <w:p>
      <w:pPr>
        <w:spacing w:after="0" w:line="18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$10,219.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$12,130.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It is unlikely that any significant expenditures relating to onsite remediation will be incurred until the fiscal year ending December 31, 2019. WSI is jointly and severally liable with NiMo, Alcoa and Reynolds for the total cost to remediate.</w:t>
      </w:r>
    </w:p>
    <w:p>
      <w:pPr>
        <w:spacing w:after="0" w:line="172"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We have recorded an environmental remediation liability associated with the Potsdam site based on incurred costs to date and estimated costs to complete the remediation in other accrued liabilities and other long-term liabilities. Our expenditures could be significantly higher if costs exceed estimates. We inflate the estimated costs in current dollars to the expected time of payment and discount the total cost to present value using a risk-free interest rate of 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the environmental remediation liability associated with the Potsdam environmental remediation liability follows: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22" w:name="page23"/>
    <w:bookmarkEnd w:id="22"/>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5,758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5,866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Obligations settled (1)</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5,747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5,861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or about March 8, 2018, the Citizen Groups described above, delivered correspondence to our subsidiary, North Country Environmental Services, Inc. ("NCES") and us, providing notice of the Citizen Groups' intent to sue NCES and us for violations of the CWA in conjunction with NCES's operation of its landfill in Bethlehem, New Hampshire. On May 14, 2018, the Citizen Groups filed a lawsuit against NCES and us in the United States District Court for the District of New Hampshire (the “New Hampshire Court”) alleging violations of the CWA, arguing that ground water discharging into the Ammonoosuc River is a "point source" under the CWA. On June 15, 2018, we and NCES filed a Motion to Dismiss in the New Hampshire Court. On July 13, 2018, the Citizen Groups filed objections to our Motion to Dismiss. On July 27, 2018, we filed a reply in support of our Motion to Dismiss. We intend to continue to vigorously defend against this litigation, which we believe is without merit.</w:t>
      </w:r>
    </w:p>
    <w:p>
      <w:pPr>
        <w:spacing w:after="0" w:line="185" w:lineRule="exact"/>
        <w:rPr>
          <w:sz w:val="20"/>
          <w:szCs w:val="20"/>
          <w:color w:val="auto"/>
        </w:rPr>
      </w:pPr>
    </w:p>
    <w:p>
      <w:pPr>
        <w:ind w:right="8460" w:firstLine="8"/>
        <w:spacing w:after="0" w:line="503" w:lineRule="auto"/>
        <w:tabs>
          <w:tab w:leader="none" w:pos="648"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Based Compensation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the fiscal year ended December 31, 2016, we adopted the 2016 Incentive Plan (“2016 Plan”). Under the 2016 Plan, we may grant awards up to an aggregate 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June 30, 2018, there were 1,620 Class A common stock equivalents available for future grant under the 2016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Stock options are granted at a price equal to the prevailing fair value of our Class A common stock at the date of grant. Generally, stock options granted have a term not to exceed ten years and vest over a one year to four year period from the date of grant.</w:t>
      </w:r>
    </w:p>
    <w:p>
      <w:pPr>
        <w:spacing w:after="0" w:line="17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fair value of each stock option granted, with the exception of market-based performance stock option grants,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 The fair value of each market-based performance stock option granted is estimated using a Monte Carlo option-pricing model, which also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 but also including estimates of share price appreciation plus the value of dividends of our Class A common stock as compared to the Russell 2000 Index over the requisite service period.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95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 summary of stock option activity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8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Stock Options (1)</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Term (years)</w:t>
            </w:r>
          </w:p>
        </w:tc>
        <w:tc>
          <w:tcPr>
            <w:tcW w:w="200" w:type="dxa"/>
            <w:vAlign w:val="bottom"/>
          </w:tcPr>
          <w:p>
            <w:pPr>
              <w:spacing w:after="0"/>
              <w:rPr>
                <w:sz w:val="16"/>
                <w:szCs w:val="16"/>
                <w:color w:val="auto"/>
              </w:rPr>
            </w:pPr>
          </w:p>
        </w:tc>
        <w:tc>
          <w:tcPr>
            <w:tcW w:w="1280" w:type="dxa"/>
            <w:vAlign w:val="bottom"/>
          </w:tcPr>
          <w:p>
            <w:pPr>
              <w:jc w:val="right"/>
              <w:ind w:right="197"/>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2017</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June 30, 2018</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12,651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June 30, 2018</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9,228</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Unvested, June 30, 2018</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320" w:hanging="652"/>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Market-based performance stock options are included at the 100% attainment level. Attainment of the maximum performance targets and market achievements would result in the issuance of an additional 40 shares of Class A common stock currently included in unvested.</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Stock-based compensation expense for stock options was $126 and $250 during the three and six months ended June 30, 2018, respectively, as compared to $176 and $347 during the three and six months ended June 30,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six months ended June 30, 2018, the aggregate intrinsic value of stock options exercised was $403 and $1,556, respectively.</w:t>
      </w:r>
    </w:p>
    <w:p>
      <w:pPr>
        <w:spacing w:after="0" w:line="23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As of June 30, 2018, total unrecognized stock-based compensation expense related to outstanding stock options, including market-based performance stock options assuming the attainment of maximum performance targets, was $223, which will be recognized over a weighted average period of 0.3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 Awards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the value of dividends of our Class A common stock as compared to the Russell 2000 Index over the requisite service period.</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Generally, restricted stock awards granted to non-employee directors vest incrementally over a three year period beginning on the first anniversary of the date of grant. Restricted stock units granted to non-employee directors typically vest in full on the first anniversary of the grant date. Restricted stock units granted to employees vest incrementally over an identified service period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 summary of restricted stock, restricted stock unit and performance stock unit activity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Restricted Stock,</w:t>
            </w: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Restricted Stock Units,</w:t>
            </w: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Average Grant Date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and Performance Stock Units</w:t>
            </w: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Fair</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Term (years)</w:t>
            </w:r>
          </w:p>
        </w:tc>
        <w:tc>
          <w:tcPr>
            <w:tcW w:w="200" w:type="dxa"/>
            <w:vAlign w:val="bottom"/>
          </w:tcPr>
          <w:p>
            <w:pPr>
              <w:spacing w:after="0"/>
              <w:rPr>
                <w:sz w:val="16"/>
                <w:szCs w:val="16"/>
                <w:color w:val="auto"/>
              </w:rPr>
            </w:pPr>
          </w:p>
        </w:tc>
        <w:tc>
          <w:tcPr>
            <w:tcW w:w="1280" w:type="dxa"/>
            <w:vAlign w:val="bottom"/>
          </w:tcPr>
          <w:p>
            <w:pPr>
              <w:jc w:val="right"/>
              <w:ind w:right="19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2017</w:t>
            </w:r>
          </w:p>
        </w:tc>
        <w:tc>
          <w:tcPr>
            <w:tcW w:w="20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Granted</w:t>
            </w:r>
          </w:p>
        </w:tc>
        <w:tc>
          <w:tcPr>
            <w:tcW w:w="2080" w:type="dxa"/>
            <w:vAlign w:val="bottom"/>
          </w:tcPr>
          <w:p>
            <w:pPr>
              <w:jc w:val="right"/>
              <w:ind w:right="37"/>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24.85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Class A Common Stock Vested</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2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June 30, 2018</w:t>
            </w:r>
          </w:p>
        </w:tc>
        <w:tc>
          <w:tcPr>
            <w:tcW w:w="2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10,492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Unvested, June 30, 2018</w:t>
            </w: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vMerge w:val="continue"/>
          </w:tcPr>
          <w:p>
            <w:pPr>
              <w:spacing w:after="0"/>
              <w:rPr>
                <w:sz w:val="19"/>
                <w:szCs w:val="19"/>
                <w:color w:val="auto"/>
              </w:rPr>
            </w:pPr>
          </w:p>
        </w:tc>
        <w:tc>
          <w:tcPr>
            <w:tcW w:w="2080" w:type="dxa"/>
            <w:vAlign w:val="bottom"/>
          </w:tcPr>
          <w:p>
            <w:pPr>
              <w:jc w:val="right"/>
              <w:ind w:right="37"/>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15,237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10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Market-based performance stock unit grants are included at the 100% attainment level. Attainment of the maximum performance targets and market achievements would result in the issuance of an additional 450 shares of Class A common stock currently included in unvested.</w:t>
      </w:r>
    </w:p>
    <w:p>
      <w:pPr>
        <w:spacing w:after="0" w:line="14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Stock-based compensation expense related to restricted stock, restricted stock units and performance stock units was $1,946 and $3,876 during the three and six months ended June 30, 2018, respectively, as compared to $1,441 and $2,499 during the three and six months ended June 30, 2017,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2018, the total fair value of other stock awards vested was $742 and $9,616, respectively.</w:t>
      </w:r>
    </w:p>
    <w:p>
      <w:pPr>
        <w:spacing w:after="0" w:line="225"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As of June 30, 2018, total unrecognized stock-based compensation expense related to outstanding restricted stock and restricted stock units was $4,316, which will be recognized over a weighted average period of 1.5 years. As of June 30, 2018, maximum unrecognized stock-based compensation expense related to outstanding performance stock units, assuming the attainment of maximum performance targets, was $7,016 to be recognized over a weighted average period of 1.3 years.</w:t>
      </w:r>
    </w:p>
    <w:p>
      <w:pPr>
        <w:spacing w:after="0" w:line="18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weighted average fair value of market-based performance stock units granted during the six months ended June 30, 2018 was $26.02 per award, which was calculated using a Monte Carlo pricing model assuming a risk free interest rate of 2.39% and an expected volatility of 32.70% assuming no expected dividend yield. The risk-free interest rate is based on the U.S. Treasury yield curve for the expected service period of the award. Expected volatility is calculated using the daily volatility of our Class A common stock over the expected service period of the award.</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Monte Carlo pricing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18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also recorded $48 and $71 of stock-based compensation expense related to our Amended and Restated 1997 Employee Stock Purchase Plan during the three and six months ended June 30, 2018, respectively, as compared to $37 and $65 during the three and six months ended June 30, 2017,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 summary of the changes in the balances of each component of accumulated other comprehensive income, net of tax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Marketable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1"/>
              </w:rPr>
              <w:t>Interest Rate Swaps</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Securities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Cumulative effect of new accounting principle</w:t>
            </w:r>
          </w:p>
        </w:tc>
        <w:tc>
          <w:tcPr>
            <w:tcW w:w="1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14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 related to items of other comprehensive income</w:t>
            </w:r>
          </w:p>
        </w:tc>
        <w:tc>
          <w:tcPr>
            <w:tcW w:w="1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Net current-period other comprehensive income</w:t>
            </w:r>
          </w:p>
        </w:tc>
        <w:tc>
          <w:tcPr>
            <w:tcW w:w="1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2018</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accumulated other comprehensive income, net of tax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90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Six Months Ended</w:t>
            </w:r>
          </w:p>
        </w:tc>
        <w:tc>
          <w:tcPr>
            <w:tcW w:w="3520" w:type="dxa"/>
            <w:vAlign w:val="bottom"/>
          </w:tcPr>
          <w:p>
            <w:pPr>
              <w:spacing w:after="0"/>
              <w:rPr>
                <w:sz w:val="14"/>
                <w:szCs w:val="14"/>
                <w:color w:val="auto"/>
              </w:rPr>
            </w:pPr>
          </w:p>
        </w:tc>
      </w:tr>
      <w:tr>
        <w:trPr>
          <w:trHeight w:val="192"/>
        </w:trPr>
        <w:tc>
          <w:tcPr>
            <w:tcW w:w="3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3520" w:type="dxa"/>
            <w:vAlign w:val="bottom"/>
          </w:tcPr>
          <w:p>
            <w:pPr>
              <w:spacing w:after="0"/>
              <w:rPr>
                <w:sz w:val="16"/>
                <w:szCs w:val="16"/>
                <w:color w:val="auto"/>
              </w:rPr>
            </w:pPr>
          </w:p>
        </w:tc>
      </w:tr>
      <w:tr>
        <w:trPr>
          <w:trHeight w:val="190"/>
        </w:trPr>
        <w:tc>
          <w:tcPr>
            <w:tcW w:w="3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ind w:right="27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27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3520" w:type="dxa"/>
            <w:vAlign w:val="bottom"/>
          </w:tcPr>
          <w:p>
            <w:pPr>
              <w:spacing w:after="0"/>
              <w:rPr>
                <w:sz w:val="16"/>
                <w:szCs w:val="16"/>
                <w:color w:val="auto"/>
              </w:rPr>
            </w:pPr>
          </w:p>
        </w:tc>
      </w:tr>
      <w:tr>
        <w:trPr>
          <w:trHeight w:val="80"/>
        </w:trPr>
        <w:tc>
          <w:tcPr>
            <w:tcW w:w="34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gridSpan w:val="3"/>
          </w:tcPr>
          <w:p>
            <w:pPr>
              <w:spacing w:after="0"/>
              <w:rPr>
                <w:sz w:val="6"/>
                <w:szCs w:val="6"/>
                <w:color w:val="auto"/>
              </w:rPr>
            </w:pPr>
          </w:p>
        </w:tc>
        <w:tc>
          <w:tcPr>
            <w:tcW w:w="1140" w:type="dxa"/>
            <w:vAlign w:val="bottom"/>
            <w:tcBorders>
              <w:bottom w:val="single" w:sz="8" w:color="auto"/>
            </w:tcBorders>
            <w:gridSpan w:val="3"/>
          </w:tcPr>
          <w:p>
            <w:pPr>
              <w:spacing w:after="0"/>
              <w:rPr>
                <w:sz w:val="6"/>
                <w:szCs w:val="6"/>
                <w:color w:val="auto"/>
              </w:rPr>
            </w:pPr>
          </w:p>
        </w:tc>
        <w:tc>
          <w:tcPr>
            <w:tcW w:w="1140" w:type="dxa"/>
            <w:vAlign w:val="bottom"/>
            <w:tcBorders>
              <w:bottom w:val="single" w:sz="8" w:color="auto"/>
            </w:tcBorders>
            <w:gridSpan w:val="3"/>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146"/>
        </w:trPr>
        <w:tc>
          <w:tcPr>
            <w:tcW w:w="3460" w:type="dxa"/>
            <w:vAlign w:val="bottom"/>
            <w:shd w:val="clear" w:color="auto" w:fill="CCEEFF"/>
          </w:tcPr>
          <w:p>
            <w:pPr>
              <w:jc w:val="center"/>
              <w:ind w:right="42"/>
              <w:spacing w:after="0" w:line="147" w:lineRule="exact"/>
              <w:rPr>
                <w:sz w:val="20"/>
                <w:szCs w:val="20"/>
                <w:color w:val="auto"/>
              </w:rPr>
            </w:pPr>
            <w:r>
              <w:rPr>
                <w:rFonts w:ascii="Arial" w:cs="Arial" w:eastAsia="Arial" w:hAnsi="Arial"/>
                <w:sz w:val="14"/>
                <w:szCs w:val="14"/>
                <w:b w:val="1"/>
                <w:bCs w:val="1"/>
                <w:color w:val="auto"/>
                <w:w w:val="93"/>
              </w:rPr>
              <w:t>Details About Accumulated Other Comprehensive</w:t>
            </w:r>
          </w:p>
        </w:tc>
        <w:tc>
          <w:tcPr>
            <w:tcW w:w="160" w:type="dxa"/>
            <w:vAlign w:val="bottom"/>
            <w:shd w:val="clear" w:color="auto" w:fill="CCEEFF"/>
          </w:tcPr>
          <w:p>
            <w:pPr>
              <w:spacing w:after="0"/>
              <w:rPr>
                <w:sz w:val="12"/>
                <w:szCs w:val="12"/>
                <w:color w:val="auto"/>
              </w:rPr>
            </w:pPr>
          </w:p>
        </w:tc>
        <w:tc>
          <w:tcPr>
            <w:tcW w:w="4280" w:type="dxa"/>
            <w:vAlign w:val="bottom"/>
            <w:gridSpan w:val="10"/>
            <w:shd w:val="clear" w:color="auto" w:fill="CCEEFF"/>
          </w:tcPr>
          <w:p>
            <w:pPr>
              <w:jc w:val="right"/>
              <w:ind w:right="134"/>
              <w:spacing w:after="0" w:line="147" w:lineRule="exact"/>
              <w:rPr>
                <w:sz w:val="20"/>
                <w:szCs w:val="20"/>
                <w:color w:val="auto"/>
              </w:rPr>
            </w:pPr>
            <w:r>
              <w:rPr>
                <w:rFonts w:ascii="Arial" w:cs="Arial" w:eastAsia="Arial" w:hAnsi="Arial"/>
                <w:sz w:val="14"/>
                <w:szCs w:val="14"/>
                <w:b w:val="1"/>
                <w:bCs w:val="1"/>
                <w:color w:val="auto"/>
                <w:w w:val="93"/>
              </w:rPr>
              <w:t>Amounts Reclassified Out of Accumulated Other Comprehensive</w:t>
            </w:r>
          </w:p>
        </w:tc>
        <w:tc>
          <w:tcPr>
            <w:tcW w:w="3520" w:type="dxa"/>
            <w:vAlign w:val="bottom"/>
            <w:shd w:val="clear" w:color="auto" w:fill="CCEEFF"/>
          </w:tcPr>
          <w:p>
            <w:pPr>
              <w:ind w:left="620"/>
              <w:spacing w:after="0" w:line="147" w:lineRule="exact"/>
              <w:rPr>
                <w:sz w:val="20"/>
                <w:szCs w:val="20"/>
                <w:color w:val="auto"/>
              </w:rPr>
            </w:pPr>
            <w:r>
              <w:rPr>
                <w:rFonts w:ascii="Arial" w:cs="Arial" w:eastAsia="Arial" w:hAnsi="Arial"/>
                <w:sz w:val="14"/>
                <w:szCs w:val="14"/>
                <w:b w:val="1"/>
                <w:bCs w:val="1"/>
                <w:color w:val="auto"/>
              </w:rPr>
              <w:t>Affected Line Item in the Consolidated</w:t>
            </w:r>
          </w:p>
        </w:tc>
      </w:tr>
      <w:tr>
        <w:trPr>
          <w:trHeight w:val="198"/>
        </w:trPr>
        <w:tc>
          <w:tcPr>
            <w:tcW w:w="3460" w:type="dxa"/>
            <w:vAlign w:val="bottom"/>
            <w:shd w:val="clear" w:color="auto" w:fill="CCEEFF"/>
          </w:tcPr>
          <w:p>
            <w:pPr>
              <w:jc w:val="center"/>
              <w:ind w:right="42"/>
              <w:spacing w:after="0"/>
              <w:rPr>
                <w:sz w:val="20"/>
                <w:szCs w:val="20"/>
                <w:color w:val="auto"/>
              </w:rPr>
            </w:pPr>
            <w:r>
              <w:rPr>
                <w:rFonts w:ascii="Arial" w:cs="Arial" w:eastAsia="Arial" w:hAnsi="Arial"/>
                <w:sz w:val="14"/>
                <w:szCs w:val="14"/>
                <w:b w:val="1"/>
                <w:bCs w:val="1"/>
                <w:color w:val="auto"/>
                <w:w w:val="90"/>
              </w:rPr>
              <w:t>Income Components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Income</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20" w:type="dxa"/>
            <w:vAlign w:val="bottom"/>
            <w:shd w:val="clear" w:color="auto" w:fill="CCEEFF"/>
          </w:tcPr>
          <w:p>
            <w:pPr>
              <w:ind w:left="1040"/>
              <w:spacing w:after="0"/>
              <w:rPr>
                <w:sz w:val="20"/>
                <w:szCs w:val="20"/>
                <w:color w:val="auto"/>
              </w:rPr>
            </w:pPr>
            <w:r>
              <w:rPr>
                <w:rFonts w:ascii="Arial" w:cs="Arial" w:eastAsia="Arial" w:hAnsi="Arial"/>
                <w:sz w:val="14"/>
                <w:szCs w:val="14"/>
                <w:b w:val="1"/>
                <w:bCs w:val="1"/>
                <w:color w:val="auto"/>
              </w:rPr>
              <w:t>Statements of Operations</w:t>
            </w:r>
          </w:p>
        </w:tc>
      </w:tr>
      <w:tr>
        <w:trPr>
          <w:trHeight w:val="243"/>
        </w:trPr>
        <w:tc>
          <w:tcPr>
            <w:tcW w:w="3460" w:type="dxa"/>
            <w:vAlign w:val="bottom"/>
          </w:tcPr>
          <w:p>
            <w:pPr>
              <w:ind w:left="500"/>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208</w:t>
            </w:r>
          </w:p>
        </w:tc>
        <w:tc>
          <w:tcPr>
            <w:tcW w:w="3520" w:type="dxa"/>
            <w:vAlign w:val="bottom"/>
          </w:tcPr>
          <w:p>
            <w:pPr>
              <w:ind w:left="140"/>
              <w:spacing w:after="0"/>
              <w:rPr>
                <w:sz w:val="20"/>
                <w:szCs w:val="20"/>
                <w:color w:val="auto"/>
              </w:rPr>
            </w:pPr>
            <w:r>
              <w:rPr>
                <w:rFonts w:ascii="Arial" w:cs="Arial" w:eastAsia="Arial" w:hAnsi="Arial"/>
                <w:sz w:val="18"/>
                <w:szCs w:val="18"/>
                <w:color w:val="auto"/>
              </w:rPr>
              <w:t>Interest expense</w:t>
            </w:r>
          </w:p>
        </w:tc>
      </w:tr>
      <w:tr>
        <w:trPr>
          <w:trHeight w:val="27"/>
        </w:trPr>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208</w:t>
            </w: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(loss) before income taxes</w:t>
            </w:r>
          </w:p>
        </w:tc>
      </w:tr>
      <w:tr>
        <w:trPr>
          <w:trHeight w:val="243"/>
        </w:trPr>
        <w:tc>
          <w:tcPr>
            <w:tcW w:w="3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Provision (benefit) for income taxes</w:t>
            </w:r>
          </w:p>
        </w:tc>
      </w:tr>
      <w:tr>
        <w:trPr>
          <w:trHeight w:val="27"/>
        </w:trPr>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r>
      <w:tr>
        <w:trPr>
          <w:trHeight w:val="257"/>
        </w:trPr>
        <w:tc>
          <w:tcPr>
            <w:tcW w:w="34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208</w:t>
            </w: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r>
      <w:tr>
        <w:trPr>
          <w:trHeight w:val="20"/>
        </w:trPr>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Basic earnings per share is computed by dividing the net income (loss) from continuing operations by the weighted average number of common shares outstanding during the period. Diluted earnings per share is calculated based on the combined weighted average number of common shares and potentially dilutive shares, which include the assumed exercise of employee stock options, including market-based performance stock options based on the expected achievement of performance targets,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numerator and denominators used in the computation of earnings per share follows: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54"/>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center"/>
              <w:ind w:left="514"/>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1,704</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(53,675)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(53,900)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Number of shares outstanding, end of period: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Class A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41,765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41,765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41,042</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Class B common stock</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Unvested restricted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Effect of weighted average shares outstanding</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shares outstanding</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42,661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42,516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41,698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Impact of potentially dilutive securities: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Dilutive effect of stock options and other stock awards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1,255</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 average common shares outstanding</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43,916</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41,811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42,516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41,698</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Anti-dilutive potentially issuable shares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0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800" w:right="239" w:bottom="1440" w:gutter="0" w:footer="0" w:header="0"/>
          <w:type w:val="continuous"/>
        </w:sectPr>
      </w:pPr>
    </w:p>
    <w:bookmarkStart w:id="26" w:name="page27"/>
    <w:bookmarkEnd w:id="26"/>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Other Items and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 from Acquisition Activities and Other Items</w:t>
      </w:r>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the three and six months ended June 30, 2018, we recorded charges of $211 and $211, respectively, associated with the write-off of deferred costs related to the expiration of our shelf registration statement and $138 and $138, respectively, associated with potential acquisition activities.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Settlement Charge</w:t>
      </w:r>
    </w:p>
    <w:p>
      <w:pPr>
        <w:spacing w:after="0" w:line="202" w:lineRule="exact"/>
        <w:rPr>
          <w:sz w:val="20"/>
          <w:szCs w:val="20"/>
          <w:color w:val="auto"/>
        </w:rPr>
      </w:pPr>
    </w:p>
    <w:p>
      <w:pPr>
        <w:ind w:left="60" w:right="60"/>
        <w:spacing w:after="0" w:line="277" w:lineRule="auto"/>
        <w:rPr>
          <w:sz w:val="20"/>
          <w:szCs w:val="20"/>
          <w:color w:val="auto"/>
        </w:rPr>
      </w:pPr>
      <w:r>
        <w:rPr>
          <w:rFonts w:ascii="Arial" w:cs="Arial" w:eastAsia="Arial" w:hAnsi="Arial"/>
          <w:sz w:val="18"/>
          <w:szCs w:val="18"/>
          <w:color w:val="auto"/>
        </w:rPr>
        <w:t>In the three and six months ended June 30, 2018, we recorded contract settlement charges of $0 and $2,100, respectively, associated with the termination and discounted buy-out of a commodities marketing and brokerage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Southbridge Landfill Closure Charge</w:t>
      </w:r>
    </w:p>
    <w:p>
      <w:pPr>
        <w:spacing w:after="0" w:line="31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 xml:space="preserve">In June 2017, we initiated the plan to cease operations of the Southbridge Landfill as disclosed in Note 8,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Accordingly, in the three and six months ended June 30, 2018, we recorded charges associated with the closure of the Southbridge Landfill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 charge (1)</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47,999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Project development charge (2)</w:t>
            </w:r>
          </w:p>
        </w:tc>
        <w:tc>
          <w:tcPr>
            <w:tcW w:w="9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9,148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9,148</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 remediation charge (3)</w:t>
            </w:r>
          </w:p>
        </w:tc>
        <w:tc>
          <w:tcPr>
            <w:tcW w:w="9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Charlton settlement charge (4)</w:t>
            </w:r>
          </w:p>
        </w:tc>
        <w:tc>
          <w:tcPr>
            <w:tcW w:w="9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and transaction costs (5)</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Southbridge Landfill closure charge</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64,114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64,114</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right="4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performed a test of recoverability under FASB ASC 360, which indicated that the carrying value of our asset group that includes the Southbridge Landfill was no longer recoverable and, as a result, the asset group was assessed for impairment with an impairment charge allocated to the long-lived assets of the Southbridge Landfill in accordance with FASB ASC 360.</w:t>
      </w:r>
    </w:p>
    <w:p>
      <w:pPr>
        <w:spacing w:after="0" w:line="73"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wrote-off deferred costs associated with Southbridge Landfill permitting activities no longer deemed viable.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recorded an environmental remediation charge associated with the future installation of a municipal waterline.</w:t>
      </w:r>
    </w:p>
    <w:p>
      <w:pPr>
        <w:spacing w:after="0" w:line="117" w:lineRule="exact"/>
        <w:rPr>
          <w:rFonts w:ascii="Arial" w:cs="Arial" w:eastAsia="Arial" w:hAnsi="Arial"/>
          <w:sz w:val="18"/>
          <w:szCs w:val="18"/>
          <w:color w:val="auto"/>
        </w:rPr>
      </w:pPr>
    </w:p>
    <w:p>
      <w:pPr>
        <w:ind w:left="660" w:right="3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We established a reserve associated with settlement of the Town of Charlton's claim against us. See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additional disclosure.</w:t>
      </w:r>
    </w:p>
    <w:p>
      <w:pPr>
        <w:spacing w:after="0" w:line="62"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We incurred legal and other transaction costs associated with various matters as part of the Southbridge Landfill closure. See Note 8,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for additional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Project Charge</w:t>
      </w:r>
    </w:p>
    <w:p>
      <w:pPr>
        <w:spacing w:after="0" w:line="202" w:lineRule="exact"/>
        <w:rPr>
          <w:sz w:val="20"/>
          <w:szCs w:val="20"/>
          <w:color w:val="auto"/>
        </w:rPr>
      </w:pPr>
    </w:p>
    <w:p>
      <w:pPr>
        <w:ind w:left="60" w:right="80"/>
        <w:spacing w:after="0" w:line="277" w:lineRule="auto"/>
        <w:rPr>
          <w:sz w:val="20"/>
          <w:szCs w:val="20"/>
          <w:color w:val="auto"/>
        </w:rPr>
      </w:pPr>
      <w:r>
        <w:rPr>
          <w:rFonts w:ascii="Arial" w:cs="Arial" w:eastAsia="Arial" w:hAnsi="Arial"/>
          <w:sz w:val="18"/>
          <w:szCs w:val="18"/>
          <w:color w:val="auto"/>
        </w:rPr>
        <w:t>In the three and six months ended June 30, 2018, we recorded development project charges of $0 and $311, respectively, associated with previously deferred costs that were written off as a result of the negative vote in a public referendum relating to the NCES landfill.</w:t>
      </w:r>
    </w:p>
    <w:p>
      <w:pPr>
        <w:spacing w:after="0" w:line="166"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96" w:right="239" w:bottom="1440" w:gutter="0" w:footer="0" w:header="0"/>
        </w:sectPr>
      </w:pPr>
    </w:p>
    <w:bookmarkStart w:id="27" w:name="page28"/>
    <w:bookmarkEnd w:id="27"/>
    <w:p>
      <w:pPr>
        <w:ind w:right="60"/>
        <w:spacing w:after="0" w:line="264" w:lineRule="auto"/>
        <w:rPr>
          <w:sz w:val="20"/>
          <w:szCs w:val="20"/>
          <w:color w:val="auto"/>
        </w:rPr>
      </w:pPr>
      <w:r>
        <w:rPr>
          <w:rFonts w:ascii="Arial" w:cs="Arial" w:eastAsia="Arial" w:hAnsi="Arial"/>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Accounted for at Fair Value</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financial instruments include cash and cash equivalents, accounts receivable-trade, restricted investment securities held in trust on deposit with various banks as collateral for our obligations relative to our landfill final capping, closure and post-closure costs, interest rate swaps, trade payables and long-term debt. The carrying values of cash and cash equivalents, accounts receivable - trade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swaps included in the Level 2 tier below is calculated using discounted cash flow valuation methodologies based upon the one month LIBOR yield curves that are observable at commonly quoted intervals for the full term of the swaps.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Summaries of our financial assets and liabilities that are measured at fair value on a recurring basis follow: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4"/>
                <w:szCs w:val="14"/>
                <w:b w:val="1"/>
                <w:bCs w:val="1"/>
                <w:color w:val="auto"/>
                <w:w w:val="93"/>
              </w:rPr>
              <w:t>Fair Value Measurement at June 30, 2018 Using:</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3"/>
                <w:szCs w:val="13"/>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60" w:type="dxa"/>
            <w:vAlign w:val="bottom"/>
          </w:tcPr>
          <w:p>
            <w:pPr>
              <w:spacing w:after="0"/>
              <w:rPr>
                <w:sz w:val="13"/>
                <w:szCs w:val="13"/>
                <w:color w:val="auto"/>
              </w:rPr>
            </w:pPr>
          </w:p>
        </w:tc>
        <w:tc>
          <w:tcPr>
            <w:tcW w:w="1540" w:type="dxa"/>
            <w:vAlign w:val="bottom"/>
          </w:tcPr>
          <w:p>
            <w:pPr>
              <w:jc w:val="center"/>
              <w:ind w:right="79"/>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20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60" w:type="dxa"/>
            <w:vAlign w:val="bottom"/>
          </w:tcPr>
          <w:p>
            <w:pPr>
              <w:spacing w:after="0"/>
              <w:rPr>
                <w:sz w:val="12"/>
                <w:szCs w:val="12"/>
                <w:color w:val="auto"/>
              </w:rPr>
            </w:pPr>
          </w:p>
        </w:tc>
        <w:tc>
          <w:tcPr>
            <w:tcW w:w="15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54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8"/>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investment securities - landfill closure</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8"/>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7"/>
          </w:tcPr>
          <w:p>
            <w:pPr>
              <w:jc w:val="center"/>
              <w:ind w:right="79"/>
              <w:spacing w:after="0"/>
              <w:rPr>
                <w:sz w:val="20"/>
                <w:szCs w:val="20"/>
                <w:color w:val="auto"/>
              </w:rPr>
            </w:pPr>
            <w:r>
              <w:rPr>
                <w:rFonts w:ascii="Arial" w:cs="Arial" w:eastAsia="Arial" w:hAnsi="Arial"/>
                <w:sz w:val="14"/>
                <w:szCs w:val="14"/>
                <w:b w:val="1"/>
                <w:bCs w:val="1"/>
                <w:color w:val="auto"/>
                <w:w w:val="93"/>
              </w:rPr>
              <w:t>Fair Value Measurement at December 31, 2017 Using:</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3"/>
                <w:szCs w:val="13"/>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60" w:type="dxa"/>
            <w:vAlign w:val="bottom"/>
          </w:tcPr>
          <w:p>
            <w:pPr>
              <w:spacing w:after="0"/>
              <w:rPr>
                <w:sz w:val="13"/>
                <w:szCs w:val="13"/>
                <w:color w:val="auto"/>
              </w:rPr>
            </w:pPr>
          </w:p>
        </w:tc>
        <w:tc>
          <w:tcPr>
            <w:tcW w:w="15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20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60" w:type="dxa"/>
            <w:vAlign w:val="bottom"/>
          </w:tcPr>
          <w:p>
            <w:pPr>
              <w:spacing w:after="0"/>
              <w:rPr>
                <w:sz w:val="12"/>
                <w:szCs w:val="12"/>
                <w:color w:val="auto"/>
              </w:rPr>
            </w:pPr>
          </w:p>
        </w:tc>
        <w:tc>
          <w:tcPr>
            <w:tcW w:w="15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54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Restricted investment securities - landfill closure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40"/>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8"/>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June 30, 2018, the fair value of our fixed rate debt, including our FAME Bonds 2005R-3, Finance Authority of Maine Solid Waste Disposal Revenue Bonds Series 2015R-1(“FAME Bonds 2015R-1”), FAME Bonds 2015R-2, Vermont Bonds, New York State Environmental Facilities Corporation Solid Waste Disposal Revenue Bonds Series 2014 (“New York Bonds 2014”), New York State Environmental Facilities Corporation Solid Waste Disposal Revenue Bonds Series 2014R-2 (“New York Bonds 2014R-2”) and Solid Waste Disposal Revenue Bonds Series 2013 issued by the Business Finance Authority of the State of New Hampshire (“New Hampshire Bonds”) was approximately $123,369 and the carrying value was $122,000. The fair value of the FAME Bonds 2005R-3, the FAME Bonds 2015R-1, the FAME Bonds 2015R-2, the Vermont Bonds, the New York Bonds 2014, the New York Bonds 2014R-2 and the New Hampshire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00" w:right="239" w:bottom="1440" w:gutter="0" w:footer="0" w:header="0"/>
        </w:sectPr>
      </w:pPr>
    </w:p>
    <w:bookmarkStart w:id="28" w:name="page29"/>
    <w:bookmarkEnd w:id="28"/>
    <w:p>
      <w:pPr>
        <w:ind w:right="180"/>
        <w:spacing w:after="0" w:line="342" w:lineRule="auto"/>
        <w:rPr>
          <w:sz w:val="20"/>
          <w:szCs w:val="20"/>
          <w:color w:val="auto"/>
        </w:rPr>
      </w:pPr>
      <w:r>
        <w:rPr>
          <w:rFonts w:ascii="Arial" w:cs="Arial" w:eastAsia="Arial" w:hAnsi="Arial"/>
          <w:sz w:val="16"/>
          <w:szCs w:val="16"/>
          <w:color w:val="auto"/>
        </w:rPr>
        <w:t>As of June 30, 2018, the carrying value of our Term Loan Facility was $350,000 and the carrying value of our Revolving Credit Facility was $33,300. Their fair values are based on current borrowing rates for similar types of borrowing arrangements, or Level 2 inputs, and approximate their carrying values.</w:t>
      </w:r>
    </w:p>
    <w:p>
      <w:pPr>
        <w:spacing w:after="0" w:line="12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Although we have determined the estimated fair value amounts of FAME Bonds 2005R-3, FAME Bonds 2015R-1, FAME Bonds 2015R-2, Vermont Bonds, New York Bonds 2014, New York Bonds 2014R-2 and New Hampshire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184"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six months ended June 30, 2018, we recognized a ($1,635) deferred tax benefit due to a reduction of the valuation allowance in the quarter ended March 31, 2018. In determining the need for a valuation allowance, we have assessed the available means of recovering deferred tax assets, including the existence of reversing temporary differences. The valuation allowance decreased due to the recognition of additional reversing temporary differences from the $1,635 deferred tax liability recorded through goodwill related to the Complete acquisition. The $1,635 deferred tax liability related to the Complete acquisition was based on the impact of temporary differences between the amounts of assets and liabilities recognized for financial reporting purposes and such amounts recognized for income tax purposes.</w:t>
      </w:r>
    </w:p>
    <w:p>
      <w:pPr>
        <w:spacing w:after="0" w:line="19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December 22, 2017, the Tax Cuts and Jobs Act (the “Act”) was enacted. The Act, which is also commonly referred to as “US tax reform,” significantly changes US corporate income tax laws by, among other things, reducing the US corporate income tax rate from 35% to 21% starting in 2018. Under the Act, the alternative minimum tax has been repealed and minimum tax credit carryforwards become refundable beginning in 2018 and will be fully refunded, if not otherwise used to offset tax liabilities, in tax year 2021. Further, our $101,200 in federal net operating loss carryforwards generated as of the end of 2017 continue to be carried forward for 20 years and are expected to be available to fully offset taxable income earned in 2018 and future tax years. Federal net operating losses generated after 2017 will be carried forward indefinitely, but generally may only offset up to 80% of taxable income earned in a tax year. In the quarter ending December 31, 2017, we revalued our deferred tax assets and liabilities for changes under the Act including (a) revaluing our federal net deferred taxes assets before valuation allowance using the 21% tax rate; (b) revaluing our federal valuation allowance using the 21% tax rate; and (c) recognizing a federal deferred tax benefit for 80% of indefinite lived deferred tax liabilities, which are anticipated to be available as a source of taxable income upon reversal of deferred tax assets that would also have indefinite lives.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benefit for income taxes for the three and six months ended June 30, 2018 incorporates the changes under the Act, including use of the 21% US corporate income tax rate and applying the new federal net operating loss carryforward rules. We have $3,804 minimum tax credit carryforwards of which we anticipate $1,902 is refundable in 2018. Current income tax benefits of $475 and $950 in the three and six months ended June 30, 2018, respectively, offset by $475 and $950 deferred tax provisions in the three and six months ended June 30, 2018, respectively, were recognized for a portion of the minimum tax credit carryforward refundable in 2018.</w:t>
      </w:r>
    </w:p>
    <w:p>
      <w:pPr>
        <w:spacing w:after="0" w:line="184"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report selected information about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and disposal, landfill, landfill gas-to-energy, transfer and recycling services in the northeastern United States.</w:t>
      </w:r>
    </w:p>
    <w:p>
      <w:pPr>
        <w:ind w:right="460"/>
        <w:spacing w:after="0" w:line="255" w:lineRule="auto"/>
        <w:rPr>
          <w:sz w:val="20"/>
          <w:szCs w:val="20"/>
          <w:color w:val="auto"/>
        </w:rPr>
      </w:pPr>
      <w:r>
        <w:rPr>
          <w:rFonts w:ascii="Arial" w:cs="Arial" w:eastAsia="Arial" w:hAnsi="Arial"/>
          <w:sz w:val="18"/>
          <w:szCs w:val="18"/>
          <w:color w:val="auto"/>
        </w:rPr>
        <w:t>Our revenues in the Recycling segment are derived from municipalities and customers in the form of processing fees, tipping fees and commodity sales. Organics services, ancillary operations, major account and industrial services, discontinued operations, and earnings from equity method investees, as applicable, are included in our Other segment.</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Three Months Ended June 30, 2018</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Outside</w:t>
            </w: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Inter-company</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Operating</w:t>
            </w:r>
          </w:p>
        </w:tc>
        <w:tc>
          <w:tcPr>
            <w:tcW w:w="260" w:type="dxa"/>
            <w:vAlign w:val="bottom"/>
          </w:tcPr>
          <w:p>
            <w:pPr>
              <w:spacing w:after="0"/>
              <w:rPr>
                <w:sz w:val="14"/>
                <w:szCs w:val="14"/>
                <w:color w:val="auto"/>
              </w:rPr>
            </w:pPr>
          </w:p>
        </w:tc>
        <w:tc>
          <w:tcPr>
            <w:tcW w:w="1220" w:type="dxa"/>
            <w:vAlign w:val="bottom"/>
          </w:tcPr>
          <w:p>
            <w:pPr>
              <w:jc w:val="center"/>
              <w:ind w:right="17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amortization</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income (loss)</w:t>
            </w:r>
          </w:p>
        </w:tc>
        <w:tc>
          <w:tcPr>
            <w:tcW w:w="260" w:type="dxa"/>
            <w:vAlign w:val="bottom"/>
          </w:tcPr>
          <w:p>
            <w:pPr>
              <w:spacing w:after="0"/>
              <w:rPr>
                <w:sz w:val="16"/>
                <w:szCs w:val="16"/>
                <w:color w:val="auto"/>
              </w:rPr>
            </w:pPr>
          </w:p>
        </w:tc>
        <w:tc>
          <w:tcPr>
            <w:tcW w:w="1220" w:type="dxa"/>
            <w:vAlign w:val="bottom"/>
          </w:tcPr>
          <w:p>
            <w:pPr>
              <w:jc w:val="center"/>
              <w:ind w:right="174"/>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53,589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180,330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Western</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71,043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20,689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8,351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11,989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354,284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49,477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31,417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68,483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165,649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17,386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15,149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652,574</w:t>
            </w:r>
          </w:p>
        </w:tc>
        <w:tc>
          <w:tcPr>
            <w:tcW w:w="0" w:type="dxa"/>
            <w:vAlign w:val="bottom"/>
          </w:tcPr>
          <w:p>
            <w:pPr>
              <w:spacing w:after="0"/>
              <w:rPr>
                <w:sz w:val="1"/>
                <w:szCs w:val="1"/>
                <w:color w:val="auto"/>
              </w:rPr>
            </w:pPr>
          </w:p>
        </w:tc>
      </w:tr>
      <w:tr>
        <w:trPr>
          <w:trHeight w:val="27"/>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June 30, 2017</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24"/>
                <w:szCs w:val="2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Outside</w:t>
            </w: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Inter-company</w:t>
            </w: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Operating</w:t>
            </w:r>
          </w:p>
        </w:tc>
        <w:tc>
          <w:tcPr>
            <w:tcW w:w="260" w:type="dxa"/>
            <w:vAlign w:val="bottom"/>
          </w:tcPr>
          <w:p>
            <w:pPr>
              <w:spacing w:after="0"/>
              <w:rPr>
                <w:sz w:val="24"/>
                <w:szCs w:val="24"/>
                <w:color w:val="auto"/>
              </w:rPr>
            </w:pPr>
          </w:p>
        </w:tc>
        <w:tc>
          <w:tcPr>
            <w:tcW w:w="1220" w:type="dxa"/>
            <w:vAlign w:val="bottom"/>
          </w:tcPr>
          <w:p>
            <w:pPr>
              <w:jc w:val="center"/>
              <w:ind w:right="17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amortization</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income (loss)</w:t>
            </w:r>
          </w:p>
        </w:tc>
        <w:tc>
          <w:tcPr>
            <w:tcW w:w="260" w:type="dxa"/>
            <w:vAlign w:val="bottom"/>
          </w:tcPr>
          <w:p>
            <w:pPr>
              <w:spacing w:after="0"/>
              <w:rPr>
                <w:sz w:val="16"/>
                <w:szCs w:val="16"/>
                <w:color w:val="auto"/>
              </w:rPr>
            </w:pPr>
          </w:p>
        </w:tc>
        <w:tc>
          <w:tcPr>
            <w:tcW w:w="1220" w:type="dxa"/>
            <w:vAlign w:val="bottom"/>
          </w:tcPr>
          <w:p>
            <w:pPr>
              <w:jc w:val="center"/>
              <w:ind w:right="174"/>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46,574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158,042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Western</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64,372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18,625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7,586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10,770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328,207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50,398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26,859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52,230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154,016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15,868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(47,279)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588,877</w:t>
            </w:r>
          </w:p>
        </w:tc>
        <w:tc>
          <w:tcPr>
            <w:tcW w:w="0" w:type="dxa"/>
            <w:vAlign w:val="bottom"/>
          </w:tcPr>
          <w:p>
            <w:pPr>
              <w:spacing w:after="0"/>
              <w:rPr>
                <w:sz w:val="1"/>
                <w:szCs w:val="1"/>
                <w:color w:val="auto"/>
              </w:rPr>
            </w:pPr>
          </w:p>
        </w:tc>
      </w:tr>
      <w:tr>
        <w:trPr>
          <w:trHeight w:val="27"/>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Six Months Ended June 30, 2018</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24"/>
                <w:szCs w:val="2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Outside</w:t>
            </w: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Inter-company</w:t>
            </w: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Operating</w:t>
            </w:r>
          </w:p>
        </w:tc>
        <w:tc>
          <w:tcPr>
            <w:tcW w:w="260" w:type="dxa"/>
            <w:vAlign w:val="bottom"/>
          </w:tcPr>
          <w:p>
            <w:pPr>
              <w:spacing w:after="0"/>
              <w:rPr>
                <w:sz w:val="24"/>
                <w:szCs w:val="24"/>
                <w:color w:val="auto"/>
              </w:rPr>
            </w:pPr>
          </w:p>
        </w:tc>
        <w:tc>
          <w:tcPr>
            <w:tcW w:w="122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86"/>
              </w:rPr>
              <w:t>Total assets</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amortization</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income (loss)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98,094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180,330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Western</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135,783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39,320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16,382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19,182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354,284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49,477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59,470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68,483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313,104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33,370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15,986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652,574</w:t>
            </w:r>
          </w:p>
        </w:tc>
        <w:tc>
          <w:tcPr>
            <w:tcW w:w="0" w:type="dxa"/>
            <w:vAlign w:val="bottom"/>
          </w:tcPr>
          <w:p>
            <w:pPr>
              <w:spacing w:after="0"/>
              <w:rPr>
                <w:sz w:val="1"/>
                <w:szCs w:val="1"/>
                <w:color w:val="auto"/>
              </w:rPr>
            </w:pPr>
          </w:p>
        </w:tc>
      </w:tr>
      <w:tr>
        <w:trPr>
          <w:trHeight w:val="27"/>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Six Months Ended June 30, 2017</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24"/>
                <w:szCs w:val="2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Outside</w:t>
            </w: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Inter-company</w:t>
            </w: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Operating</w:t>
            </w:r>
          </w:p>
        </w:tc>
        <w:tc>
          <w:tcPr>
            <w:tcW w:w="260" w:type="dxa"/>
            <w:vAlign w:val="bottom"/>
          </w:tcPr>
          <w:p>
            <w:pPr>
              <w:spacing w:after="0"/>
              <w:rPr>
                <w:sz w:val="24"/>
                <w:szCs w:val="24"/>
                <w:color w:val="auto"/>
              </w:rPr>
            </w:pPr>
          </w:p>
        </w:tc>
        <w:tc>
          <w:tcPr>
            <w:tcW w:w="122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86"/>
              </w:rPr>
              <w:t>Total assets</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amortization</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income (loss)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Eastern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85,260</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22,724</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11,827</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(60,304)</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158,042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118,515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328,207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32,846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50,398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51,197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52,230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30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(57,627)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287,818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588,877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9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A summary of our revenues attributable to services provided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74,564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141,039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126,145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Disposal</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47,246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42,172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87,480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73,454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generation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Processing</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2,347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3,768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3,796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Solid waste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125,452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235,381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206,301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Organics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14,647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11,005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26,847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20,219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solutions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15,950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28,452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Recycling</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9,600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16,211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19,757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32,846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165,649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154,016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313,104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287,818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4"/>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31" w:name="page32"/>
    <w:bookmarkEnd w:id="31"/>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discussion should be read in conjunction with our unaudited consolidated financial statements and notes thereto included under Item 1. In addition, reference should be made to our audited consolidated financial statements and notes thereto and related Management’s Discussion and Analysis of Financial Condition and Results of Operations appearing in our Annual Report on Form 10-K for the fiscal year ended December 31, 2017 filed with the Securities and Exchange Commission (“SEC”) on March 2, 2018.</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This Quarterly Report on Form 10-Q and, in particular, this Management’s Discussion and Analysis of Financial Condition and Results of Operations, may contain or incorporate a number of forward-looking statements within the meaning of Section 27A of the Securities Act of 1933, as amended, and Section 21E of the Exchange Act of 1934, as amended, including:</w:t>
      </w:r>
    </w:p>
    <w:p>
      <w:pPr>
        <w:spacing w:after="0" w:line="18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projected development of additional disposal capacity or expectations regarding permits for existing capacity;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outcome of any legal or regulatory matter;</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expected liquidity and financing plans;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expected future revenues, operations, expenditures and cash needs;</w:t>
      </w:r>
    </w:p>
    <w:p>
      <w:pPr>
        <w:spacing w:after="0" w:line="117" w:lineRule="exact"/>
        <w:rPr>
          <w:rFonts w:ascii="Arial" w:cs="Arial" w:eastAsia="Arial" w:hAnsi="Arial"/>
          <w:sz w:val="18"/>
          <w:szCs w:val="18"/>
          <w:color w:val="auto"/>
        </w:rPr>
      </w:pPr>
    </w:p>
    <w:p>
      <w:pPr>
        <w:ind w:left="660" w:right="50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or the level of commodity pricing of our recyclables, increases in landfill tipping fees and fuel costs and general economic and weather conditions;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projected future obligations related to final capping, closure and post-closure costs of our existing landfills and any disposal facilities which we may own or operate in the future;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use our net operating losses and tax positions;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recoverability or impairment of any of our assets or goodwill;</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estimates of the potential markets for our products and services, including the anticipated drivers for future growth;</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and marketing plans or price and volume assumptions;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business combinations or divestitures; and</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projected improvements to our infrastructure and the impact of such improvements on our business and operations.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16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These risks and uncertainties include, without limitation, those detailed in Item 1A, “Risk Factors” in our Annual Report on Form 10-K for the fiscal year ended December 31, 2017 and, if applicable, those included under Part II, Item 1A of this Quarterly Report on Form 10-Q.</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may be additional risks that we are not presently aware of or that we currently believe are immaterial, which could have an adverse impact on our business. We explicitly disclaim any obligation to update any forward-looking statements whether as a result of new information, future events or otherwise, except as otherwise required by law.</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796"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Founded in 1975 with a single truck, Casella Waste Systems, Inc., a Delaware corporation, its wholly-owned subsidiaries and certain partially owned entities over which it has a controlling financial interest (collectively, “we”, “us” or “our”), is a regional, vertically-integrated solid waste services company. We provide resource management expertise and services to residential, commercial, municipal and industrial customers, primarily in the areas of solid waste collection and disposal, transfer, recycling and organics services. We provide integrated solid waste services in six states: Vermont, New Hampshire, New York, Massachusetts, Maine and Pennsylvania, with our headquarters located in Rutland, Vermont. We manage our solid waste operations on a geographic basis through two regional operating segments, the Eastern and Western regions, each of which provides a full range of solid waste services, and our larger-scale recycling and commodity brokerage operations through our Recycling segment. Organics services, ancillary operations, major account and industrial services, discontinued operations, and earnings from equity method investees, as applicable, are included in our Other segment.</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July 15, 2018, we owned and/or operated 32 solid waste collection operations, 47 transfer stations, 18 recycling facilities, nine Subtitle D landfills, four landfill gas-to-energy facilities and one landfill permitted to accept construction and demolition (“C&amp;D”) materials.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manage our solid waste operations, which include a full range of solid waste services, on a geographic basis through two regional operating segments, which we designate as the Eastern and Western regions. Revenues in our Eastern and Western regions consist primarily of fees charged to customers for solid waste collection and disposal, landfill, landfill gas-to-energy, transfer and recycling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households. Landfill and transfer customers are charged a tipping fee on a per ton basis for disposing of their solid waste at our disposal facilities and transfer stations. We also generate and sell electricity at certain of our landfill facilities. Revenues from our Recycling segment consist of revenues derived from municipalities and customers in the form of processing fees, tipping fees and commodity sales. Revenues from organics services, ancillary operations, and major account and industrial services are included in our Other segment. Our revenues are shown net of inter-company eliminations.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attributable to service provided (dollars in millions and as a percentage of total revenues)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w w:val="97"/>
              </w:rPr>
              <w:t>Three Months Ended June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7"/>
              </w:rPr>
              <w:t>Six Months Ended 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2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gridSpan w:val="3"/>
            <w:vMerge w:val="restart"/>
          </w:tcPr>
          <w:p>
            <w:pPr>
              <w:jc w:val="right"/>
              <w:ind w:right="64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7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2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74.6</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66.3</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04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126.1</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Disposal</w:t>
            </w:r>
          </w:p>
        </w:tc>
        <w:tc>
          <w:tcPr>
            <w:tcW w:w="2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Processing</w:t>
            </w:r>
          </w:p>
        </w:tc>
        <w:tc>
          <w:tcPr>
            <w:tcW w:w="2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Solid waste</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2280" w:type="dxa"/>
            <w:vAlign w:val="bottom"/>
          </w:tcPr>
          <w:p>
            <w:pPr>
              <w:ind w:left="380"/>
              <w:spacing w:after="0"/>
              <w:rPr>
                <w:sz w:val="20"/>
                <w:szCs w:val="20"/>
                <w:color w:val="auto"/>
              </w:rPr>
            </w:pPr>
            <w:r>
              <w:rPr>
                <w:rFonts w:ascii="Arial" w:cs="Arial" w:eastAsia="Arial" w:hAnsi="Arial"/>
                <w:sz w:val="18"/>
                <w:szCs w:val="18"/>
                <w:color w:val="auto"/>
              </w:rPr>
              <w:t>Organics</w:t>
            </w:r>
          </w:p>
        </w:tc>
        <w:tc>
          <w:tcPr>
            <w:tcW w:w="2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26.8</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solutions</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2280" w:type="dxa"/>
            <w:vAlign w:val="bottom"/>
          </w:tcPr>
          <w:p>
            <w:pPr>
              <w:ind w:left="380"/>
              <w:spacing w:after="0"/>
              <w:rPr>
                <w:sz w:val="20"/>
                <w:szCs w:val="20"/>
                <w:color w:val="auto"/>
              </w:rPr>
            </w:pPr>
            <w:r>
              <w:rPr>
                <w:rFonts w:ascii="Arial" w:cs="Arial" w:eastAsia="Arial" w:hAnsi="Arial"/>
                <w:sz w:val="18"/>
                <w:szCs w:val="18"/>
                <w:color w:val="auto"/>
              </w:rPr>
              <w:t>Recycling</w:t>
            </w:r>
          </w:p>
        </w:tc>
        <w:tc>
          <w:tcPr>
            <w:tcW w:w="2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19.8</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A summary of the period-to-period changes in solid waste revenues (dollars in millions and as a percentage of solid waste revenues)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w w:val="94"/>
              </w:rPr>
              <w:t>Period-to-Period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4"/>
              </w:rPr>
              <w:t>Period-to-Period</w:t>
            </w:r>
          </w:p>
        </w:tc>
      </w:tr>
      <w:tr>
        <w:trPr>
          <w:trHeight w:val="149"/>
        </w:trPr>
        <w:tc>
          <w:tcPr>
            <w:tcW w:w="5040" w:type="dxa"/>
            <w:vAlign w:val="bottom"/>
          </w:tcPr>
          <w:p>
            <w:pPr>
              <w:spacing w:after="0"/>
              <w:rPr>
                <w:sz w:val="12"/>
                <w:szCs w:val="12"/>
                <w:color w:val="auto"/>
              </w:rPr>
            </w:pPr>
          </w:p>
        </w:tc>
        <w:tc>
          <w:tcPr>
            <w:tcW w:w="328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Change for the Three Months Ended June 30,</w:t>
            </w:r>
          </w:p>
        </w:tc>
        <w:tc>
          <w:tcPr>
            <w:tcW w:w="31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Change for the Six Months Ended June 30, 2018</w:t>
            </w:r>
          </w:p>
        </w:tc>
      </w:tr>
      <w:tr>
        <w:trPr>
          <w:trHeight w:val="192"/>
        </w:trPr>
        <w:tc>
          <w:tcPr>
            <w:tcW w:w="50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108"/>
              <w:spacing w:after="0"/>
              <w:rPr>
                <w:sz w:val="20"/>
                <w:szCs w:val="20"/>
                <w:color w:val="auto"/>
              </w:rPr>
            </w:pPr>
            <w:r>
              <w:rPr>
                <w:rFonts w:ascii="Arial" w:cs="Arial" w:eastAsia="Arial" w:hAnsi="Arial"/>
                <w:sz w:val="14"/>
                <w:szCs w:val="14"/>
                <w:b w:val="1"/>
                <w:bCs w:val="1"/>
                <w:color w:val="auto"/>
                <w:w w:val="89"/>
              </w:rPr>
              <w:t>2018 vs. 2017</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876"/>
              <w:spacing w:after="0"/>
              <w:rPr>
                <w:sz w:val="20"/>
                <w:szCs w:val="20"/>
                <w:color w:val="auto"/>
              </w:rPr>
            </w:pPr>
            <w:r>
              <w:rPr>
                <w:rFonts w:ascii="Arial" w:cs="Arial" w:eastAsia="Arial" w:hAnsi="Arial"/>
                <w:sz w:val="14"/>
                <w:szCs w:val="14"/>
                <w:b w:val="1"/>
                <w:bCs w:val="1"/>
                <w:color w:val="auto"/>
                <w:w w:val="88"/>
              </w:rPr>
              <w:t>vs. 2017</w:t>
            </w:r>
          </w:p>
        </w:tc>
        <w:tc>
          <w:tcPr>
            <w:tcW w:w="124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3"/>
          </w:tcPr>
          <w:p>
            <w:pPr>
              <w:ind w:left="380"/>
              <w:spacing w:after="0"/>
              <w:rPr>
                <w:sz w:val="20"/>
                <w:szCs w:val="20"/>
                <w:color w:val="auto"/>
              </w:rPr>
            </w:pPr>
            <w:r>
              <w:rPr>
                <w:rFonts w:ascii="Arial" w:cs="Arial" w:eastAsia="Arial" w:hAnsi="Arial"/>
                <w:sz w:val="14"/>
                <w:szCs w:val="14"/>
                <w:b w:val="1"/>
                <w:bCs w:val="1"/>
                <w:color w:val="auto"/>
              </w:rPr>
              <w:t>% of Growth</w:t>
            </w:r>
          </w:p>
        </w:tc>
        <w:tc>
          <w:tcPr>
            <w:tcW w:w="300" w:type="dxa"/>
            <w:vAlign w:val="bottom"/>
          </w:tcPr>
          <w:p>
            <w:pPr>
              <w:spacing w:after="0"/>
              <w:rPr>
                <w:sz w:val="22"/>
                <w:szCs w:val="22"/>
                <w:color w:val="auto"/>
              </w:rPr>
            </w:pPr>
          </w:p>
        </w:tc>
        <w:tc>
          <w:tcPr>
            <w:tcW w:w="1560" w:type="dxa"/>
            <w:vAlign w:val="bottom"/>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right"/>
              <w:ind w:right="273"/>
              <w:spacing w:after="0"/>
              <w:rPr>
                <w:sz w:val="20"/>
                <w:szCs w:val="20"/>
                <w:color w:val="auto"/>
              </w:rPr>
            </w:pPr>
            <w:r>
              <w:rPr>
                <w:rFonts w:ascii="Arial" w:cs="Arial" w:eastAsia="Arial" w:hAnsi="Arial"/>
                <w:sz w:val="14"/>
                <w:szCs w:val="14"/>
                <w:b w:val="1"/>
                <w:bCs w:val="1"/>
                <w:color w:val="auto"/>
              </w:rPr>
              <w:t>% of Growth</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1020" w:type="dxa"/>
            <w:vAlign w:val="bottom"/>
            <w:tcBorders>
              <w:top w:val="single" w:sz="8" w:color="auto"/>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Volume</w:t>
            </w:r>
          </w:p>
        </w:tc>
        <w:tc>
          <w:tcPr>
            <w:tcW w:w="1020" w:type="dxa"/>
            <w:vAlign w:val="bottom"/>
          </w:tcPr>
          <w:p>
            <w:pPr>
              <w:spacing w:after="0"/>
              <w:rPr>
                <w:sz w:val="21"/>
                <w:szCs w:val="21"/>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Surcharges and other fees</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Commodity price and volume</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Solid waste revenues</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1"/>
              </w:rPr>
              <w:t>13.3</w:t>
            </w: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11.8 %</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5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waste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quarterly solid waste revenues growth is the result of the following:</w:t>
      </w:r>
    </w:p>
    <w:p>
      <w:pPr>
        <w:spacing w:after="0" w:line="117" w:lineRule="exact"/>
        <w:rPr>
          <w:sz w:val="20"/>
          <w:szCs w:val="20"/>
          <w:color w:val="auto"/>
        </w:rPr>
      </w:pPr>
    </w:p>
    <w:p>
      <w:pPr>
        <w:ind w:left="460" w:hanging="330"/>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$3.3 million from favorable collection pricing;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$1.5 million from favorable disposal pricing associated with our landfills and transfer stations.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year-to-date solid waste revenues growth is the result of the following:</w:t>
      </w:r>
    </w:p>
    <w:p>
      <w:pPr>
        <w:spacing w:after="0" w:line="117" w:lineRule="exact"/>
        <w:rPr>
          <w:sz w:val="20"/>
          <w:szCs w:val="20"/>
          <w:color w:val="auto"/>
        </w:rPr>
      </w:pPr>
    </w:p>
    <w:p>
      <w:pPr>
        <w:ind w:left="460" w:hanging="330"/>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$6.1 million from favorable collection pricing;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$2.7 million from favorable disposal pricing associated with our landfills and transfer stations.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quarterly solid waste revenues growth is the result of the following:</w:t>
      </w:r>
    </w:p>
    <w:p>
      <w:pPr>
        <w:spacing w:after="0" w:line="117" w:lineRule="exact"/>
        <w:rPr>
          <w:sz w:val="20"/>
          <w:szCs w:val="20"/>
          <w:color w:val="auto"/>
        </w:rPr>
      </w:pPr>
    </w:p>
    <w:p>
      <w:pPr>
        <w:ind w:left="460" w:right="340" w:hanging="330"/>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$1.1 million from higher disposal volumes (of which $0.9 million relates to higher transportation volumes associated with a large contaminated soil project, $0.5 million relates to higher transfer station volumes and $(0.3) million relates to lower landfill volumes); and</w:t>
      </w:r>
    </w:p>
    <w:p>
      <w:pPr>
        <w:spacing w:after="0" w:line="146" w:lineRule="exact"/>
        <w:rPr>
          <w:rFonts w:ascii="Arial" w:cs="Arial" w:eastAsia="Arial" w:hAnsi="Arial"/>
          <w:sz w:val="17"/>
          <w:szCs w:val="17"/>
          <w:color w:val="auto"/>
        </w:rPr>
      </w:pPr>
    </w:p>
    <w:p>
      <w:pPr>
        <w:ind w:left="460" w:hanging="330"/>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$0.6 million from higher collection volumes.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year-to-date solid waste revenues growth is the result of the following:</w:t>
      </w:r>
    </w:p>
    <w:p>
      <w:pPr>
        <w:spacing w:after="0" w:line="117" w:lineRule="exact"/>
        <w:rPr>
          <w:sz w:val="20"/>
          <w:szCs w:val="20"/>
          <w:color w:val="auto"/>
        </w:rPr>
      </w:pPr>
    </w:p>
    <w:p>
      <w:pPr>
        <w:ind w:left="460" w:right="340" w:hanging="330"/>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$7.1 million from higher disposal volumes (of which $4.2 million relates to higher transportation volumes associated with a large contaminated soil project, $2.0 million relates to higher landfill volumes and $0.9 million relates to higher transfer station volumes); and</w:t>
      </w:r>
    </w:p>
    <w:p>
      <w:pPr>
        <w:spacing w:after="0" w:line="146" w:lineRule="exact"/>
        <w:rPr>
          <w:rFonts w:ascii="Arial" w:cs="Arial" w:eastAsia="Arial" w:hAnsi="Arial"/>
          <w:sz w:val="17"/>
          <w:szCs w:val="17"/>
          <w:color w:val="auto"/>
        </w:rPr>
      </w:pPr>
    </w:p>
    <w:p>
      <w:pPr>
        <w:ind w:left="460" w:hanging="330"/>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$0.9 million from higher collection volumes; partially offset by</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$(0.1) million from lower processing volumes.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surcharges and other fees change component in quarterly and year-to-date solid waste revenues growth is the result of the following:</w:t>
      </w:r>
    </w:p>
    <w:p>
      <w:pPr>
        <w:spacing w:after="0" w:line="117" w:lineRule="exact"/>
        <w:rPr>
          <w:sz w:val="20"/>
          <w:szCs w:val="20"/>
          <w:color w:val="auto"/>
        </w:rPr>
      </w:pPr>
    </w:p>
    <w:p>
      <w:pPr>
        <w:ind w:left="460" w:right="80" w:hanging="330"/>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$2.0 million and $3.2 million associated primarily with the Energy component of the Energy and Environmental fee and the portion of the Sustainability Recycling Adjustment fee that has anniversaried. The Energy component of the fee floats on a monthly basis based on diesel fuel prices. The Energy component of the fee increased due to both the implementation of the program and higher diesel fuel pricing. The Sustainability Recycling Adjustment fee floats on a monthly basis based on recycled commodity prices.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0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Commodity price and volume.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commodity price and volume change component in quarterly solid waste revenues growth is the result of the following:</w:t>
      </w:r>
    </w:p>
    <w:p>
      <w:pPr>
        <w:spacing w:after="0" w:line="117" w:lineRule="exact"/>
        <w:rPr>
          <w:sz w:val="20"/>
          <w:szCs w:val="20"/>
          <w:color w:val="auto"/>
        </w:rPr>
      </w:pPr>
    </w:p>
    <w:p>
      <w:pPr>
        <w:ind w:left="460" w:hanging="330"/>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$(0.4) million from lower landfill gas-to-energy volumes and, to a lesser extent, commodity processing volumes; partially offset by</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$0.3 million from favorable commodity pricing and, to a lesser extent, energy pricing.</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commodity price and volume change component in year-to-date solid waste revenues growth is the result of the following:</w:t>
      </w:r>
    </w:p>
    <w:p>
      <w:pPr>
        <w:spacing w:after="0" w:line="117" w:lineRule="exact"/>
        <w:rPr>
          <w:sz w:val="20"/>
          <w:szCs w:val="20"/>
          <w:color w:val="auto"/>
        </w:rPr>
      </w:pPr>
    </w:p>
    <w:p>
      <w:pPr>
        <w:ind w:left="460" w:hanging="330"/>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$0.8 million from favorable energy and commodity pricing; partially offset by</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$(0.6) million from lower commodity processing and landfill gas-to-energy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60" w:right="220"/>
        <w:spacing w:after="0" w:line="279" w:lineRule="auto"/>
        <w:rPr>
          <w:sz w:val="20"/>
          <w:szCs w:val="20"/>
          <w:color w:val="auto"/>
        </w:rPr>
      </w:pPr>
      <w:r>
        <w:rPr>
          <w:rFonts w:ascii="Arial" w:cs="Arial" w:eastAsia="Arial" w:hAnsi="Arial"/>
          <w:sz w:val="17"/>
          <w:szCs w:val="17"/>
          <w:color w:val="auto"/>
        </w:rPr>
        <w:t>The acquisitions change component in quarterly and year-to-date solid waste revenues growth is primarily the result of the acquisition of a solid waste collection, transfer and processing business in our Eastern region, Complete Disposal Company, Inc. and its subsidiary United Material Management of Holyoke, Inc. (collectively, "Complete"), in the quarter ended March 31, 2018. It is also impacted by the acquisition of a tuck-in collection business in the quarter ended March 31, 2018 and four solid waste collection businesses from March 2017 through December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Organics revenues</w:t>
      </w:r>
    </w:p>
    <w:p>
      <w:pPr>
        <w:spacing w:after="0" w:line="225" w:lineRule="exact"/>
        <w:rPr>
          <w:sz w:val="20"/>
          <w:szCs w:val="20"/>
          <w:color w:val="auto"/>
        </w:rPr>
      </w:pPr>
    </w:p>
    <w:p>
      <w:pPr>
        <w:ind w:left="60" w:right="200"/>
        <w:spacing w:after="0" w:line="277" w:lineRule="auto"/>
        <w:rPr>
          <w:sz w:val="20"/>
          <w:szCs w:val="20"/>
          <w:color w:val="auto"/>
        </w:rPr>
      </w:pPr>
      <w:r>
        <w:rPr>
          <w:rFonts w:ascii="Arial" w:cs="Arial" w:eastAsia="Arial" w:hAnsi="Arial"/>
          <w:sz w:val="18"/>
          <w:szCs w:val="18"/>
          <w:color w:val="auto"/>
        </w:rPr>
        <w:t>Quarterly organics revenues increased $3.6 million as a result of higher commodity volumes, primarily driven by a new sludge transportation and disposal contract, and higher commodity pricing.</w:t>
      </w:r>
    </w:p>
    <w:p>
      <w:pPr>
        <w:spacing w:after="0" w:line="170"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Year-to-date organics revenues increased $6.6 million as a result of higher commodity volumes, primarily driven by a new sludge transportation and disposal contract, and higher commodity pricing in the three months ended June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Solutions revenues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Quarterly customer solutions revenues increased $1.3 million as a result of higher volumes.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Year-to-date revenues increased $2.6 million as the result of higher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Recycling revenues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Quarterly recycling revenues decreased as a result of the following:</w:t>
      </w:r>
    </w:p>
    <w:p>
      <w:pPr>
        <w:spacing w:after="0" w:line="117" w:lineRule="exact"/>
        <w:rPr>
          <w:sz w:val="20"/>
          <w:szCs w:val="20"/>
          <w:color w:val="auto"/>
        </w:rPr>
      </w:pPr>
    </w:p>
    <w:p>
      <w:pPr>
        <w:ind w:left="460" w:hanging="330"/>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$(7.2) million from unfavorable commodity pricing in the marketplace;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$(2.4) million from lower commodity volumes; partially offset by</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$3.0 million from higher tipping fees.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Year-to-date recycling revenues decreased as a result of the following:</w:t>
      </w:r>
    </w:p>
    <w:p>
      <w:pPr>
        <w:spacing w:after="0" w:line="225" w:lineRule="exact"/>
        <w:rPr>
          <w:sz w:val="20"/>
          <w:szCs w:val="20"/>
          <w:color w:val="auto"/>
        </w:rPr>
      </w:pPr>
    </w:p>
    <w:p>
      <w:pPr>
        <w:ind w:left="460" w:hanging="330"/>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$(14.5) million from unfavorable commodity pricing in the marketplace;</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$(4.3) million from lower commodity volumes; partially offset by</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$5.7 million from higher tipping fees.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800"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summary of cost of operations, general and administration expense, and depreciation and amortization expense (dollars in millions and as a percentage of total revenues)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174"/>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2"/>
        </w:trPr>
        <w:tc>
          <w:tcPr>
            <w:tcW w:w="2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vMerge w:val="restart"/>
          </w:tcPr>
          <w:p>
            <w:pPr>
              <w:jc w:val="right"/>
              <w:ind w:right="637"/>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8"/>
                <w:szCs w:val="18"/>
                <w:color w:val="auto"/>
              </w:rPr>
              <w:t>111.8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rPr>
              <w:t>102.5</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rPr>
              <w:t>197.1</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General and administration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7"/>
              <w:spacing w:after="0"/>
              <w:rPr>
                <w:sz w:val="20"/>
                <w:szCs w:val="20"/>
                <w:color w:val="auto"/>
              </w:rPr>
            </w:pPr>
            <w:r>
              <w:rPr>
                <w:rFonts w:ascii="Arial" w:cs="Arial" w:eastAsia="Arial" w:hAnsi="Arial"/>
                <w:sz w:val="18"/>
                <w:szCs w:val="18"/>
                <w:color w:val="auto"/>
              </w:rPr>
              <w:t>20.8</w:t>
            </w:r>
          </w:p>
        </w:tc>
        <w:tc>
          <w:tcPr>
            <w:tcW w:w="6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4"/>
              <w:spacing w:after="0"/>
              <w:rPr>
                <w:sz w:val="20"/>
                <w:szCs w:val="20"/>
                <w:color w:val="auto"/>
              </w:rPr>
            </w:pPr>
            <w:r>
              <w:rPr>
                <w:rFonts w:ascii="Arial" w:cs="Arial" w:eastAsia="Arial" w:hAnsi="Arial"/>
                <w:sz w:val="18"/>
                <w:szCs w:val="18"/>
                <w:color w:val="auto"/>
              </w:rPr>
              <w:t>18.8</w:t>
            </w:r>
          </w:p>
        </w:tc>
        <w:tc>
          <w:tcPr>
            <w:tcW w:w="600" w:type="dxa"/>
            <w:vAlign w:val="bottom"/>
          </w:tcPr>
          <w:p>
            <w:pPr>
              <w:jc w:val="right"/>
              <w:spacing w:after="0"/>
              <w:rPr>
                <w:sz w:val="20"/>
                <w:szCs w:val="20"/>
                <w:color w:val="auto"/>
              </w:rPr>
            </w:pPr>
            <w:r>
              <w:rPr>
                <w:rFonts w:ascii="Arial" w:cs="Arial" w:eastAsia="Arial" w:hAnsi="Arial"/>
                <w:sz w:val="18"/>
                <w:szCs w:val="18"/>
                <w:color w:val="auto"/>
              </w:rPr>
              <w:t>12.2%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41.8</w:t>
            </w:r>
          </w:p>
        </w:tc>
        <w:tc>
          <w:tcPr>
            <w:tcW w:w="10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4"/>
              <w:spacing w:after="0"/>
              <w:rPr>
                <w:sz w:val="20"/>
                <w:szCs w:val="20"/>
                <w:color w:val="auto"/>
              </w:rPr>
            </w:pPr>
            <w:r>
              <w:rPr>
                <w:rFonts w:ascii="Arial" w:cs="Arial" w:eastAsia="Arial" w:hAnsi="Arial"/>
                <w:sz w:val="18"/>
                <w:szCs w:val="18"/>
                <w:color w:val="auto"/>
              </w:rPr>
              <w:t>37.6</w:t>
            </w:r>
          </w:p>
        </w:tc>
        <w:tc>
          <w:tcPr>
            <w:tcW w:w="620" w:type="dxa"/>
            <w:vAlign w:val="bottom"/>
          </w:tcPr>
          <w:p>
            <w:pPr>
              <w:jc w:val="right"/>
              <w:spacing w:after="0"/>
              <w:rPr>
                <w:sz w:val="20"/>
                <w:szCs w:val="20"/>
                <w:color w:val="auto"/>
              </w:rPr>
            </w:pPr>
            <w:r>
              <w:rPr>
                <w:rFonts w:ascii="Arial" w:cs="Arial" w:eastAsia="Arial" w:hAnsi="Arial"/>
                <w:sz w:val="18"/>
                <w:szCs w:val="18"/>
                <w:color w:val="auto"/>
              </w:rPr>
              <w:t>13.1%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48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Depreciation and amortization $</w:t>
            </w:r>
          </w:p>
        </w:tc>
        <w:tc>
          <w:tcPr>
            <w:tcW w:w="94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17.4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15.9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29.7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Cost of operations includes labor costs, tipping fees paid to third-party disposal facilities, fuel costs, maintenance and repair costs of vehicles and equipment, workers’ compensation and vehicle insurance costs, third-party transportation costs, district and state taxes, host community fees, and royalties. Cost of operations also includes accretion expense related to final capping, closure and post-closure obligations, leachate treatment and disposal costs, and depletion of landfill operating lease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period-to-period changes in cost of operations can be primarily attributed to the following:</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Third-party direct costs increased $4.3 million quarterly and $8.6 million year-to-date due to the following:</w:t>
      </w:r>
    </w:p>
    <w:p>
      <w:pPr>
        <w:spacing w:after="0" w:line="117" w:lineRule="exact"/>
        <w:rPr>
          <w:sz w:val="20"/>
          <w:szCs w:val="20"/>
          <w:color w:val="auto"/>
        </w:rPr>
      </w:pPr>
    </w:p>
    <w:p>
      <w:pPr>
        <w:ind w:left="460" w:right="100" w:hanging="330"/>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primarily associated with: a large contaminated soil project in the Western region resulting in higher third-party costs for processing and transportation of soils; higher collection volumes in the Eastern region; higher brokerage volumes in our Customer Solutions line-of-business with high pass through direct costs; and higher volumes being directed to third-party sites driven by a large new sludge transportation and disposal contract in our Organics line-of-business; and</w:t>
      </w:r>
    </w:p>
    <w:p>
      <w:pPr>
        <w:spacing w:after="0" w:line="186" w:lineRule="exact"/>
        <w:rPr>
          <w:rFonts w:ascii="Arial" w:cs="Arial" w:eastAsia="Arial" w:hAnsi="Arial"/>
          <w:sz w:val="18"/>
          <w:szCs w:val="18"/>
          <w:color w:val="auto"/>
        </w:rPr>
      </w:pPr>
    </w:p>
    <w:p>
      <w:pPr>
        <w:jc w:val="both"/>
        <w:ind w:left="460" w:right="460" w:hanging="330"/>
        <w:spacing w:after="0" w:line="286"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higher disposal costs associated with: higher transfer station and transportation volumes with increased third-party disposal pricing in the Western region; the Complete acquisition in the Eastern region; the reduction of contamination in the Recycling segment resulting in higher residual waste volumes; and the use of alternative third-party disposal sites in our Organics line-of-business; partially offset by</w:t>
      </w:r>
    </w:p>
    <w:p>
      <w:pPr>
        <w:spacing w:after="0" w:line="165" w:lineRule="exact"/>
        <w:rPr>
          <w:rFonts w:ascii="Arial" w:cs="Arial" w:eastAsia="Arial" w:hAnsi="Arial"/>
          <w:sz w:val="17"/>
          <w:szCs w:val="17"/>
          <w:color w:val="auto"/>
        </w:rPr>
      </w:pPr>
    </w:p>
    <w:p>
      <w:pPr>
        <w:ind w:left="460" w:hanging="330"/>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lower purchased material costs in our Recycling and Customer Solutions lines-of-business.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Labor and related benefit costs increased $2.2 million quarterly and $4.4 million year-to-date due to the following:</w:t>
      </w:r>
    </w:p>
    <w:p>
      <w:pPr>
        <w:spacing w:after="0" w:line="117" w:lineRule="exact"/>
        <w:rPr>
          <w:sz w:val="20"/>
          <w:szCs w:val="20"/>
          <w:color w:val="auto"/>
        </w:rPr>
      </w:pPr>
    </w:p>
    <w:p>
      <w:pPr>
        <w:ind w:left="460" w:hanging="330"/>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labor costs related primarily to acquisitions and higher collection volumes in the Eastern region;</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labor costs related primarily to higher wages and acquisitions in the Western region;</w:t>
      </w:r>
    </w:p>
    <w:p>
      <w:pPr>
        <w:spacing w:after="0" w:line="225" w:lineRule="exact"/>
        <w:rPr>
          <w:rFonts w:ascii="Arial" w:cs="Arial" w:eastAsia="Arial" w:hAnsi="Arial"/>
          <w:sz w:val="18"/>
          <w:szCs w:val="18"/>
          <w:color w:val="auto"/>
        </w:rPr>
      </w:pPr>
    </w:p>
    <w:p>
      <w:pPr>
        <w:ind w:left="460" w:right="100" w:hanging="330"/>
        <w:spacing w:after="0" w:line="27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labor costs as we slowed processing lines and added labor in an effort to improve product quality and reduce contamination in finished products in our Recycling line-of-business; and</w:t>
      </w:r>
    </w:p>
    <w:p>
      <w:pPr>
        <w:spacing w:after="0" w:line="170" w:lineRule="exact"/>
        <w:rPr>
          <w:rFonts w:ascii="Arial" w:cs="Arial" w:eastAsia="Arial" w:hAnsi="Arial"/>
          <w:sz w:val="18"/>
          <w:szCs w:val="18"/>
          <w:color w:val="auto"/>
        </w:rPr>
      </w:pPr>
    </w:p>
    <w:p>
      <w:pPr>
        <w:ind w:left="460" w:hanging="330"/>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workers compensation insurance costs based on claims activity.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Direct operational costs increased $1.1 million quarterly and $3.4 million year-to-date due to the following:</w:t>
      </w:r>
    </w:p>
    <w:p>
      <w:pPr>
        <w:spacing w:after="0" w:line="117" w:lineRule="exact"/>
        <w:rPr>
          <w:sz w:val="20"/>
          <w:szCs w:val="20"/>
          <w:color w:val="auto"/>
        </w:rPr>
      </w:pPr>
    </w:p>
    <w:p>
      <w:pPr>
        <w:ind w:left="460" w:hanging="330"/>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host community fees associated with increased volumes at certain landfills in the Eastern and Western regions;</w:t>
      </w:r>
    </w:p>
    <w:p>
      <w:pPr>
        <w:spacing w:after="0" w:line="225" w:lineRule="exact"/>
        <w:rPr>
          <w:rFonts w:ascii="Arial" w:cs="Arial" w:eastAsia="Arial" w:hAnsi="Arial"/>
          <w:sz w:val="18"/>
          <w:szCs w:val="18"/>
          <w:color w:val="auto"/>
        </w:rPr>
      </w:pPr>
    </w:p>
    <w:p>
      <w:pPr>
        <w:ind w:left="460" w:right="560" w:hanging="330"/>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accretion expense associated with the acceleration of asset retirement obligations due to the closure of the landfill located in Southbridge, Massachusetts ("Southbridge Landfill") in the Eastern region;</w:t>
      </w:r>
    </w:p>
    <w:p>
      <w:pPr>
        <w:spacing w:after="0" w:line="170" w:lineRule="exact"/>
        <w:rPr>
          <w:rFonts w:ascii="Arial" w:cs="Arial" w:eastAsia="Arial" w:hAnsi="Arial"/>
          <w:sz w:val="18"/>
          <w:szCs w:val="18"/>
          <w:color w:val="auto"/>
        </w:rPr>
      </w:pPr>
    </w:p>
    <w:p>
      <w:pPr>
        <w:ind w:left="460" w:hanging="330"/>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higher landfill operating lease amortization associated primarily with increased landfill volumes at certain landfills in the Eastern and Western regions;</w:t>
      </w:r>
    </w:p>
    <w:p>
      <w:pPr>
        <w:spacing w:after="0" w:line="248" w:lineRule="exact"/>
        <w:rPr>
          <w:rFonts w:ascii="Arial" w:cs="Arial" w:eastAsia="Arial" w:hAnsi="Arial"/>
          <w:sz w:val="16"/>
          <w:szCs w:val="16"/>
          <w:color w:val="auto"/>
        </w:rPr>
      </w:pPr>
    </w:p>
    <w:p>
      <w:pPr>
        <w:ind w:left="460" w:right="420" w:hanging="330"/>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landfill operating costs at certain landfills in the Eastern and Western regions, partially mitigated by improved leachate disposal costs in the Western region; and</w:t>
      </w:r>
    </w:p>
    <w:p>
      <w:pPr>
        <w:spacing w:after="0" w:line="170" w:lineRule="exact"/>
        <w:rPr>
          <w:rFonts w:ascii="Arial" w:cs="Arial" w:eastAsia="Arial" w:hAnsi="Arial"/>
          <w:sz w:val="18"/>
          <w:szCs w:val="18"/>
          <w:color w:val="auto"/>
        </w:rPr>
      </w:pPr>
    </w:p>
    <w:p>
      <w:pPr>
        <w:ind w:left="460" w:hanging="330"/>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supplies and consumables cost in our Organics and Recycling lines-of-business.</w:t>
      </w:r>
    </w:p>
    <w:p>
      <w:pPr>
        <w:spacing w:after="0" w:line="225" w:lineRule="exact"/>
        <w:rPr>
          <w:sz w:val="20"/>
          <w:szCs w:val="20"/>
          <w:color w:val="auto"/>
        </w:rPr>
      </w:pPr>
    </w:p>
    <w:p>
      <w:pPr>
        <w:ind w:left="60" w:right="40"/>
        <w:spacing w:after="0" w:line="264" w:lineRule="auto"/>
        <w:rPr>
          <w:sz w:val="20"/>
          <w:szCs w:val="20"/>
          <w:color w:val="auto"/>
        </w:rPr>
      </w:pPr>
      <w:r>
        <w:rPr>
          <w:rFonts w:ascii="Arial" w:cs="Arial" w:eastAsia="Arial" w:hAnsi="Arial"/>
          <w:sz w:val="18"/>
          <w:szCs w:val="18"/>
          <w:color w:val="auto"/>
        </w:rPr>
        <w:t>Fuel costs increased $0.9 million quarterly and $1.5 million year-to-date due to the higher diesel fuel pricing in the marketplace. The impact of higher fuel costs in the periods was almost completely offset through higher revenues from fees associated with the Energy component of the Energy and Environmental fee.</w:t>
      </w:r>
    </w:p>
    <w:p>
      <w:pPr>
        <w:sectPr>
          <w:pgSz w:w="11900" w:h="16838" w:orient="portrait"/>
          <w:cols w:equalWidth="0" w:num="1">
            <w:col w:w="11420"/>
          </w:cols>
          <w:pgMar w:left="240" w:top="80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800" w:right="239"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7"/>
          <w:szCs w:val="17"/>
          <w:color w:val="auto"/>
        </w:rPr>
        <w:t>Maintenance and repair costs increased $0.8 million quarterly and $2.4 million year-to-date due primarily to higher fleet and facility maintenance costs.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p>
    <w:p>
      <w:pPr>
        <w:spacing w:after="0" w:line="22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General and administration expense includes management, clerical and administrative compensation, bad debt expense, as well as overhead costs, professional service fees and costs associated with marketing, sales force and community relations efforts.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period-to-period changes in general and administration expense can be primarily attributed to the following:</w:t>
      </w:r>
    </w:p>
    <w:p>
      <w:pPr>
        <w:spacing w:after="0" w:line="225" w:lineRule="exact"/>
        <w:rPr>
          <w:sz w:val="20"/>
          <w:szCs w:val="20"/>
          <w:color w:val="auto"/>
        </w:rPr>
      </w:pPr>
    </w:p>
    <w:p>
      <w:pPr>
        <w:ind w:left="60" w:right="260"/>
        <w:spacing w:after="0" w:line="342" w:lineRule="auto"/>
        <w:rPr>
          <w:sz w:val="20"/>
          <w:szCs w:val="20"/>
          <w:color w:val="auto"/>
        </w:rPr>
      </w:pPr>
      <w:r>
        <w:rPr>
          <w:rFonts w:ascii="Arial" w:cs="Arial" w:eastAsia="Arial" w:hAnsi="Arial"/>
          <w:sz w:val="16"/>
          <w:szCs w:val="16"/>
          <w:color w:val="auto"/>
        </w:rPr>
        <w:t>Labor and related benefit costs increased $1.2 million quarterly and $2.5 million year-to-date primarily due to higher wages, changes in the organizational structure, and higher equity compensation expense associated with stock unit grants that vest based on estimated future operational performance.</w:t>
      </w:r>
    </w:p>
    <w:p>
      <w:pPr>
        <w:spacing w:after="0" w:line="16" w:lineRule="exact"/>
        <w:rPr>
          <w:sz w:val="20"/>
          <w:szCs w:val="20"/>
          <w:color w:val="auto"/>
        </w:rPr>
      </w:pPr>
    </w:p>
    <w:p>
      <w:pPr>
        <w:ind w:left="60" w:right="520"/>
        <w:spacing w:after="0" w:line="308" w:lineRule="auto"/>
        <w:rPr>
          <w:sz w:val="20"/>
          <w:szCs w:val="20"/>
          <w:color w:val="auto"/>
        </w:rPr>
      </w:pPr>
      <w:r>
        <w:rPr>
          <w:rFonts w:ascii="Arial" w:cs="Arial" w:eastAsia="Arial" w:hAnsi="Arial"/>
          <w:sz w:val="17"/>
          <w:szCs w:val="17"/>
          <w:color w:val="auto"/>
        </w:rPr>
        <w:t>Professional fees increased $0.4 million quarterly and $0.7 million year-to-date due to higher consulting, accounting and audit fees associated with the implementation of an enterprise resource planning and accounting software solution and the adoption of new accounting guidance.</w:t>
      </w:r>
    </w:p>
    <w:p>
      <w:pPr>
        <w:spacing w:after="0" w:line="38" w:lineRule="exact"/>
        <w:rPr>
          <w:sz w:val="20"/>
          <w:szCs w:val="20"/>
          <w:color w:val="auto"/>
        </w:rPr>
      </w:pPr>
    </w:p>
    <w:p>
      <w:pPr>
        <w:ind w:left="60" w:right="140"/>
        <w:spacing w:after="0" w:line="277" w:lineRule="auto"/>
        <w:rPr>
          <w:sz w:val="20"/>
          <w:szCs w:val="20"/>
          <w:color w:val="auto"/>
        </w:rPr>
      </w:pPr>
      <w:r>
        <w:rPr>
          <w:rFonts w:ascii="Arial" w:cs="Arial" w:eastAsia="Arial" w:hAnsi="Arial"/>
          <w:sz w:val="18"/>
          <w:szCs w:val="18"/>
          <w:color w:val="auto"/>
        </w:rPr>
        <w:t>Bad debt expense increased $0.4 million quarterly and $0.8 million year-to-date due primarily to the impact of revenue growth, a large recovery in the prior year and several customer bankruptcies that were written off in the quarter on the allowance for doubtful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Depreciation and amortization expense includes: (i) depreciation of property and equipment (including assets recorded for capital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(iii) amortization of landfill asset retirement costs arising from final capping obligations on a units-of-consumption method as airspace is consumed over the estimated capacity associated with each final capping event; and (iv) amortization of intangible assets with a definite life, using either an economic benefit provided approach or on a straight-line basis over the definitive terms of the related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depreciation and amortization expense (dollars in millions and as a percentage of total revenues)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4"/>
                <w:szCs w:val="14"/>
                <w:b w:val="1"/>
                <w:bCs w:val="1"/>
                <w:color w:val="auto"/>
                <w:w w:val="96"/>
              </w:rPr>
              <w:t>Three Months Ended June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5"/>
              </w:rPr>
              <w:t>Six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2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gridSpan w:val="3"/>
            <w:vMerge w:val="restart"/>
          </w:tcPr>
          <w:p>
            <w:pPr>
              <w:jc w:val="right"/>
              <w:ind w:right="639"/>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76"/>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4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Landfill amortization</w:t>
            </w:r>
          </w:p>
        </w:tc>
        <w:tc>
          <w:tcPr>
            <w:tcW w:w="220" w:type="dxa"/>
            <w:vAlign w:val="bottom"/>
          </w:tcPr>
          <w:p>
            <w:pPr>
              <w:spacing w:after="0"/>
              <w:rPr>
                <w:sz w:val="21"/>
                <w:szCs w:val="21"/>
                <w:color w:val="auto"/>
              </w:rPr>
            </w:pPr>
          </w:p>
        </w:tc>
        <w:tc>
          <w:tcPr>
            <w:tcW w:w="560" w:type="dxa"/>
            <w:vAlign w:val="bottom"/>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ind w:right="34"/>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period-to-period changes in depreciation and amortization expense can be primarily attributed to higher landfill volumes in the Western region and certain landfills in the Eastern region, combined with an increase in our average overall amortization rate as a result of changes in cost estimates and other assumptions associated with our landfills.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from Acquisition Activities and Other Items</w:t>
      </w:r>
    </w:p>
    <w:p>
      <w:pPr>
        <w:spacing w:after="0" w:line="30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the three and six months ended June 30, 2018, we recorded charges of $0.2 million and $0.2 million, respectively, associated with the write-off of deferred costs related to the expiration of our shelf registration statement and $0.1 million and $0.1 million, respectively, associated with potential acquisition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Settlement Charge</w:t>
      </w:r>
    </w:p>
    <w:p>
      <w:pPr>
        <w:spacing w:after="0" w:line="198" w:lineRule="exact"/>
        <w:rPr>
          <w:sz w:val="20"/>
          <w:szCs w:val="20"/>
          <w:color w:val="auto"/>
        </w:rPr>
      </w:pPr>
    </w:p>
    <w:p>
      <w:pPr>
        <w:ind w:left="60" w:right="140"/>
        <w:spacing w:after="0" w:line="277" w:lineRule="auto"/>
        <w:rPr>
          <w:sz w:val="20"/>
          <w:szCs w:val="20"/>
          <w:color w:val="auto"/>
        </w:rPr>
      </w:pPr>
      <w:r>
        <w:rPr>
          <w:rFonts w:ascii="Arial" w:cs="Arial" w:eastAsia="Arial" w:hAnsi="Arial"/>
          <w:sz w:val="18"/>
          <w:szCs w:val="18"/>
          <w:color w:val="auto"/>
        </w:rPr>
        <w:t>In the three and six months ended June 30, 2018, we recorded contract settlement charges of $0.0 million and $2.1 million, respectively, associated with the termination and discounted buy-out of a commodities marketing and brokerage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9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Southbridge Landfill Closure Charge</w:t>
      </w:r>
    </w:p>
    <w:p>
      <w:pPr>
        <w:spacing w:after="0" w:line="22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 xml:space="preserve">In June 2017, we initiated the plan to cease operations of the Southbridge Landfill in the Eastern region as discussed in Note 8,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to our consolidated financial statements included under Part I, Item 1 of this Quarterly Report on Form 10-Q. Accordingly, we recorded a</w:t>
      </w:r>
      <w:r>
        <w:rPr>
          <w:rFonts w:ascii="Arial" w:cs="Arial" w:eastAsia="Arial" w:hAnsi="Arial"/>
          <w:sz w:val="18"/>
          <w:szCs w:val="18"/>
          <w:i w:val="1"/>
          <w:iCs w:val="1"/>
          <w:color w:val="auto"/>
        </w:rPr>
        <w:t xml:space="preserve"> </w:t>
      </w:r>
      <w:r>
        <w:rPr>
          <w:rFonts w:ascii="Arial" w:cs="Arial" w:eastAsia="Arial" w:hAnsi="Arial"/>
          <w:sz w:val="18"/>
          <w:szCs w:val="18"/>
          <w:color w:val="auto"/>
        </w:rPr>
        <w:t>charge associated with the closure of the Southbridge Landfill as follows (dollars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 charge (1)</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Project development charge (2)</w:t>
            </w:r>
          </w:p>
        </w:tc>
        <w:tc>
          <w:tcPr>
            <w:tcW w:w="9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9.1</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 remediation charge (3)</w:t>
            </w:r>
          </w:p>
        </w:tc>
        <w:tc>
          <w:tcPr>
            <w:tcW w:w="9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Charlton settlement charge (4)</w:t>
            </w:r>
          </w:p>
        </w:tc>
        <w:tc>
          <w:tcPr>
            <w:tcW w:w="9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and transaction costs (5)</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Southbridge Landfill closure charge</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64.1</w:t>
            </w:r>
          </w:p>
        </w:tc>
      </w:tr>
      <w:tr>
        <w:trPr>
          <w:trHeight w:val="27"/>
        </w:trPr>
        <w:tc>
          <w:tcPr>
            <w:tcW w:w="5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right="80" w:hanging="652"/>
        <w:spacing w:after="0" w:line="25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performed a test of recoverability under Financial Accounting Standards Board ("FASB") Accounting Standards Codification ("ASC") 360, which indicated that the carrying value of our asset group that includes the Southbridge Landfill was no longer recoverable and, as a result, the asset group was assessed for impairment with an impairment charge allocated to the long-lived assets of the Southbridge Landfill in accordance with FASB ASC 360.</w:t>
      </w:r>
    </w:p>
    <w:p>
      <w:pPr>
        <w:spacing w:after="0" w:line="78"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wrote-off deferred costs associated with Southbridge Landfill permitting activities no longer deemed viable.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recorded an environmental remediation charge associated with the future installation of a municipal waterline.</w:t>
      </w:r>
    </w:p>
    <w:p>
      <w:pPr>
        <w:spacing w:after="0" w:line="117" w:lineRule="exact"/>
        <w:rPr>
          <w:rFonts w:ascii="Arial" w:cs="Arial" w:eastAsia="Arial" w:hAnsi="Arial"/>
          <w:sz w:val="18"/>
          <w:szCs w:val="18"/>
          <w:color w:val="auto"/>
        </w:rPr>
      </w:pPr>
    </w:p>
    <w:p>
      <w:pPr>
        <w:ind w:left="660" w:right="160" w:hanging="652"/>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We established a reserve associated with settlement of the Town of Charlton's claim against us. See Note 8,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to our consolidated financial statements included under Part I, Item 1 of this Quarterly Report on Form 10-Q for additional disclosure.</w:t>
      </w:r>
    </w:p>
    <w:p>
      <w:pPr>
        <w:spacing w:after="0" w:line="15" w:lineRule="exact"/>
        <w:rPr>
          <w:rFonts w:ascii="Arial" w:cs="Arial" w:eastAsia="Arial" w:hAnsi="Arial"/>
          <w:sz w:val="16"/>
          <w:szCs w:val="16"/>
          <w:color w:val="auto"/>
        </w:rPr>
      </w:pPr>
    </w:p>
    <w:p>
      <w:pPr>
        <w:ind w:left="660" w:right="180" w:hanging="652"/>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We incurred legal and other transaction costs associated with various matters as part of the Southbridge Landfill closure. See Note 8,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to our consolidated financial statements included under Part I, Item 1 of this Quarterly Report on Form 10-Q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Development Project Charge</w:t>
      </w:r>
    </w:p>
    <w:p>
      <w:pPr>
        <w:spacing w:after="0" w:line="117" w:lineRule="exact"/>
        <w:rPr>
          <w:sz w:val="20"/>
          <w:szCs w:val="20"/>
          <w:color w:val="auto"/>
        </w:rPr>
      </w:pPr>
    </w:p>
    <w:p>
      <w:pPr>
        <w:jc w:val="both"/>
        <w:ind w:left="60" w:right="180"/>
        <w:spacing w:after="0" w:line="264" w:lineRule="auto"/>
        <w:rPr>
          <w:sz w:val="20"/>
          <w:szCs w:val="20"/>
          <w:color w:val="auto"/>
        </w:rPr>
      </w:pPr>
      <w:r>
        <w:rPr>
          <w:rFonts w:ascii="Arial" w:cs="Arial" w:eastAsia="Arial" w:hAnsi="Arial"/>
          <w:sz w:val="18"/>
          <w:szCs w:val="18"/>
          <w:color w:val="auto"/>
        </w:rPr>
        <w:t>In the three and six months ended June 30, 2018, we recorded a development project charge of $0.0 million and $0.3 million, respectively, associated with previously deferred costs that were written off as a result of the negative vote in a public referendum relating to our North Country Environmental Services landfill in the Eastern region.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Debt Extinguishment</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recorded losses on debt extinguishment of $7.4 million and $7.4 million during the three and six months ended June 30, 2018, respectively, as compared to $0.0 million and $0.5 million during the three and six months ended June 30, 2017, respectively, associated with the following:</w:t>
      </w:r>
    </w:p>
    <w:p>
      <w:pPr>
        <w:spacing w:after="0" w:line="38" w:lineRule="exact"/>
        <w:rPr>
          <w:sz w:val="20"/>
          <w:szCs w:val="20"/>
          <w:color w:val="auto"/>
        </w:rPr>
      </w:pPr>
    </w:p>
    <w:p>
      <w:pPr>
        <w:ind w:left="660" w:right="6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write-off of debt issuance costs and unamortized discount in connection with the refinancing of our term loan facility ("Term Loan Facility") and revolving line of credit facility ("Revolving Credit Facility" and, together with the Term Loan Facility, the "Credit Facility") in the three months ended June 30, 2018;</w:t>
      </w:r>
    </w:p>
    <w:p>
      <w:pPr>
        <w:spacing w:after="0" w:line="73"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the remarketing of our Vermont Economic Development Authority Solid Waste Disposal Revenue Bonds Series 2013 ("Vermont Bonds") in the three months ended June 30, 2018;</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the amendment and repricing of our term loan b facility ("Term Loan B Facility") in the three months ended June 30, 2017;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38" w:name="page39"/>
    <w:bookmarkEnd w:id="38"/>
    <w:p>
      <w:pPr>
        <w:jc w:val="both"/>
        <w:ind w:left="660" w:right="400" w:hanging="328"/>
        <w:spacing w:after="0" w:line="25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the remarketing of the Finance Authority of Maine Solid Waste Disposal Revenue Bonds Series 2005R-1 ("FAME Bonds 2005R-1") and the Finance Authority of Maine Solid Waste Disposal Revenue Bonds Series 2005R-2 (“FAME Bonds 2005R-2”) into the Finance Authority of Maine Solid Waste Disposal Revenue Bonds Series 2005R-3 (“FAME Bonds 2005R-3”) in the quarter ended March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(Benefit) for Income Taxes</w:t>
      </w:r>
    </w:p>
    <w:p>
      <w:pPr>
        <w:spacing w:after="0" w:line="225"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Our provision (benefit) for income taxes decreased $0.4 million and $1.9 million during the three and six months ended June 30, 2018, respectively, as compared to the same periods in the prior year. During the six months ended June 30, 2018, we recognized a ($1.6) million deferred tax benefit due to a reduction of the valuation allowance in the quarter ended March 31, 2018. The valuation allowance decreased based upon the recognition of additional reversing temporary differences related to the $1.6 million deferred tax liability recorded through goodwill related to the Complete acquisition. The $1.6 million deferred tax liability related to the Complete acquisition was based on the impact of temporary differences between the amounts of assets and liabilities recognized for financial reporting purposes and the related tax basis.</w:t>
      </w:r>
    </w:p>
    <w:p>
      <w:pPr>
        <w:spacing w:after="0" w:line="17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December 22, 2017, the Tax Cuts and Jobs Act (the “Act”) was enacted. The Act, which is also commonly referred to as “US tax reform,” significantly changes US corporate income tax laws by, among other things, reducing the US corporate income tax rate from 35% to 21% starting in 2018. Under the Act, the alternative minimum tax has been repealed and minimum tax credit carryforwards become refundable beginning in 2018 and will be fully refunded, if not otherwise used to offset tax liabilities, in tax year 2021. Further, our $101.2 million in federal net operating loss carryforwards generated as of the end of 2017 continue to be carried forward for 20 years and are expected to be available to fully offset taxable income earned in 2018 and future tax years. Federal net operating losses generated after 2017 will be carried forward indefinitely, but generally may only offset up to 80% of taxable income earned in a tax year. In the quarter ending December 31, 2017, we revalued our deferred tax assets and liabilities for changes under the Act including (a) revaluing our federal net deferred taxes assets before valuation allowance using the 21% tax rate; (b) revaluing our federal valuation allowance using the 21% tax rate; and (c) recognizing a federal deferred tax benefit for 80% of indefinite lived deferred tax liabilities, which are anticipated to be available as a source of taxable income upon reversal of deferred tax assets that would also have indefinite lives.</w:t>
      </w:r>
    </w:p>
    <w:p>
      <w:pPr>
        <w:spacing w:after="0" w:line="1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benefit for income taxes for the three and six months ended June 30, 2018 incorporates the changes under the Act, including use of the 21% US corporate income tax rate and applying the new federal net operating loss carryforward rules. We have $3.8 million minimum tax credit carryforwards of which we anticipate $1.9 million is refundable in 2018. Current income tax benefits of $0.5 million and $1.0 million in the three and six months ended June 30, 2018, respectively, offset by $0.5 million and $1.0 million deferred tax provisions in the three and six months ended June 30, 2018, respectively, were recognized for a portion of the minimum tax credit carryforward refundable in 2018.</w:t>
      </w:r>
    </w:p>
    <w:p>
      <w:pPr>
        <w:spacing w:after="0" w:line="188"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The provision for income taxes for the three and six months ended June 30, 2017 includes $0.3 million of deferred tax provision primarily due to an increase in the deferred tax liability for indefinite lived assets, offset by a benefit for additional minimum tax credit carryforward with no expiration and no valuation allowance. Since we cannot determine when the deferred tax liability related to indefinite lived assets will reverse, applying provisions prior to the Act, none of the deferred tax provision related to indefinite lived assets could be used as a future source of taxable income against which to benefit deferred tax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by operating segment (in millions)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restart"/>
          </w:tcPr>
          <w:p>
            <w:pPr>
              <w:jc w:val="right"/>
              <w:ind w:right="6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1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60" w:type="dxa"/>
            <w:vAlign w:val="bottom"/>
          </w:tcPr>
          <w:p>
            <w:pPr>
              <w:spacing w:after="0"/>
              <w:rPr>
                <w:sz w:val="6"/>
                <w:szCs w:val="6"/>
                <w:color w:val="auto"/>
              </w:rPr>
            </w:pPr>
          </w:p>
        </w:tc>
        <w:tc>
          <w:tcPr>
            <w:tcW w:w="1140" w:type="dxa"/>
            <w:vAlign w:val="bottom"/>
            <w:vMerge w:val="restart"/>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restart"/>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96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220"/>
              <w:spacing w:after="0" w:line="158" w:lineRule="exact"/>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ind w:right="415"/>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1960" w:type="dxa"/>
            <w:vAlign w:val="bottom"/>
            <w:gridSpan w:val="3"/>
          </w:tcPr>
          <w:p>
            <w:pPr>
              <w:ind w:left="40"/>
              <w:spacing w:after="0"/>
              <w:rPr>
                <w:sz w:val="20"/>
                <w:szCs w:val="20"/>
                <w:color w:val="auto"/>
              </w:rPr>
            </w:pPr>
            <w:r>
              <w:rPr>
                <w:rFonts w:ascii="Arial" w:cs="Arial" w:eastAsia="Arial" w:hAnsi="Arial"/>
                <w:sz w:val="18"/>
                <w:szCs w:val="18"/>
                <w:color w:val="auto"/>
              </w:rPr>
              <w:t>Western</w:t>
            </w: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196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165.6</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313.1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9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period-to-period changes in solid waste revenues (dollars in millions)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220" w:type="dxa"/>
            <w:vAlign w:val="bottom"/>
            <w:gridSpan w:val="5"/>
          </w:tcPr>
          <w:p>
            <w:pPr>
              <w:ind w:left="120"/>
              <w:spacing w:after="0"/>
              <w:rPr>
                <w:sz w:val="20"/>
                <w:szCs w:val="20"/>
                <w:color w:val="auto"/>
              </w:rPr>
            </w:pPr>
            <w:r>
              <w:rPr>
                <w:rFonts w:ascii="Arial" w:cs="Arial" w:eastAsia="Arial" w:hAnsi="Arial"/>
                <w:sz w:val="14"/>
                <w:szCs w:val="14"/>
                <w:b w:val="1"/>
                <w:bCs w:val="1"/>
                <w:color w:val="auto"/>
                <w:w w:val="99"/>
              </w:rPr>
              <w:t>Period-to-Period Change for the Three Months</w:t>
            </w:r>
          </w:p>
        </w:tc>
        <w:tc>
          <w:tcPr>
            <w:tcW w:w="180" w:type="dxa"/>
            <w:vAlign w:val="bottom"/>
          </w:tcPr>
          <w:p>
            <w:pPr>
              <w:spacing w:after="0"/>
              <w:rPr>
                <w:sz w:val="14"/>
                <w:szCs w:val="14"/>
                <w:color w:val="auto"/>
              </w:rPr>
            </w:pPr>
          </w:p>
        </w:tc>
        <w:tc>
          <w:tcPr>
            <w:tcW w:w="2960" w:type="dxa"/>
            <w:vAlign w:val="bottom"/>
            <w:gridSpan w:val="3"/>
          </w:tcPr>
          <w:p>
            <w:pPr>
              <w:jc w:val="right"/>
              <w:ind w:right="113"/>
              <w:spacing w:after="0"/>
              <w:rPr>
                <w:sz w:val="20"/>
                <w:szCs w:val="20"/>
                <w:color w:val="auto"/>
              </w:rPr>
            </w:pPr>
            <w:r>
              <w:rPr>
                <w:rFonts w:ascii="Arial" w:cs="Arial" w:eastAsia="Arial" w:hAnsi="Arial"/>
                <w:sz w:val="14"/>
                <w:szCs w:val="14"/>
                <w:b w:val="1"/>
                <w:bCs w:val="1"/>
                <w:color w:val="auto"/>
                <w:w w:val="94"/>
              </w:rPr>
              <w:t>Period-to-Period Change for the Six Months</w:t>
            </w:r>
          </w:p>
        </w:tc>
      </w:tr>
      <w:tr>
        <w:trPr>
          <w:trHeight w:val="192"/>
        </w:trPr>
        <w:tc>
          <w:tcPr>
            <w:tcW w:w="5060" w:type="dxa"/>
            <w:vAlign w:val="bottom"/>
          </w:tcPr>
          <w:p>
            <w:pPr>
              <w:spacing w:after="0"/>
              <w:rPr>
                <w:sz w:val="16"/>
                <w:szCs w:val="16"/>
                <w:color w:val="auto"/>
              </w:rPr>
            </w:pPr>
          </w:p>
        </w:tc>
        <w:tc>
          <w:tcPr>
            <w:tcW w:w="31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Ended June 30, 2018 vs. 2017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Ended June 30, 2018 vs. 2017</w:t>
            </w:r>
          </w:p>
        </w:tc>
      </w:tr>
      <w:tr>
        <w:trPr>
          <w:trHeight w:val="264"/>
        </w:trPr>
        <w:tc>
          <w:tcPr>
            <w:tcW w:w="5060" w:type="dxa"/>
            <w:vAlign w:val="bottom"/>
          </w:tcPr>
          <w:p>
            <w:pPr>
              <w:spacing w:after="0"/>
              <w:rPr>
                <w:sz w:val="22"/>
                <w:szCs w:val="22"/>
                <w:color w:val="auto"/>
              </w:rPr>
            </w:pPr>
          </w:p>
        </w:tc>
        <w:tc>
          <w:tcPr>
            <w:tcW w:w="1060" w:type="dxa"/>
            <w:vAlign w:val="bottom"/>
          </w:tcPr>
          <w:p>
            <w:pPr>
              <w:jc w:val="right"/>
              <w:ind w:right="1"/>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gridSpan w:val="2"/>
          </w:tcPr>
          <w:p>
            <w:pPr>
              <w:ind w:left="360"/>
              <w:spacing w:after="0"/>
              <w:rPr>
                <w:sz w:val="20"/>
                <w:szCs w:val="20"/>
                <w:color w:val="auto"/>
              </w:rPr>
            </w:pPr>
            <w:r>
              <w:rPr>
                <w:rFonts w:ascii="Arial" w:cs="Arial" w:eastAsia="Arial" w:hAnsi="Arial"/>
                <w:sz w:val="14"/>
                <w:szCs w:val="14"/>
                <w:b w:val="1"/>
                <w:bCs w:val="1"/>
                <w:color w:val="auto"/>
              </w:rPr>
              <w:t>% of Growth</w:t>
            </w:r>
          </w:p>
        </w:tc>
        <w:tc>
          <w:tcPr>
            <w:tcW w:w="180" w:type="dxa"/>
            <w:vAlign w:val="bottom"/>
          </w:tcPr>
          <w:p>
            <w:pPr>
              <w:spacing w:after="0"/>
              <w:rPr>
                <w:sz w:val="22"/>
                <w:szCs w:val="22"/>
                <w:color w:val="auto"/>
              </w:rPr>
            </w:pP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right"/>
              <w:ind w:right="293"/>
              <w:spacing w:after="0"/>
              <w:rPr>
                <w:sz w:val="20"/>
                <w:szCs w:val="20"/>
                <w:color w:val="auto"/>
              </w:rPr>
            </w:pPr>
            <w:r>
              <w:rPr>
                <w:rFonts w:ascii="Arial" w:cs="Arial" w:eastAsia="Arial" w:hAnsi="Arial"/>
                <w:sz w:val="14"/>
                <w:szCs w:val="14"/>
                <w:b w:val="1"/>
                <w:bCs w:val="1"/>
                <w:color w:val="auto"/>
              </w:rPr>
              <w:t>% of Growth</w:t>
            </w: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1060" w:type="dxa"/>
            <w:vAlign w:val="bottom"/>
            <w:tcBorders>
              <w:top w:val="single" w:sz="8" w:color="auto"/>
              <w:bottom w:val="single" w:sz="8" w:color="CCEEFF"/>
            </w:tcBorders>
            <w:shd w:val="clear" w:color="auto" w:fill="CCEEFF"/>
          </w:tcPr>
          <w:p>
            <w:pPr>
              <w:jc w:val="right"/>
              <w:ind w:right="86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Volume</w:t>
            </w:r>
          </w:p>
        </w:tc>
        <w:tc>
          <w:tcPr>
            <w:tcW w:w="10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5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Surcharges and other fees</w:t>
            </w: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Commodity price and volume</w:t>
            </w:r>
          </w:p>
        </w:tc>
        <w:tc>
          <w:tcPr>
            <w:tcW w:w="10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7"/>
        </w:trPr>
        <w:tc>
          <w:tcPr>
            <w:tcW w:w="5060" w:type="dxa"/>
            <w:vAlign w:val="bottom"/>
          </w:tcPr>
          <w:p>
            <w:pPr>
              <w:ind w:left="40"/>
              <w:spacing w:after="0"/>
              <w:rPr>
                <w:sz w:val="20"/>
                <w:szCs w:val="20"/>
                <w:color w:val="auto"/>
              </w:rPr>
            </w:pPr>
            <w:r>
              <w:rPr>
                <w:rFonts w:ascii="Arial" w:cs="Arial" w:eastAsia="Arial" w:hAnsi="Arial"/>
                <w:sz w:val="18"/>
                <w:szCs w:val="18"/>
                <w:color w:val="auto"/>
              </w:rPr>
              <w:t>Solid waste revenues</w:t>
            </w:r>
          </w:p>
        </w:tc>
        <w:tc>
          <w:tcPr>
            <w:tcW w:w="1060" w:type="dxa"/>
            <w:vAlign w:val="bottom"/>
            <w:tcBorders>
              <w:top w:val="single" w:sz="8" w:color="auto"/>
            </w:tcBorders>
          </w:tcPr>
          <w:p>
            <w:pPr>
              <w:jc w:val="right"/>
              <w:ind w:right="86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5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5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quarterly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$1.4 million from favorable collection pricing;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$0.6 million from favorable disposal pricing related to transfer stations and landfills.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year-to-date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$2.6 million from favorable collection pricing;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$1.1 million from favorable disposal pricing related to transfer stations and landfills.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quarterly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$0.5 million from higher collection volumes; partially offset by</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$(0.1) million from lower processing volumes;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$(0.3) million from lower disposal volumes related to landfills and transfer stations.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year-to-date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$1.2 million from higher collection volumes; partially offset by</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$(0.2) million from lower processing volumes;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$(0.7) million from lower disposal volumes related to landfills and transfer stations.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Surcharges and other fees.</w:t>
      </w:r>
    </w:p>
    <w:p>
      <w:pPr>
        <w:spacing w:after="0" w:line="225" w:lineRule="exact"/>
        <w:rPr>
          <w:sz w:val="20"/>
          <w:szCs w:val="20"/>
          <w:color w:val="auto"/>
        </w:rPr>
      </w:pPr>
    </w:p>
    <w:p>
      <w:pPr>
        <w:ind w:left="60" w:right="60"/>
        <w:spacing w:after="0" w:line="302" w:lineRule="auto"/>
        <w:rPr>
          <w:sz w:val="20"/>
          <w:szCs w:val="20"/>
          <w:color w:val="auto"/>
        </w:rPr>
      </w:pPr>
      <w:r>
        <w:rPr>
          <w:rFonts w:ascii="Arial" w:cs="Arial" w:eastAsia="Arial" w:hAnsi="Arial"/>
          <w:sz w:val="16"/>
          <w:szCs w:val="16"/>
          <w:color w:val="auto"/>
        </w:rPr>
        <w:t>The surcharge and other fees change component in quarterly and year-to-date solid waste revenues growth is associated primarily with the Energy component of the Energy and Environmental fee and the portion of the Sustainability Recycling Adjustment fee that has anniversaried. The Energy component of the fee floats on a monthly basis based on diesel fuel prices. The Energy component of the fee increased due to both the implementation of the program and higher diesel fuel pricing. The Sustainability Recycling Adjustment fee floats on a monthly basis based on recycled commodity prices.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60" w:right="500"/>
        <w:spacing w:after="0" w:line="308" w:lineRule="auto"/>
        <w:rPr>
          <w:sz w:val="20"/>
          <w:szCs w:val="20"/>
          <w:color w:val="auto"/>
        </w:rPr>
      </w:pPr>
      <w:r>
        <w:rPr>
          <w:rFonts w:ascii="Arial" w:cs="Arial" w:eastAsia="Arial" w:hAnsi="Arial"/>
          <w:sz w:val="17"/>
          <w:szCs w:val="17"/>
          <w:color w:val="auto"/>
        </w:rPr>
        <w:t>The acquisitions change component in quarterly and year-to-date solid waste revenues growth is primarily the result of the Complete acquisition in the quarter ended March 31, 2018. It was also impacted by the acquisition of a solid waste collection businesses in June 2017.</w:t>
      </w:r>
    </w:p>
    <w:p>
      <w:pPr>
        <w:sectPr>
          <w:pgSz w:w="11900" w:h="16838" w:orient="portrait"/>
          <w:cols w:equalWidth="0" w:num="1">
            <w:col w:w="11420"/>
          </w:cols>
          <w:pgMar w:left="240" w:top="800"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800"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period-to-period changes in solid waste revenues (dollars in millions)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280" w:type="dxa"/>
            <w:vAlign w:val="bottom"/>
            <w:gridSpan w:val="5"/>
          </w:tcPr>
          <w:p>
            <w:pPr>
              <w:ind w:left="160"/>
              <w:spacing w:after="0"/>
              <w:rPr>
                <w:sz w:val="20"/>
                <w:szCs w:val="20"/>
                <w:color w:val="auto"/>
              </w:rPr>
            </w:pPr>
            <w:r>
              <w:rPr>
                <w:rFonts w:ascii="Arial" w:cs="Arial" w:eastAsia="Arial" w:hAnsi="Arial"/>
                <w:sz w:val="14"/>
                <w:szCs w:val="14"/>
                <w:b w:val="1"/>
                <w:bCs w:val="1"/>
                <w:color w:val="auto"/>
              </w:rPr>
              <w:t>Period-to-Period Change for the Three Months</w:t>
            </w:r>
          </w:p>
        </w:tc>
        <w:tc>
          <w:tcPr>
            <w:tcW w:w="160" w:type="dxa"/>
            <w:vAlign w:val="bottom"/>
          </w:tcPr>
          <w:p>
            <w:pPr>
              <w:spacing w:after="0"/>
              <w:rPr>
                <w:sz w:val="14"/>
                <w:szCs w:val="14"/>
                <w:color w:val="auto"/>
              </w:rPr>
            </w:pPr>
          </w:p>
        </w:tc>
        <w:tc>
          <w:tcPr>
            <w:tcW w:w="2940" w:type="dxa"/>
            <w:vAlign w:val="bottom"/>
            <w:gridSpan w:val="3"/>
          </w:tcPr>
          <w:p>
            <w:pPr>
              <w:jc w:val="right"/>
              <w:ind w:right="93"/>
              <w:spacing w:after="0"/>
              <w:rPr>
                <w:sz w:val="20"/>
                <w:szCs w:val="20"/>
                <w:color w:val="auto"/>
              </w:rPr>
            </w:pPr>
            <w:r>
              <w:rPr>
                <w:rFonts w:ascii="Arial" w:cs="Arial" w:eastAsia="Arial" w:hAnsi="Arial"/>
                <w:sz w:val="14"/>
                <w:szCs w:val="14"/>
                <w:b w:val="1"/>
                <w:bCs w:val="1"/>
                <w:color w:val="auto"/>
                <w:w w:val="94"/>
              </w:rPr>
              <w:t>Period-to-Period Change for the Six Months</w:t>
            </w:r>
          </w:p>
        </w:tc>
      </w:tr>
      <w:tr>
        <w:trPr>
          <w:trHeight w:val="192"/>
        </w:trPr>
        <w:tc>
          <w:tcPr>
            <w:tcW w:w="504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Ended June 30, 2018 vs. 2017</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Ended June 30, 2018 vs. 2017</w:t>
            </w:r>
          </w:p>
        </w:tc>
      </w:tr>
      <w:tr>
        <w:trPr>
          <w:trHeight w:val="264"/>
        </w:trPr>
        <w:tc>
          <w:tcPr>
            <w:tcW w:w="50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 Growth</w:t>
            </w:r>
          </w:p>
        </w:tc>
        <w:tc>
          <w:tcPr>
            <w:tcW w:w="160" w:type="dxa"/>
            <w:vAlign w:val="bottom"/>
          </w:tcPr>
          <w:p>
            <w:pPr>
              <w:spacing w:after="0"/>
              <w:rPr>
                <w:sz w:val="22"/>
                <w:szCs w:val="22"/>
                <w:color w:val="auto"/>
              </w:rPr>
            </w:pP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Amount</w:t>
            </w:r>
          </w:p>
        </w:tc>
        <w:tc>
          <w:tcPr>
            <w:tcW w:w="1540" w:type="dxa"/>
            <w:vAlign w:val="bottom"/>
          </w:tcPr>
          <w:p>
            <w:pPr>
              <w:jc w:val="right"/>
              <w:ind w:right="273"/>
              <w:spacing w:after="0"/>
              <w:rPr>
                <w:sz w:val="20"/>
                <w:szCs w:val="20"/>
                <w:color w:val="auto"/>
              </w:rPr>
            </w:pPr>
            <w:r>
              <w:rPr>
                <w:rFonts w:ascii="Arial" w:cs="Arial" w:eastAsia="Arial" w:hAnsi="Arial"/>
                <w:sz w:val="14"/>
                <w:szCs w:val="14"/>
                <w:b w:val="1"/>
                <w:bCs w:val="1"/>
                <w:color w:val="auto"/>
              </w:rPr>
              <w:t>% of Growth</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1020" w:type="dxa"/>
            <w:vAlign w:val="bottom"/>
            <w:tcBorders>
              <w:top w:val="single" w:sz="8" w:color="auto"/>
              <w:bottom w:val="single" w:sz="8" w:color="CCEEFF"/>
            </w:tcBorders>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Volume</w:t>
            </w: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Surcharges and other fees</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Commodity price and volume</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Solid waste revenues</w:t>
            </w:r>
          </w:p>
        </w:tc>
        <w:tc>
          <w:tcPr>
            <w:tcW w:w="1020" w:type="dxa"/>
            <w:vAlign w:val="bottom"/>
            <w:tcBorders>
              <w:top w:val="single" w:sz="8" w:color="auto"/>
            </w:tcBorders>
          </w:tcPr>
          <w:p>
            <w:pPr>
              <w:jc w:val="right"/>
              <w:ind w:right="821"/>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10.4 %</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5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quarterly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$1.8 million from favorable collection pricing;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$0.9 million from favorable disposal pricing related primarily to landfills.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year-to-date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$3.5 million from favorable collection pricing;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$1.6 million from favorable disposal pricing related primarily to landfills.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quarterly solid waste revenues growth is the result of the following:</w:t>
      </w:r>
    </w:p>
    <w:p>
      <w:pPr>
        <w:spacing w:after="0" w:line="117" w:lineRule="exact"/>
        <w:rPr>
          <w:sz w:val="20"/>
          <w:szCs w:val="20"/>
          <w:color w:val="auto"/>
        </w:rPr>
      </w:pPr>
    </w:p>
    <w:p>
      <w:pPr>
        <w:ind w:left="500" w:right="400" w:hanging="330"/>
        <w:spacing w:after="0" w:line="277"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$1.8 million from higher disposal volumes related to transportation associated with a large contaminated soil project and to a lesser extent transfer stations.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year-to-date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$8.9 million from higher disposal volumes related to transportation, landfills and transfer stations;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$0.1 million from higher processing volumes; partially offset by</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$(0.3) million from lower collection volumes.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Surcharges and other fees.</w:t>
      </w:r>
    </w:p>
    <w:p>
      <w:pPr>
        <w:spacing w:after="0" w:line="225" w:lineRule="exact"/>
        <w:rPr>
          <w:sz w:val="20"/>
          <w:szCs w:val="20"/>
          <w:color w:val="auto"/>
        </w:rPr>
      </w:pPr>
    </w:p>
    <w:p>
      <w:pPr>
        <w:ind w:left="60" w:right="60"/>
        <w:spacing w:after="0" w:line="302" w:lineRule="auto"/>
        <w:rPr>
          <w:sz w:val="20"/>
          <w:szCs w:val="20"/>
          <w:color w:val="auto"/>
        </w:rPr>
      </w:pPr>
      <w:r>
        <w:rPr>
          <w:rFonts w:ascii="Arial" w:cs="Arial" w:eastAsia="Arial" w:hAnsi="Arial"/>
          <w:sz w:val="16"/>
          <w:szCs w:val="16"/>
          <w:color w:val="auto"/>
        </w:rPr>
        <w:t>The surcharge and other fees change component in quarterly and year-to-date solid waste revenues growth is associated primarily with the Energy component of the Energy and Environmental fee and the portion of the Sustainability Recycling Adjustment fee that has anniversaried. The Energy component of the fee floats on a monthly basis based on diesel fuel prices. The Energy component of the fee increased due to both the implementation of the program and higher diesel fuel pricing. The Sustainability Recycling Adjustment fee floats on a monthly basis based on recycled commodity prices.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225" w:lineRule="exact"/>
        <w:rPr>
          <w:sz w:val="20"/>
          <w:szCs w:val="20"/>
          <w:color w:val="auto"/>
        </w:rPr>
      </w:pPr>
    </w:p>
    <w:p>
      <w:pPr>
        <w:ind w:left="60" w:right="180"/>
        <w:spacing w:after="0" w:line="277" w:lineRule="auto"/>
        <w:rPr>
          <w:sz w:val="20"/>
          <w:szCs w:val="20"/>
          <w:color w:val="auto"/>
        </w:rPr>
      </w:pPr>
      <w:r>
        <w:rPr>
          <w:rFonts w:ascii="Arial" w:cs="Arial" w:eastAsia="Arial" w:hAnsi="Arial"/>
          <w:sz w:val="18"/>
          <w:szCs w:val="18"/>
          <w:color w:val="auto"/>
        </w:rPr>
        <w:t>The commodity price and volume change component in quarterly solid waste revenues growth of $(0.1) million is the result of lower landfill gas-to-energy and processing volumes, partially offset by favorable commodity and energy pricing.</w:t>
      </w:r>
    </w:p>
    <w:p>
      <w:pPr>
        <w:spacing w:after="0" w:line="170" w:lineRule="exact"/>
        <w:rPr>
          <w:sz w:val="20"/>
          <w:szCs w:val="20"/>
          <w:color w:val="auto"/>
        </w:rPr>
      </w:pPr>
    </w:p>
    <w:p>
      <w:pPr>
        <w:ind w:left="60" w:right="280"/>
        <w:spacing w:after="0" w:line="277" w:lineRule="auto"/>
        <w:rPr>
          <w:sz w:val="20"/>
          <w:szCs w:val="20"/>
          <w:color w:val="auto"/>
        </w:rPr>
      </w:pPr>
      <w:r>
        <w:rPr>
          <w:rFonts w:ascii="Arial" w:cs="Arial" w:eastAsia="Arial" w:hAnsi="Arial"/>
          <w:sz w:val="18"/>
          <w:szCs w:val="18"/>
          <w:color w:val="auto"/>
        </w:rPr>
        <w:t>The commodity price and volume change component in year-to-date solid waste revenues growth of $0.1 million is the result of favorable energy pricing, partially offset by lower landfill gas-to-energy and processing volumes.</w:t>
      </w:r>
    </w:p>
    <w:p>
      <w:pPr>
        <w:sectPr>
          <w:pgSz w:w="11900" w:h="16838" w:orient="portrait"/>
          <w:cols w:equalWidth="0" w:num="1">
            <w:col w:w="11420"/>
          </w:cols>
          <w:pgMar w:left="240" w:top="80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800"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60" w:right="140"/>
        <w:spacing w:after="0" w:line="308" w:lineRule="auto"/>
        <w:rPr>
          <w:sz w:val="20"/>
          <w:szCs w:val="20"/>
          <w:color w:val="auto"/>
        </w:rPr>
      </w:pPr>
      <w:r>
        <w:rPr>
          <w:rFonts w:ascii="Arial" w:cs="Arial" w:eastAsia="Arial" w:hAnsi="Arial"/>
          <w:sz w:val="17"/>
          <w:szCs w:val="17"/>
          <w:color w:val="auto"/>
        </w:rPr>
        <w:t>The acquisitions change component in quarterly and year-to-date solid waste revenues growth is the result of the acquisition of a tuck-in collection business in the quarter ended March 31, 2018 and three solid waste collection businesses from March 2017 through December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income (loss) by operating segment (in millions)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w w:val="95"/>
              </w:rPr>
              <w:t>Six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2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60" w:type="dxa"/>
            <w:vAlign w:val="bottom"/>
          </w:tcPr>
          <w:p>
            <w:pPr>
              <w:spacing w:after="0"/>
              <w:rPr>
                <w:sz w:val="6"/>
                <w:szCs w:val="6"/>
                <w:color w:val="auto"/>
              </w:rPr>
            </w:pPr>
          </w:p>
        </w:tc>
        <w:tc>
          <w:tcPr>
            <w:tcW w:w="116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18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ind w:right="355"/>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Western</w:t>
            </w:r>
          </w:p>
        </w:tc>
        <w:tc>
          <w:tcPr>
            <w:tcW w:w="36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(0.1)</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(47.3)</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62.4</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(40.7)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Operating results increased $64.6 million quarterly and $62.8 million year-to-date. Excluding the impact of the Southbridge Landfill closure charge and the development project charge, our operating performance in the three and six month periods ended June 30, 2018 improved as revenue growth outweighed the following cost changes: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$6.2 million quarterly and $12.9 million year-to-date due to the following:</w:t>
      </w:r>
    </w:p>
    <w:p>
      <w:pPr>
        <w:spacing w:after="0" w:line="117" w:lineRule="exact"/>
        <w:rPr>
          <w:sz w:val="20"/>
          <w:szCs w:val="20"/>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associated with higher collection volumes;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disposal costs associated with the Complete acquisition;</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labor costs associated with acquisitions and higher collection volumes;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workers compensation costs based on claims activity;</w:t>
      </w:r>
    </w:p>
    <w:p>
      <w:pPr>
        <w:spacing w:after="0" w:line="225" w:lineRule="exact"/>
        <w:rPr>
          <w:rFonts w:ascii="Arial" w:cs="Arial" w:eastAsia="Arial" w:hAnsi="Arial"/>
          <w:sz w:val="18"/>
          <w:szCs w:val="18"/>
          <w:color w:val="auto"/>
        </w:rPr>
      </w:pPr>
    </w:p>
    <w:p>
      <w:pPr>
        <w:ind w:left="500" w:right="100" w:hanging="330"/>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fuel costs driven by higher diesel fuel pricing, which was offset by increased revenues from fees associated with the Energy and Environmental fee;</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host community fees and landfill operating lease amortization associated with increased landfill volumes at certain landfills;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accretion expense associated with the acceleration of asset retirement obligations due to the closure of the Southbridge Landfill;</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landfill operating costs;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fleet and facility maintenance costs.</w:t>
      </w:r>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 increased $0.7 million quarterly and increased $1.2 million year-to-date due to higher shared</w:t>
      </w:r>
      <w:r>
        <w:rPr>
          <w:rFonts w:ascii="Arial" w:cs="Arial" w:eastAsia="Arial" w:hAnsi="Arial"/>
          <w:sz w:val="18"/>
          <w:szCs w:val="18"/>
          <w:i w:val="1"/>
          <w:iCs w:val="1"/>
          <w:color w:val="auto"/>
        </w:rPr>
        <w:t xml:space="preserve"> </w:t>
      </w:r>
      <w:r>
        <w:rPr>
          <w:rFonts w:ascii="Arial" w:cs="Arial" w:eastAsia="Arial" w:hAnsi="Arial"/>
          <w:sz w:val="18"/>
          <w:szCs w:val="18"/>
          <w:color w:val="auto"/>
        </w:rPr>
        <w:t>overhead costs associated with higher equity compensation expense.</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$0.6 million quarterly and $1.2 million year-to-date due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landfill amortization expense associated with volume mix and changes to landfill amortization rates as a result of changes in cost estimates and other assumptions with certain of our landfills.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Operating income increased $1.2 million quarterly and $4.3 million year-to-date as our operating performance in the three and six months ended June 30, 2018 improved as revenue growth outweighed the following cost changes: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$5.3 million quarterly and $13.0 million year-to-date due to the following:</w:t>
      </w:r>
    </w:p>
    <w:p>
      <w:pPr>
        <w:sectPr>
          <w:pgSz w:w="11900" w:h="16838" w:orient="portrait"/>
          <w:cols w:equalWidth="0" w:num="1">
            <w:col w:w="11420"/>
          </w:cols>
          <w:pgMar w:left="240" w:top="80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800" w:right="239" w:bottom="1440" w:gutter="0" w:footer="0" w:header="0"/>
          <w:type w:val="continuous"/>
        </w:sectPr>
      </w:pPr>
    </w:p>
    <w:bookmarkStart w:id="42" w:name="page43"/>
    <w:bookmarkEnd w:id="42"/>
    <w:p>
      <w:pPr>
        <w:ind w:left="500" w:hanging="330"/>
        <w:spacing w:after="0" w:line="27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associated with a large contaminated soils project resulting in higher third-party costs for processing and transportation of soils;</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disposal costs associated with higher transfer station and transportation volumes and increased third-party disposal pricing;</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labor costs related primarily to higher wages and acquisitions;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workers compensation costs based on claims activity;</w:t>
      </w:r>
    </w:p>
    <w:p>
      <w:pPr>
        <w:spacing w:after="0" w:line="225" w:lineRule="exact"/>
        <w:rPr>
          <w:rFonts w:ascii="Arial" w:cs="Arial" w:eastAsia="Arial" w:hAnsi="Arial"/>
          <w:sz w:val="18"/>
          <w:szCs w:val="18"/>
          <w:color w:val="auto"/>
        </w:rPr>
      </w:pPr>
    </w:p>
    <w:p>
      <w:pPr>
        <w:ind w:left="500" w:right="60" w:hanging="330"/>
        <w:spacing w:after="0" w:line="27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fuel costs driven by higher diesel fuel pricing, which was offset by increased revenues from fees associated with the Energy and Environmental fee;</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landfill operating lease amortization year-to-date associated primarily with increased landfill volumes;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landfill operating costs at certain landfills year-to-date, partially mitigated by improved leachate disposal costs;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host community fees associated with increased volumes at certain landfills;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fleet maintenance costs.</w:t>
      </w:r>
    </w:p>
    <w:p>
      <w:pPr>
        <w:spacing w:after="0" w:line="33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 increased $1.5 million quarterly and $2.7 million year-to-date due to higher bad debt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and an increase in shared overhead costs associated with higher equity compensation expense.</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$0.8 million quarterly and $2.2 million year-to-date due to higher landfill</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expense attributed to higher landfill volumes and changes to landfill amortization rates as a result of changes in cost estimates and other assumptions with certain of our landfills.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Recycling</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Operating results decreased $(3.3) million quarterly and $(10.0) million year-to-date. Excluding the impact of the contract settlement charge, our operating performance in the three and six months ended June 30, 2018 declined due primarily to the decline in revenues and higher operating costs, partially offset by lower purchased material costs, associated with: slower processing speeds and added labor in an effort to meet tighter quality standards and reduce contamination; higher disposal costs as we pulled higher rates of residue out of the stream; and higher third-party transportation costs associated with transporting recycled commodities to new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decreased $(0.1) million quarterly and $(0.4) million year-to-date based on the following:</w:t>
      </w:r>
    </w:p>
    <w:p>
      <w:pPr>
        <w:spacing w:after="0" w:line="117" w:lineRule="exact"/>
        <w:rPr>
          <w:sz w:val="20"/>
          <w:szCs w:val="20"/>
          <w:color w:val="auto"/>
        </w:rPr>
      </w:pPr>
    </w:p>
    <w:p>
      <w:pPr>
        <w:ind w:left="500" w:right="40" w:hanging="330"/>
        <w:spacing w:after="0" w:line="264"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impact of intercompany profits in our Organics line-of-business now passing through to landfill disposal sites, combined with declining margins as higher revenues, which were driven by a large new sludge transportation and disposal contract, also resulted in higher third-party transportation and disposal costs as much of these new volumes were directed to third-party sites; partially offset by</w:t>
      </w:r>
    </w:p>
    <w:p>
      <w:pPr>
        <w:spacing w:after="0" w:line="181" w:lineRule="exact"/>
        <w:rPr>
          <w:rFonts w:ascii="Arial" w:cs="Arial" w:eastAsia="Arial" w:hAnsi="Arial"/>
          <w:sz w:val="18"/>
          <w:szCs w:val="18"/>
          <w:color w:val="auto"/>
        </w:rPr>
      </w:pPr>
    </w:p>
    <w:p>
      <w:pPr>
        <w:ind w:left="500" w:right="300" w:hanging="330"/>
        <w:spacing w:after="0" w:line="277"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improved operating performance of our Customer Solutions line-of-business, as increased volumes and lower purchased material costs outweighed higher cost of operations associated with increased hauling and transportation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continually monitor our actual and forecasted cash flows, our liquidity, and our capital requirements in order to properly manage our cash needs based on the capital intensive nature of our business. Our capital requirements include fixed asset purchases (including capital expenditures for vehicles), debt servicing, landfill development and cell construction, landfill site and cell closure, as well as acquisitions. We generally meet our liquidity needs from operating cash flows and borrowings from a revolving line of credit facility.</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summary of cash and cash equivalents, restricted assets and long-term debt balances, excluding any unamortized debt discount and debt issuance costs (in millions), follows: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692" w:right="27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Restricted assets:</w:t>
            </w:r>
          </w:p>
        </w:tc>
        <w:tc>
          <w:tcPr>
            <w:tcW w:w="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investment securities - landfill closure</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Long-term debt:</w:t>
            </w:r>
          </w:p>
        </w:tc>
        <w:tc>
          <w:tcPr>
            <w:tcW w:w="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Long-term portion</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514.2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492.8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Summary of Cash Flow Activity</w:t>
            </w:r>
          </w:p>
        </w:tc>
        <w:tc>
          <w:tcPr>
            <w:tcW w:w="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A summary of cash flows (in millions) follows: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3200" w:type="dxa"/>
            <w:vAlign w:val="bottom"/>
            <w:gridSpan w:val="7"/>
          </w:tcPr>
          <w:p>
            <w:pPr>
              <w:ind w:left="72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24"/>
                <w:szCs w:val="24"/>
                <w:color w:val="auto"/>
              </w:rPr>
            </w:pPr>
          </w:p>
        </w:tc>
        <w:tc>
          <w:tcPr>
            <w:tcW w:w="1260" w:type="dxa"/>
            <w:vAlign w:val="bottom"/>
            <w:vMerge w:val="restart"/>
          </w:tcPr>
          <w:p>
            <w:pPr>
              <w:jc w:val="right"/>
              <w:ind w:right="6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6740" w:type="dxa"/>
            <w:vAlign w:val="bottom"/>
          </w:tcPr>
          <w:p>
            <w:pPr>
              <w:spacing w:after="0"/>
              <w:rPr>
                <w:sz w:val="6"/>
                <w:szCs w:val="6"/>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vMerge w:val="restart"/>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bottom w:val="single" w:sz="8" w:color="CCEEFF"/>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jc w:val="right"/>
              <w:ind w:right="757"/>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(57.9)</w:t>
            </w:r>
          </w:p>
        </w:tc>
        <w:tc>
          <w:tcPr>
            <w:tcW w:w="80" w:type="dxa"/>
            <w:vAlign w:val="bottom"/>
          </w:tcPr>
          <w:p>
            <w:pPr>
              <w:spacing w:after="0"/>
              <w:rPr>
                <w:sz w:val="21"/>
                <w:szCs w:val="21"/>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cash flows (in millions) follows: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Depletion of landfill operating lease obligations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accretion on landfill and environmental remediation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of debt issuance costs and discount on long-term debt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Gain on sale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Southbridge Landfill non-cash closure charge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Non-cash expense from acquisition activities and other items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Development project charge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Loss on debt extinguishment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operating cash flows follows: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Improved operational performance in the six months ended June 30, 2018 as compared to the six months ended June 30, 2017 due to the following:</w:t>
      </w:r>
    </w:p>
    <w:p>
      <w:pPr>
        <w:spacing w:after="0" w:line="129" w:lineRule="exact"/>
        <w:rPr>
          <w:sz w:val="20"/>
          <w:szCs w:val="20"/>
          <w:color w:val="auto"/>
        </w:rPr>
      </w:pPr>
    </w:p>
    <w:p>
      <w:pPr>
        <w:ind w:left="500" w:right="60" w:hanging="330"/>
        <w:spacing w:after="0" w:line="264"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increased revenues of $25.3 million associated with: higher revenues in our collection line-of-business, our Western region disposal line-of-business, acquisition activity, our Customer Solutions line-of-business, and our Organics line-of-business; and lower commodity revenues in our Recycling line-of-business; partially offset by</w:t>
      </w:r>
    </w:p>
    <w:p>
      <w:pPr>
        <w:sectPr>
          <w:pgSz w:w="11900" w:h="16838" w:orient="portrait"/>
          <w:cols w:equalWidth="0" w:num="1">
            <w:col w:w="11420"/>
          </w:cols>
          <w:pgMar w:left="240" w:top="726"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726" w:right="239" w:bottom="1440" w:gutter="0" w:footer="0" w:header="0"/>
          <w:type w:val="continuous"/>
        </w:sectPr>
      </w:pPr>
    </w:p>
    <w:bookmarkStart w:id="44" w:name="page45"/>
    <w:bookmarkEnd w:id="44"/>
    <w:p>
      <w:pPr>
        <w:ind w:left="500" w:hanging="330"/>
        <w:spacing w:after="0"/>
        <w:tabs>
          <w:tab w:leader="none" w:pos="5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higher cost of operations of $20.3 million driven by higher third-party direct costs, higher labor costs, and higher direct operational costs; and</w:t>
      </w:r>
    </w:p>
    <w:p>
      <w:pPr>
        <w:spacing w:after="0" w:line="236" w:lineRule="exact"/>
        <w:rPr>
          <w:rFonts w:ascii="Arial" w:cs="Arial" w:eastAsia="Arial" w:hAnsi="Arial"/>
          <w:sz w:val="17"/>
          <w:szCs w:val="17"/>
          <w:color w:val="auto"/>
        </w:rPr>
      </w:pPr>
    </w:p>
    <w:p>
      <w:pPr>
        <w:ind w:left="500" w:hanging="330"/>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higher general and administration expense of $4.2 million.</w:t>
      </w:r>
    </w:p>
    <w:p>
      <w:pPr>
        <w:spacing w:after="0" w:line="333" w:lineRule="exact"/>
        <w:rPr>
          <w:sz w:val="20"/>
          <w:szCs w:val="20"/>
          <w:color w:val="auto"/>
        </w:rPr>
      </w:pPr>
    </w:p>
    <w:p>
      <w:pPr>
        <w:ind w:left="60" w:right="120"/>
        <w:spacing w:after="0" w:line="264" w:lineRule="auto"/>
        <w:rPr>
          <w:sz w:val="20"/>
          <w:szCs w:val="20"/>
          <w:color w:val="auto"/>
        </w:rPr>
      </w:pPr>
      <w:r>
        <w:rPr>
          <w:rFonts w:ascii="Arial" w:cs="Arial" w:eastAsia="Arial" w:hAnsi="Arial"/>
          <w:sz w:val="18"/>
          <w:szCs w:val="18"/>
          <w:color w:val="auto"/>
        </w:rPr>
        <w:t>The improved cash flow impact associated with the changes in our assets and liabilities, net of effects of acquisitions and divestitures, which are affected by both cost changes and the timing of payments, in the six months ended June 30, 2018 as compared to the six months ended June 30, 2017 was the result of the following:</w:t>
      </w:r>
    </w:p>
    <w:p>
      <w:pPr>
        <w:spacing w:after="0" w:line="73" w:lineRule="exact"/>
        <w:rPr>
          <w:sz w:val="20"/>
          <w:szCs w:val="20"/>
          <w:color w:val="auto"/>
        </w:rPr>
      </w:pPr>
    </w:p>
    <w:p>
      <w:pPr>
        <w:ind w:left="500" w:hanging="330"/>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lower cash outflows associated with accounts payable;</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lower cash outflows associated with prepaid expenses, inventories and other assets;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lower cash outflows associated with cash interest payments running through accrued expenses and other liabilities; partially offset by</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lower cash inflows associated with accounts receivable.</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investing activities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investing cash flows (in millions) follows: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net of cash acquired</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landfill operating lease contracts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sale of property and equipment</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0.5</w:t>
            </w: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investing cash flows follows: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Acquisitions, net of cash acquired</w:t>
      </w:r>
      <w:r>
        <w:rPr>
          <w:rFonts w:ascii="Arial" w:cs="Arial" w:eastAsia="Arial" w:hAnsi="Arial"/>
          <w:sz w:val="18"/>
          <w:szCs w:val="18"/>
          <w:color w:val="auto"/>
        </w:rPr>
        <w:t>. We acquired Complete and a tuck-in collection operation in the six months ended June 30, 2018 for total consideration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$19.4 million, including $19.2 million in cash, as compared to the six months ended June 30, 2017, when we acquired two tuck-in collection operations for total consideration of $5.4 million, including $2.7 million in cash.</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Capital expenditures were $11.0 million higher in the six months ended June 30, 2018 as compared to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2017 primarily due to timing differences and capital expenditures associated with acquisition activities.</w:t>
      </w:r>
    </w:p>
    <w:p>
      <w:pPr>
        <w:spacing w:after="0" w:line="1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Payments on landfill operating lease contracts</w:t>
      </w:r>
      <w:r>
        <w:rPr>
          <w:rFonts w:ascii="Arial" w:cs="Arial" w:eastAsia="Arial" w:hAnsi="Arial"/>
          <w:sz w:val="17"/>
          <w:szCs w:val="17"/>
          <w:color w:val="auto"/>
        </w:rPr>
        <w:t>. Landfill operating lease payments increased $0.3 million in the six months ended June 30, 2018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six months ended June 30, 2017 due primarily to the timing of payments related to the landfill located in Chemung, New York.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92"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Cash flows from financing activities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financing cash flows (in millions) follows: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long-term borrowings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Principal payments on long-term debt</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(513.8)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(126.2)</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of debt issuance costs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the exercise of share based awards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0.9</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financing cash flows follows: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Debt activity</w:t>
      </w:r>
      <w:r>
        <w:rPr>
          <w:rFonts w:ascii="Arial" w:cs="Arial" w:eastAsia="Arial" w:hAnsi="Arial"/>
          <w:sz w:val="18"/>
          <w:szCs w:val="18"/>
          <w:color w:val="auto"/>
        </w:rPr>
        <w:t>. Debt borrowings increased by $411.9 million and our debt payments increased by $387.6 million in the six months ended June 30,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financing cash flows related to debt activity is associated with increased borrowings related to acquisition activity and to a lesser extent debt issuance costs associated with financing activities.</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Payments of debt issuance costs</w:t>
      </w:r>
      <w:r>
        <w:rPr>
          <w:rFonts w:ascii="Arial" w:cs="Arial" w:eastAsia="Arial" w:hAnsi="Arial"/>
          <w:sz w:val="18"/>
          <w:szCs w:val="18"/>
          <w:color w:val="auto"/>
        </w:rPr>
        <w:t>. We made $5.6 million of debt issuance cost payments in the six months ended June 30, 2018 related primarily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Finance Authority of Maine Solid Waste Disposal Revenue Bonds Series 2015R-2 (“FAME Bonds 2015R-2”) and the refinancing of our Credit Facility as compared to $1.5 million in the six months ended June 30, 2017 related to the repricing of our Term Loan B Facility and the remarketing of the FAME Bonds 2005R-1 and the FAME Bonds 2005R-2 into the FAME Bonds 2005R-3.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three months ended June 30, 2018, we entered into a credit agreement ("Credit Agreement"), which provides for a $350.0 million aggregate principal amount Term Loan Facility and a $200.0 million Revolving Credit Facility. The net proceeds from this transaction were used to repay in full the amounts outstanding of the $350.0 million aggregate principal amount Term Loan B Facility and the $160.0 million revolving line of credit facility plus accrued and unpaid interest thereon and to pay related transaction expenses.</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June 30, 2018, we had outstanding $350.0 million aggregate principal amount of borrowings under our Term Loan Facility and $33.3 million aggregate principal amount of borrowings under our Revolving Credit Facility. The Credit Facility has a 5-year term and will initially bear interest at a rate of LIBOR plus 2.00% per annum, which will be reduced to a rate of LIBOR plus 1.25% upon us reaching a consolidated net leverage ratio of less than 2.25x. Our Credit Facility is guaranteed jointly and severally, fully and unconditionally by all of our significant wholly-owned subsidiaries and secured by substantially all of our assets. As of June 30, 2018, further advances were available under the Revolving Credit Facility in the amount of $144.2 million. The available amount is net of outstanding irrevocable letters of credit totaling $22.5 million, at which date no amount had been drawn. We have the right to request, at our discretion, an increase in the amount of loans under the Credit Facility by an aggregate amount of $125.0 million, subject to the terms and conditions set forth in the Credit Agreement.</w:t>
      </w:r>
    </w:p>
    <w:p>
      <w:pPr>
        <w:spacing w:after="0" w:line="19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Credit Agreement requires us to maintain a minimum interest coverage ratio and a maximum consolidated net leverage ratio, to be measured at the end of each fiscal quarter. As of June 30, 2018, we were in compliance with all financial covenants contained in the Credit Agreement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20" w:type="dxa"/>
            <w:vAlign w:val="bottom"/>
            <w:gridSpan w:val="2"/>
          </w:tcPr>
          <w:p>
            <w:pPr>
              <w:ind w:left="200"/>
              <w:spacing w:after="0"/>
              <w:rPr>
                <w:sz w:val="20"/>
                <w:szCs w:val="20"/>
                <w:color w:val="auto"/>
              </w:rPr>
            </w:pPr>
            <w:r>
              <w:rPr>
                <w:rFonts w:ascii="Arial" w:cs="Arial" w:eastAsia="Arial" w:hAnsi="Arial"/>
                <w:sz w:val="14"/>
                <w:szCs w:val="14"/>
                <w:b w:val="1"/>
                <w:bCs w:val="1"/>
                <w:color w:val="auto"/>
              </w:rPr>
              <w:t>Twelve Months Ended June 30,</w:t>
            </w:r>
          </w:p>
        </w:tc>
        <w:tc>
          <w:tcPr>
            <w:tcW w:w="2260" w:type="dxa"/>
            <w:vAlign w:val="bottom"/>
          </w:tcPr>
          <w:p>
            <w:pPr>
              <w:jc w:val="right"/>
              <w:spacing w:after="0"/>
              <w:rPr>
                <w:sz w:val="20"/>
                <w:szCs w:val="20"/>
                <w:color w:val="auto"/>
              </w:rPr>
            </w:pPr>
            <w:r>
              <w:rPr>
                <w:rFonts w:ascii="Arial" w:cs="Arial" w:eastAsia="Arial" w:hAnsi="Arial"/>
                <w:sz w:val="14"/>
                <w:szCs w:val="14"/>
                <w:b w:val="1"/>
                <w:bCs w:val="1"/>
                <w:color w:val="auto"/>
                <w:w w:val="94"/>
              </w:rPr>
              <w:t>Covenant Requirement at June 30,</w:t>
            </w:r>
          </w:p>
        </w:tc>
      </w:tr>
      <w:tr>
        <w:trPr>
          <w:trHeight w:val="192"/>
        </w:trPr>
        <w:tc>
          <w:tcPr>
            <w:tcW w:w="4460" w:type="dxa"/>
            <w:vAlign w:val="bottom"/>
            <w:tcBorders>
              <w:bottom w:val="single" w:sz="8" w:color="CCEEFF"/>
            </w:tcBorders>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right"/>
              <w:ind w:right="919"/>
              <w:spacing w:after="0"/>
              <w:rPr>
                <w:sz w:val="20"/>
                <w:szCs w:val="20"/>
                <w:color w:val="auto"/>
              </w:rPr>
            </w:pPr>
            <w:r>
              <w:rPr>
                <w:rFonts w:ascii="Arial" w:cs="Arial" w:eastAsia="Arial" w:hAnsi="Arial"/>
                <w:sz w:val="14"/>
                <w:szCs w:val="14"/>
                <w:b w:val="1"/>
                <w:bCs w:val="1"/>
                <w:color w:val="auto"/>
              </w:rPr>
              <w:t>2018</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Maximum consolidated net leverage ratio (1)</w:t>
            </w:r>
          </w:p>
        </w:tc>
        <w:tc>
          <w:tcPr>
            <w:tcW w:w="4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4.75</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Minimum interest coverage ratio</w:t>
            </w:r>
          </w:p>
        </w:tc>
        <w:tc>
          <w:tcPr>
            <w:tcW w:w="4580" w:type="dxa"/>
            <w:vAlign w:val="bottom"/>
            <w:gridSpan w:val="2"/>
          </w:tcPr>
          <w:p>
            <w:pPr>
              <w:jc w:val="right"/>
              <w:ind w:right="48"/>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1"/>
                <w:szCs w:val="21"/>
                <w:color w:val="auto"/>
              </w:rPr>
            </w:pPr>
          </w:p>
        </w:tc>
        <w:tc>
          <w:tcPr>
            <w:tcW w:w="2260" w:type="dxa"/>
            <w:vAlign w:val="bottom"/>
          </w:tcPr>
          <w:p>
            <w:pPr>
              <w:jc w:val="right"/>
              <w:ind w:right="19"/>
              <w:spacing w:after="0"/>
              <w:rPr>
                <w:sz w:val="20"/>
                <w:szCs w:val="20"/>
                <w:color w:val="auto"/>
              </w:rPr>
            </w:pPr>
            <w:r>
              <w:rPr>
                <w:rFonts w:ascii="Arial" w:cs="Arial" w:eastAsia="Arial" w:hAnsi="Arial"/>
                <w:sz w:val="18"/>
                <w:szCs w:val="18"/>
                <w:color w:val="auto"/>
              </w:rPr>
              <w:t>3.00</w:t>
            </w:r>
          </w:p>
        </w:tc>
      </w:tr>
      <w:tr>
        <w:trPr>
          <w:trHeight w:val="486"/>
        </w:trPr>
        <w:tc>
          <w:tcPr>
            <w:tcW w:w="4460" w:type="dxa"/>
            <w:vAlign w:val="bottom"/>
          </w:tcPr>
          <w:p>
            <w:pPr>
              <w:spacing w:after="0"/>
              <w:rPr>
                <w:sz w:val="24"/>
                <w:szCs w:val="24"/>
                <w:color w:val="auto"/>
              </w:rPr>
            </w:pPr>
          </w:p>
        </w:tc>
        <w:tc>
          <w:tcPr>
            <w:tcW w:w="2280" w:type="dxa"/>
            <w:vAlign w:val="bottom"/>
          </w:tcPr>
          <w:p>
            <w:pPr>
              <w:jc w:val="right"/>
              <w:ind w:right="850"/>
              <w:spacing w:after="0"/>
              <w:rPr>
                <w:sz w:val="20"/>
                <w:szCs w:val="20"/>
                <w:color w:val="auto"/>
              </w:rPr>
            </w:pPr>
            <w:r>
              <w:rPr>
                <w:rFonts w:ascii="Arial" w:cs="Arial" w:eastAsia="Arial" w:hAnsi="Arial"/>
                <w:sz w:val="18"/>
                <w:szCs w:val="18"/>
                <w:color w:val="auto"/>
              </w:rPr>
              <w:t>43</w:t>
            </w: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46" w:name="page47"/>
    <w:bookmarkEnd w:id="46"/>
    <w:p>
      <w:pPr>
        <w:ind w:left="660" w:right="20" w:hanging="652"/>
        <w:spacing w:after="0" w:line="271"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maximum consolidated net leverage ratio is calculated as consolidated funded debt, net of unencumbered cash and cash equivalents in excess of $2.0 million (calculated at $515.9 million as of June 30, 2018, or $516.0 million of consolidated funded debt less $0.1 million of cash and cash equivalents in excess of $2.0 million as of June 30, 2018), divided by consolidated EBITDA. Consolidated EBITDA is based on operating results for the twelve months preceding the measurement date of June 30, 2018. Consolidated funded debt, net of unencumbered cash and cash equivalents in excess of $2.0 million, and consolidated EBITDA as defined by the Credit Agreement ("Consolidated EBITDA") are non-GAAP financial measures that should not be considered an alternative to any measure of financial performance calculated and presented in accordance with generally accepted accounting principles in the United States. A reconciliation of net cash provided by operating activities to minimum consolidated EBITDA is as follows (in millions):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Twelve Months Ended June 30,</w:t>
            </w:r>
          </w:p>
        </w:tc>
      </w:tr>
      <w:tr>
        <w:trPr>
          <w:trHeight w:val="192"/>
        </w:trPr>
        <w:tc>
          <w:tcPr>
            <w:tcW w:w="9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2018</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Changes in assets and liabilities, net of effects of acquisitions and divestitures</w:t>
            </w:r>
          </w:p>
        </w:tc>
        <w:tc>
          <w:tcPr>
            <w:tcW w:w="1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9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Non-cash expense from acquisition activities and other items</w:t>
            </w:r>
          </w:p>
        </w:tc>
        <w:tc>
          <w:tcPr>
            <w:tcW w:w="1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9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Developmental project charge</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Loss on debt extinguishment</w:t>
            </w:r>
          </w:p>
        </w:tc>
        <w:tc>
          <w:tcPr>
            <w:tcW w:w="1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9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Southbridge landfill non-cash closure charge</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9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less amortization of debt issuance costs and discount on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Provision for income taxes, net of deferred taxes</w:t>
            </w:r>
          </w:p>
        </w:tc>
        <w:tc>
          <w:tcPr>
            <w:tcW w:w="1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9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as allowed by the Credit Agreement</w:t>
            </w:r>
          </w:p>
        </w:tc>
        <w:tc>
          <w:tcPr>
            <w:tcW w:w="14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Consolidated EBITDA</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140.1</w:t>
            </w:r>
          </w:p>
        </w:tc>
      </w:tr>
      <w:tr>
        <w:trPr>
          <w:trHeight w:val="27"/>
        </w:trPr>
        <w:tc>
          <w:tcPr>
            <w:tcW w:w="9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0"/>
        </w:trPr>
        <w:tc>
          <w:tcPr>
            <w:tcW w:w="9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addition to the financial covenants described above,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As of June 30, 2018, we were in compliance with the covenants contained in the Credit Agreement.</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9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Tax-Exempt Financings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New York Bonds. </w:t>
      </w:r>
      <w:r>
        <w:rPr>
          <w:rFonts w:ascii="Arial" w:cs="Arial" w:eastAsia="Arial" w:hAnsi="Arial"/>
          <w:sz w:val="16"/>
          <w:szCs w:val="16"/>
          <w:color w:val="auto"/>
        </w:rPr>
        <w:t>As of June 30, 2018, we had outstanding $25.0 million aggregate principal amount of Solid Waste Disposal Revenue Bonds Series 2014</w:t>
      </w:r>
      <w:r>
        <w:rPr>
          <w:rFonts w:ascii="Arial" w:cs="Arial" w:eastAsia="Arial" w:hAnsi="Arial"/>
          <w:sz w:val="16"/>
          <w:szCs w:val="16"/>
          <w:i w:val="1"/>
          <w:iCs w:val="1"/>
          <w:color w:val="auto"/>
        </w:rPr>
        <w:t xml:space="preserve"> </w:t>
      </w:r>
      <w:r>
        <w:rPr>
          <w:rFonts w:ascii="Arial" w:cs="Arial" w:eastAsia="Arial" w:hAnsi="Arial"/>
          <w:sz w:val="16"/>
          <w:szCs w:val="16"/>
          <w:color w:val="auto"/>
        </w:rPr>
        <w:t>("New York Bonds 2014") and $15.0 million aggregate principal amount of Solid Waste Disposal Revenue Bonds Series 2014R-2 ("New York Bonds 2014R-2") issued by the New York State Environmental Facilities Corporation under the indenture dated December 1, 2014 (collectively, the “New York Bonds”). The New York Bonds 2014 accrue interest at 3.75% per annum through December 1, 2019, at which time they may be converted from a fixed rate to a variable rate. The New York Bonds 2014R-2 accrue interest at 3.125% per annum through May 31, 2026, at which time they may be converted from a fixed rate to a variable rate. The New York Bonds, which are unsecured and guaranteed jointly and severally, fully and unconditionally by all of our significant wholly-owned subsidiaries, require interest payments on June 1 and December 1 of each year and mature on December 1, 2044. We borrowed the proceeds of the New York Bonds to finance or refinance certain capital projects in the state of New York and to pay certain costs of issuance of the New York Bonds.</w:t>
      </w:r>
    </w:p>
    <w:p>
      <w:pPr>
        <w:spacing w:after="0" w:line="166"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i w:val="1"/>
          <w:iCs w:val="1"/>
          <w:color w:val="auto"/>
        </w:rPr>
        <w:t xml:space="preserve">FAME Bonds. </w:t>
      </w:r>
      <w:r>
        <w:rPr>
          <w:rFonts w:ascii="Arial" w:cs="Arial" w:eastAsia="Arial" w:hAnsi="Arial"/>
          <w:sz w:val="16"/>
          <w:szCs w:val="16"/>
          <w:color w:val="auto"/>
        </w:rPr>
        <w:t>As of June 30, 2018, we had outstanding $25.0 million aggregate principal amount of FAME Bonds 2005R-3. The FAME Bonds 2005R-3,</w:t>
      </w:r>
      <w:r>
        <w:rPr>
          <w:rFonts w:ascii="Arial" w:cs="Arial" w:eastAsia="Arial" w:hAnsi="Arial"/>
          <w:sz w:val="16"/>
          <w:szCs w:val="16"/>
          <w:i w:val="1"/>
          <w:iCs w:val="1"/>
          <w:color w:val="auto"/>
        </w:rPr>
        <w:t xml:space="preserve"> </w:t>
      </w:r>
      <w:r>
        <w:rPr>
          <w:rFonts w:ascii="Arial" w:cs="Arial" w:eastAsia="Arial" w:hAnsi="Arial"/>
          <w:sz w:val="16"/>
          <w:szCs w:val="16"/>
          <w:color w:val="auto"/>
        </w:rPr>
        <w:t>which are unsecured and guaranteed jointly and severally, fully and unconditionally by all of our significant wholly-owned subsidiaries, accrue interest at 5.25% per annum, and interest is payable semiannually in arrears on February 1 and August 1 of each year until such bonds mature on January 1, 2025.</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June 30, 2018, we had outstanding $15.0 million aggregate principal amount of Finance Authority of Maine Solid Waste Disposal Revenue Bonds Series 2015 (“FAME Bonds 2015R-1”). The FAME Bonds 2015R-1, which are unsecured and guaranteed jointly and severally, fully and unconditionally by all of our significant wholly-owned subsidiaries, accrue interest at 5.125% per annum through August 1, 2025, at which time they may be converted from a fixed to a variable rate, and interest is payable semiannually in arrears on February 1 and August 1 of each year. The FAME Bonds 2015R-1 mature on August 1, 2035. We borrowed the proceeds of the offering of the FAME Bonds 2015R-1 to finance or refinance the costs of certain of our solid waste landfill facilities and solid waste collection, organics and transfer, recycling and hauling facilities, and to pay certain costs of the issuance of the FAME Bonds 2015R-1.</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three months ended June 30, 2018, we completed the issuance of $15.0 million aggregate principal amount of FAME Bonds 2015R-2. As of June 30, 2018, we had outstanding $15.0 million aggregate principal amount of FAME Bonds 2015R-2. The FAME Bonds 2015R-2, which are unsecured and guaranteed jointly and severally, fully and unconditionally by all of our significant wholly-owned subsidiaries, accrue interest at 4.375% per annum through July 31, 2025, at which time they may be converted from a fixed to a variable rate. Interest is payable semiannually each year on May 1 and November 1 until the FAME Bonds 2015R-2 mature on August 1, 2035. We borrowed the proceeds of the offering of the FAME Bonds 2015R-2 to finance or refinance the costs of certain of our solid waste landfill facilities and solid waste collection, organics and transfer, recycling and hauling facilities, and to pay certain costs of the issuance of the FAME Bonds 2015R-2.</w:t>
      </w:r>
    </w:p>
    <w:p>
      <w:pPr>
        <w:spacing w:after="0" w:line="18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 xml:space="preserve">Vermont Bonds. </w:t>
      </w:r>
      <w:r>
        <w:rPr>
          <w:rFonts w:ascii="Arial" w:cs="Arial" w:eastAsia="Arial" w:hAnsi="Arial"/>
          <w:sz w:val="16"/>
          <w:szCs w:val="16"/>
          <w:color w:val="auto"/>
        </w:rPr>
        <w:t>In the three months ended June 30, 2018, we completed the remarketing of $16.0 million aggregate principal amount of 4.75% fixed rate</w:t>
      </w:r>
      <w:r>
        <w:rPr>
          <w:rFonts w:ascii="Arial" w:cs="Arial" w:eastAsia="Arial" w:hAnsi="Arial"/>
          <w:sz w:val="16"/>
          <w:szCs w:val="16"/>
          <w:i w:val="1"/>
          <w:iCs w:val="1"/>
          <w:color w:val="auto"/>
        </w:rPr>
        <w:t xml:space="preserve"> </w:t>
      </w:r>
      <w:r>
        <w:rPr>
          <w:rFonts w:ascii="Arial" w:cs="Arial" w:eastAsia="Arial" w:hAnsi="Arial"/>
          <w:sz w:val="16"/>
          <w:szCs w:val="16"/>
          <w:color w:val="auto"/>
        </w:rPr>
        <w:t>Vermont Bonds. As of June 30, 2018, we had outstanding $16.0 million aggregate principal amount Vermont Bonds. The Vermont Bonds, which are unsecured and guaranteed jointly and severally, fully and unconditionally by all of our significant wholly-owned subsidiaries, were remarketed in April 2018 and accrue interest at 4.625% per annum through April 2, 2028 after which time there is a mandatory tender. The Vermont Bonds mature on April 1, 2036.</w:t>
      </w:r>
    </w:p>
    <w:p>
      <w:pPr>
        <w:spacing w:after="0" w:line="154"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i w:val="1"/>
          <w:iCs w:val="1"/>
          <w:color w:val="auto"/>
        </w:rPr>
        <w:t xml:space="preserve">New Hampshire Bonds. </w:t>
      </w:r>
      <w:r>
        <w:rPr>
          <w:rFonts w:ascii="Arial" w:cs="Arial" w:eastAsia="Arial" w:hAnsi="Arial"/>
          <w:sz w:val="16"/>
          <w:szCs w:val="16"/>
          <w:color w:val="auto"/>
        </w:rPr>
        <w:t>As of June 30, 2018, we had outstanding $11.0 million aggregate principal amount of Solid Waste Disposal Revenue Bonds</w:t>
      </w:r>
      <w:r>
        <w:rPr>
          <w:rFonts w:ascii="Arial" w:cs="Arial" w:eastAsia="Arial" w:hAnsi="Arial"/>
          <w:sz w:val="16"/>
          <w:szCs w:val="16"/>
          <w:i w:val="1"/>
          <w:iCs w:val="1"/>
          <w:color w:val="auto"/>
        </w:rPr>
        <w:t xml:space="preserve"> </w:t>
      </w:r>
      <w:r>
        <w:rPr>
          <w:rFonts w:ascii="Arial" w:cs="Arial" w:eastAsia="Arial" w:hAnsi="Arial"/>
          <w:sz w:val="16"/>
          <w:szCs w:val="16"/>
          <w:color w:val="auto"/>
        </w:rPr>
        <w:t>Series 2013 issued by the Business Finance Authority of the State of New Hampshire (“New Hampshire Bonds”). The New Hampshire Bonds, which are unsecured and guaranteed jointly and severally, fully and unconditionally by all of our significant wholly-owned subsidiaries, accrue interest at 4.00% per annum through October 1, 2019, at which time they may be converted from a fixed rate to a variable rate, and interest is payable in arrears on April 1 and October 1 of each year. The New Hampshire Bonds mature on April 1, 2029. We borrowed the proceeds of the New Hampshire Bonds to repay borrowings under our Credit Facility for qualifying property, plant and equipment assets purchased in the state of New Hampshire.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Although inflationary increases in costs have affected our historical operating margins, we believe that inflation generally has not had a significant impact on our operating results. Consistent with industry practice, most of our contracts provide for a pass-through of certain costs to our customers, including increases in landfill tipping fees and in some cases fuel costs, intended to mitigate the impact of inflation on our operating results. We have also implemented a number of operating efficiency programs that seek to improve productivity and reduce our service costs, and a fuel surcharge, which is designed to recover escalating fuel price fluctuations above an annually reset floor. Based on these implementations, we believe we should be able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01" w:right="239" w:bottom="1440" w:gutter="0" w:footer="0" w:header="0"/>
        </w:sectPr>
      </w:pPr>
    </w:p>
    <w:bookmarkStart w:id="48" w:name="page49"/>
    <w:bookmarkEnd w:id="48"/>
    <w:p>
      <w:pPr>
        <w:ind w:right="260"/>
        <w:spacing w:after="0" w:line="264" w:lineRule="auto"/>
        <w:rPr>
          <w:sz w:val="20"/>
          <w:szCs w:val="20"/>
          <w:color w:val="auto"/>
        </w:rPr>
      </w:pPr>
      <w:r>
        <w:rPr>
          <w:rFonts w:ascii="Arial" w:cs="Arial" w:eastAsia="Arial" w:hAnsi="Arial"/>
          <w:sz w:val="18"/>
          <w:szCs w:val="18"/>
          <w:color w:val="auto"/>
        </w:rPr>
        <w:t>to sufficiently offset most cost increases resulting from inflation. However,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Economic Conditions</w:t>
      </w:r>
    </w:p>
    <w:p>
      <w:pPr>
        <w:spacing w:after="0" w:line="229"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Our business is primarily located in the northeastern United States. Therefore, our business, financial condition and results of operations are susceptible to downturns in the general economy in this geographic region and other factors affecting the region, such as state regulations and severe weather conditions. We are unable to forecast or determine the timing and/or the future impact of a sustained economic slowdown.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Severe Weather</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lower volumes of waste in the late fall, winter and early spring months because:</w:t>
      </w:r>
    </w:p>
    <w:p>
      <w:pPr>
        <w:spacing w:after="0" w:line="62"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volume of waste relating to C&amp;D activities decreases substantially during the winter months in the northeastern United States; and</w:t>
      </w:r>
    </w:p>
    <w:p>
      <w:pPr>
        <w:spacing w:after="0" w:line="117" w:lineRule="exact"/>
        <w:rPr>
          <w:rFonts w:ascii="Arial" w:cs="Arial" w:eastAsia="Arial" w:hAnsi="Arial"/>
          <w:sz w:val="18"/>
          <w:szCs w:val="18"/>
          <w:color w:val="auto"/>
        </w:rPr>
      </w:pPr>
    </w:p>
    <w:p>
      <w:pPr>
        <w:ind w:left="660" w:right="720" w:hanging="652"/>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decreased tourism in Vermont, New Hampshire, Maine and eastern New York during the winter months tends to lower the volume of waste generated by commercial and restaurant customers, which is partially offset by increased volume from the ski industry.</w:t>
      </w:r>
    </w:p>
    <w:p>
      <w:pPr>
        <w:spacing w:after="0" w:line="14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Because certain of our operating and fixed costs remain constant throughout the fiscal year, operating income is therefore impacted by a similar seasonality. Our operations can be adversely affected by periods of inclement or severe weather, which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1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Recycling segment experiences increased volumes of fiber in November and December due to increased shipping boxes and retail activity during the holiday season.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preparation of our financial statements requires management to make estimates and assumptions that affect the reported amounts of assets and liabilities and the disclosure of contingent assets and liabilities, as applicable, at the date of the financial statements and the reported amounts of revenues and expenses during the reporting period.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Except for the adoption of the new accounting standards discussed in Note 2, </w:t>
      </w:r>
      <w:r>
        <w:rPr>
          <w:rFonts w:ascii="Arial" w:cs="Arial" w:eastAsia="Arial" w:hAnsi="Arial"/>
          <w:sz w:val="16"/>
          <w:szCs w:val="16"/>
          <w:i w:val="1"/>
          <w:iCs w:val="1"/>
          <w:color w:val="auto"/>
        </w:rPr>
        <w:t>Accounting Changes</w:t>
      </w:r>
      <w:r>
        <w:rPr>
          <w:rFonts w:ascii="Arial" w:cs="Arial" w:eastAsia="Arial" w:hAnsi="Arial"/>
          <w:sz w:val="16"/>
          <w:szCs w:val="16"/>
          <w:color w:val="auto"/>
        </w:rPr>
        <w:t xml:space="preserve"> to our consolidated financial statements included under Part I, Item 1 of this Quarterly Report on Form 10-Q, there were no material changes in the three and six months ended June 30, 2018 to the application of critical accounting policies and estimates as described in Item 8 of our Annual Report on Form 10-K for the fiscal year ended December 31,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For a description of the new accounting standards that may affect us, see Note 2, </w:t>
      </w:r>
      <w:r>
        <w:rPr>
          <w:rFonts w:ascii="Arial" w:cs="Arial" w:eastAsia="Arial" w:hAnsi="Arial"/>
          <w:sz w:val="16"/>
          <w:szCs w:val="16"/>
          <w:i w:val="1"/>
          <w:iCs w:val="1"/>
          <w:color w:val="auto"/>
        </w:rPr>
        <w:t>Accounting Changes</w:t>
      </w:r>
      <w:r>
        <w:rPr>
          <w:rFonts w:ascii="Arial" w:cs="Arial" w:eastAsia="Arial" w:hAnsi="Arial"/>
          <w:sz w:val="16"/>
          <w:szCs w:val="16"/>
          <w:color w:val="auto"/>
        </w:rPr>
        <w:t xml:space="preserve"> to our consolidated financial statements included under Part I, Item 1 of this Quarterly Report on Form 10-Q. For a description of the impact of ASU 2014-09, as amended, Revenue from Contracts with Customers (</w:t>
      </w:r>
      <w:r>
        <w:rPr>
          <w:rFonts w:ascii="Arial" w:cs="Arial" w:eastAsia="Arial" w:hAnsi="Arial"/>
          <w:sz w:val="16"/>
          <w:szCs w:val="16"/>
          <w:i w:val="1"/>
          <w:iCs w:val="1"/>
          <w:color w:val="auto"/>
        </w:rPr>
        <w:t>Topic 606</w:t>
      </w:r>
      <w:r>
        <w:rPr>
          <w:rFonts w:ascii="Arial" w:cs="Arial" w:eastAsia="Arial" w:hAnsi="Arial"/>
          <w:sz w:val="16"/>
          <w:szCs w:val="16"/>
          <w:color w:val="auto"/>
        </w:rPr>
        <w:t xml:space="preserve">), effective January 1, 2018 see Note 3,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to our consolidated financial statements included under Part I, Item 1 of this Quarterly Report on Form 10-Q. For a description of the impact of ASU 2017-12 Derivatives and Hedging (</w:t>
      </w:r>
      <w:r>
        <w:rPr>
          <w:rFonts w:ascii="Arial" w:cs="Arial" w:eastAsia="Arial" w:hAnsi="Arial"/>
          <w:sz w:val="16"/>
          <w:szCs w:val="16"/>
          <w:i w:val="1"/>
          <w:iCs w:val="1"/>
          <w:color w:val="auto"/>
        </w:rPr>
        <w:t>Topic 815</w:t>
      </w:r>
      <w:r>
        <w:rPr>
          <w:rFonts w:ascii="Arial" w:cs="Arial" w:eastAsia="Arial" w:hAnsi="Arial"/>
          <w:sz w:val="16"/>
          <w:szCs w:val="16"/>
          <w:color w:val="auto"/>
        </w:rPr>
        <w:t xml:space="preserve">), effective January 1, 2018 see Note 7, </w:t>
      </w: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to our consolidated financial statements included under Part I, Item 1 of this Quarterly Report on Form 10-Q.</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00" w:right="239" w:bottom="1440" w:gutter="0" w:footer="0" w:header="0"/>
        </w:sectPr>
      </w:pPr>
    </w:p>
    <w:bookmarkStart w:id="49" w:name="page50"/>
    <w:bookmarkEnd w:id="49"/>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In the normal course of business we are exposed to market risks, including changes in interest rates and certain commodity prices. We have a variety of strategies to mitigate these market risks, including at times using derivative instruments to hedge some portion of these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Volatility</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June 30, 2018, we are party to seven interest rate derivative agreements to hedge interest rate risk associated with the variable rate portion of our long-term debt. The total notional amount of these hedging instruments is $145.0 million and we receive interest based on the 1-month LIBOR index, restricted by a 1.00% floor in certain instances, and pay interest at a weighted average fixed rate of approximately 2.46%. The agreements mature between February 2021 and May 2023. We have designated these derivative instruments as highly effective cash flow hedges, and therefore the change in fair value is recorded in our stockholders’ deficit as a component of accumulated other comprehensive income and included in interest expense at the same time as interest expense is affected by the hedged transactions. Differences paid or received over the life of the agreements are recorded as additions to or reductions of interest expense on the underlying debt.</w:t>
      </w:r>
    </w:p>
    <w:p>
      <w:pPr>
        <w:spacing w:after="0" w:line="18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had interest rate risk relating to approximately $238.3 million of long-term debt at June 30, 2018. The weighted average interest rate on the variable rate portion of long-term debt was approximately 4.1% at June 30, 2018. Should the average interest rate on the variable rate portion of long-term debt change by 100 basis points, we estimate that our quarterly interest expense would change by up to approximately $0.6 million. The remainder of our long-term debt is at fixed rates and not subject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Volatility</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Should commodity prices change by $10 per ton, we estimate that our annual operating income margin would change by approximately $1.2 million annually, or $0.3 million quarterly. Our sensitivity to changes in commodity prices is complex because each customer contract is unique relative to revenue sharing, tipping or processing fees and other arrangements. The above operating income impact may not be indicative of future operating results and actual results may vary materially.</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 evaluated</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effectiveness of our disclosure controls and procedures as of June 30, 2018.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2018, our chief executive officer and chief financial officer concluded that, as of such date, our disclosure controls and procedures were effective at the reasonable assurance level.</w:t>
      </w:r>
    </w:p>
    <w:p>
      <w:pPr>
        <w:spacing w:after="0" w:line="18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Changes in internal controls over financial reporting. </w:t>
      </w:r>
      <w:r>
        <w:rPr>
          <w:rFonts w:ascii="Arial" w:cs="Arial" w:eastAsia="Arial" w:hAnsi="Arial"/>
          <w:sz w:val="18"/>
          <w:szCs w:val="18"/>
          <w:color w:val="auto"/>
        </w:rPr>
        <w:t>No change in our internal control over financial reporting (as defined in Rules 13a-15(f) and 15d-15(f)</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Exchange Act) occurred during the three months ended June 30, 2018 that has materially affected, or is reasonably likely to materially affect, our internal control over financial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796" w:right="25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Liability (including related litigation)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22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is operated by SRD. Those results indicated the presence of contaminants above the levels triggering notice and response obligations under MADEP regulations. In response to those results, we are carrying out an Immediate Response Action pursuant to Massachusetts General Law Chapter 21E (the "Charlton 21E Obligations") pursuant to state law. Further, we have implemented a plan to analyze and better understand the groundwater near the Southbridge Landfill and we are investigating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(the “Massachusetts Court”)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51" w:name="page52"/>
    <w:bookmarkEnd w:id="51"/>
    <w:p>
      <w:pPr>
        <w:spacing w:after="0" w:line="273" w:lineRule="auto"/>
        <w:rPr>
          <w:sz w:val="20"/>
          <w:szCs w:val="20"/>
          <w:color w:val="auto"/>
        </w:rPr>
      </w:pPr>
      <w:r>
        <w:rPr>
          <w:rFonts w:ascii="Arial" w:cs="Arial" w:eastAsia="Arial" w:hAnsi="Arial"/>
          <w:sz w:val="17"/>
          <w:szCs w:val="17"/>
          <w:color w:val="auto"/>
        </w:rPr>
        <w:t>operation of the Southbridge Landfill, and costs of litigation, plus interest on any damage award, on behalf of the Residents. We believe the Litigation to be factually inaccurate, and without legal merit, and we and SRD intend to vigorously defend the Litigation. Nevertheless, we believe it is reasonably possible that a loss will occur as a result of the Litigation although an estimate of loss cannot be reasonably provided at this time. We also continue to believe the Town should be responsible for costs or liabilities associated with the Litigation relative to alleged contamination originating from the unlined portion of the Southbridge Landfill, although there can be no assurance that we will not be required to incur some or all of such costs and liabilities. In December 2017, we filed a Motion to Dismiss the Litigation, and we are awaiting a date to be set by the Massachusetts Court for oral arguments.</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entered into an Administrative Consent Order on April 26, 2017 (the “ACO”), with MADEP, the Town, and the Town of Charlton, committing us to equally share the costs with MADEP, of up to $10.0 million ($5.0 million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will issue a twenty (20) year bond for our portion of the Waterline costs (up to $5.0 million). We have agreed to reimburse the Town for periodic payments under such bond. The Town has recently advised us that it has solicited and received proposals for the construction of the Waterline as contemplated by the ACO, and that construction of the Waterline will commence shortly.</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recorded an environmental remediation liability associated with the future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 The changes to the environmental remediation liability associated with the Southbridge Landfill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6"/>
                <w:szCs w:val="16"/>
                <w:color w:val="auto"/>
              </w:rPr>
            </w:pPr>
          </w:p>
        </w:tc>
      </w:tr>
      <w:tr>
        <w:trPr>
          <w:trHeight w:val="264"/>
        </w:trPr>
        <w:tc>
          <w:tcPr>
            <w:tcW w:w="83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Accretion expense</w:t>
            </w: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incurred</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Obligations settled (1)</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9"/>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November 2016, SRD received a cease and desist order (“Order”) from the Charlton alternate zoning enforcement officer, alleging that two storm water detention basins on SRD’s property in Charlton existed in violation of Charlton zoning requirements. SRD appealed the Order to the Charlton Zoning Board of Appeals, which upheld the Order. In June 2018, the Massachusetts Land Court approved a settlement reached between SRD and Charlton resolving all issues associated with the Order. Based on this settlement with Charlton, we will pay a total of $0.9 million in cash, and will provide ancillary services to Charlton over the next five (5) years for a total of cash and services of approximately $1,2 million. This matter is now resolved. We will make payment of the cash portion of this settlement by the end of August 2018. We have recorded a reserve of $1.2 million as of June 30, 2018, which is recorded as part of the Southbridge Landfill closure charge in the six months ended June 30, 2018.</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00" w:right="239" w:bottom="1440" w:gutter="0" w:footer="0" w:header="0"/>
        </w:sectPr>
      </w:pPr>
    </w:p>
    <w:bookmarkStart w:id="52" w:name="page53"/>
    <w:bookmarkEnd w:id="52"/>
    <w:p>
      <w:pPr>
        <w:spacing w:after="0" w:line="269" w:lineRule="auto"/>
        <w:rPr>
          <w:sz w:val="20"/>
          <w:szCs w:val="20"/>
          <w:color w:val="auto"/>
        </w:rPr>
      </w:pPr>
      <w:r>
        <w:rPr>
          <w:rFonts w:ascii="Arial" w:cs="Arial" w:eastAsia="Arial" w:hAnsi="Arial"/>
          <w:sz w:val="17"/>
          <w:szCs w:val="17"/>
          <w:color w:val="auto"/>
        </w:rPr>
        <w:t>In August 2016, we filed a complaint against Steadfast Insurance Company (“Steadfast”) in the Superior Court of Suffolk County, Massachusetts (the "Court"), alleging among other things, that Steadfast breached its Pollution Liability Policy (“Policy”) purchased by us in April 2015, by refusing to acknowledge coverage under the Policy, and refusing to cover any of the costs and liabilities incurred by us as described above as well as costs and liabilities that we may incur in the future. Steadfast filed an answer and counterclaim in September 2016, denying that it has any obligations to us under the Policy, and seeking a declaratory judgment of Steadfast’s obligations under the Policy. Steadfast filed a Motion to Dismiss (the "Motion") our litigation against it, and we filed our response on July 11, 2017. On September 7, 2017, the Court denied the Motion. On July 17, 2018, we reached an agreement with Steadfast settling this litigation (the “Settlement”). Pursuant to the Settlement, Steadfast agreed to partially reimburse us for direct costs incurred or to be incurred by us under the ACO, as well as for substantial investigative costs associated with our efforts to ascertain the source of contaminants and other costs related to the Charlton 21E Obligations. Additionally, the Settlement payment is intended to reimburse us for all costs and liabilities arising out of the Litigation. Steadfast’s payment to us will be $10.0 million. The Settlement is subject to the finalization of an agreement detailing the terms of the Settlement, including appropriate releases of Steadfast, and is subject to Court approval.</w:t>
      </w:r>
    </w:p>
    <w:p>
      <w:pPr>
        <w:spacing w:after="0" w:line="18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June 13, 2017, Town voters rejected a non-binding ballot initiative intended to provide guidance to Town officials with respect to our pursuit of other landfill development opportunities at the Southbridge Landfill. Following such rejection by the Town voters, our board of directors and senior management determined after due consideration of all facts and circumstances that it is no longer likely that further development at the existing landfill site will generate an adequate risk adjusted return at the Southbridge Landfill, and accordingly we expect to cease operations at the Southbridge Landfill when no further capacity is available, expected by no later than early 2019. We delivered correspondence to the Town to this effect on August 3, 2017, citing events of Change in Law and Force Majeure pursuant to our May 29, 2007 Extension Agreement with the Town ("Extension Agreement") and the impacts of such events on further expansion of the Southbridge Landfill. We have advised the Town that we see no economically feasible way to operate the Southbridge Landfill beyond its current permitted life and we have filed a closure plan with MADEP. Following cessation of operations, we will proceed to conduct proper closure and other activities at the Southbridge Landfill in accordance with the Extension Agreement with the Town, and Federal, state and local law. We reached this conclusion after carefully evaluating the estimated future costs associated with the permitting, engineering and construction activities for the planned expansion of the Southbridge Landfill against the possible outcomes of the permitting process and the anticipated future benefits of successful expansions. Under the Extension Agreement, which we account for as an operating lease, there are potential contractual obligations and commitments, including future cash payments of $2.2 million and services that extend beyond the current useful life of the Southbridge Landfill. In accordance with FASB ASC 420 - Exit or Disposal Cost Obligations, a liability for costs to be incurred under a contract for its remaining term without economic benefit shall be recognized when we cease using the right conveyed by the contract. We may incur a loss associated with these potential contractual obligations upon cessation of operations at the Southbridge Landfill when remaining capacity is exhausted by the placement of waste at the site. In this respect, the Town had, on or about April 11, 2018, filed a motion for a declaratory judgment and injunctive relief in the United States District Court for the District of Massachusetts (the “District Court”) seeking a judgment from the District Court as to the rights of the parties pursuant to the Extension Agreement, and injunctive relief to prevent us from discontinuing free collection and disposal of the Town’s municipal waste when the Southbridge Landfill ceases to accept waste (the “Town Equity Litigation”). We are vigorously defending the Town Equity Litigation on its merits, and further, on the grounds that the Town Equity Litigation is not in compliance with the procedures for dispute resolution as set forth in the Extension Agreement. On June 26, 2018, the District Court denied the Town’s request for a preliminary injunction without prejudice.</w:t>
      </w:r>
    </w:p>
    <w:p>
      <w:pPr>
        <w:spacing w:after="0" w:line="18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0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 million.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 million.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It is unlikely that any significant expenditures relating to onsite remediation will be incurred until the fiscal year ending December 31, 2019. WSI is jointly and severally liable with NiMo, Alcoa and Reynolds for the total cost to remediate.</w:t>
      </w:r>
    </w:p>
    <w:p>
      <w:pPr>
        <w:spacing w:after="0" w:line="183"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We have recorded an environmental remediation liability associated with the Potsdam site based on incurred costs to date and estimated costs to complete the remediation in other accrued liabilities and other long-term liabilities. Our expenditures could be significantly higher if costs exceed estimates. We inflate the estimated costs in current dollars to the expected time of payment and discount the total cost to present value using a risk-free interest rate of 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the environmental remediation liability associated with the Potsdam environmental remediation liability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Obligations settled</w:t>
            </w:r>
          </w:p>
        </w:tc>
        <w:tc>
          <w:tcPr>
            <w:tcW w:w="104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or about March 8, 2018, the Citizen Groups described above, delivered correspondence to our subsidiary, North Country Environmental Services, Inc. ("NCES") and us, providing notice of the Citizen Groups' intent to sue NCES and us for violations of the CWA in conjunction with NCES's operation of its landfill in Bethlehem, New Hampshire. On May 14, 2018, the Citizen Groups filed a lawsuit against NCES and us in the United States District Court for the District of New Hampshire (the “New Hampshire Court”) alleging violations of the CWA, arguing that ground water discharging into the Ammonoosuc River is a "point source" under the CWA. On June 15, 2018, we and NCES filed a Motion to Dismiss in the New Hampshire Court. On July 13, 2018, the Citizen Groups filed objections to our Motion to Dismiss. On July 27, 2018, we filed a reply in support of our Motion to Dismiss. We intend to continue to vigorously defend against this litigation, which we believe is without merit.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00" w:right="239" w:bottom="1440" w:gutter="0" w:footer="0" w:header="0"/>
        </w:sectPr>
      </w:pPr>
    </w:p>
    <w:bookmarkStart w:id="54" w:name="page55"/>
    <w:bookmarkEnd w:id="54"/>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is subject to a number of risks, including those identified in Item 1A, “Risk Factors” of our Annual Report on Form 10-K for the fiscal year ended December 31, 2017, that could have a material effect on our business, results of operations, financial condition and/or liquidity and that could cause our operating results to vary significantly from period to period. As of June 30, 2018, there have been no material changes to the risk factors disclosed in our Annual Report on Form 10-K for the fiscal year ended December 31, 2017. We may disclose additional changes to our risk factors or disclose additional factors from time to time in our future filings with the SEC.</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ectPr>
          <w:pgSz w:w="11900" w:h="16838" w:orient="portrait"/>
          <w:cols w:equalWidth="0" w:num="1">
            <w:col w:w="11420"/>
          </w:cols>
          <w:pgMar w:left="240" w:top="796" w:right="239" w:bottom="1440" w:gutter="0" w:footer="0" w:header="0"/>
        </w:sectPr>
      </w:pPr>
    </w:p>
    <w:p>
      <w:pPr>
        <w:spacing w:after="0" w:line="383" w:lineRule="exact"/>
        <w:rPr>
          <w:sz w:val="20"/>
          <w:szCs w:val="20"/>
          <w:color w:val="auto"/>
        </w:rPr>
      </w:pPr>
    </w:p>
    <w:p>
      <w:pPr>
        <w:jc w:val="center"/>
        <w:ind w:left="28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43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4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23495</wp:posOffset>
            </wp:positionV>
            <wp:extent cx="65176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192" w:lineRule="exact"/>
        <w:rPr>
          <w:sz w:val="20"/>
          <w:szCs w:val="20"/>
          <w:color w:val="auto"/>
        </w:rPr>
      </w:pPr>
    </w:p>
    <w:p>
      <w:pPr>
        <w:ind w:right="40"/>
        <w:spacing w:after="0" w:line="302" w:lineRule="auto"/>
        <w:rPr>
          <w:rFonts w:ascii="Arial" w:cs="Arial" w:eastAsia="Arial" w:hAnsi="Arial"/>
          <w:sz w:val="16"/>
          <w:szCs w:val="16"/>
          <w:u w:val="single" w:color="auto"/>
          <w:color w:val="0000FF"/>
        </w:rPr>
      </w:pPr>
      <w:hyperlink r:id="rId69">
        <w:r>
          <w:rPr>
            <w:rFonts w:ascii="Arial" w:cs="Arial" w:eastAsia="Arial" w:hAnsi="Arial"/>
            <w:sz w:val="16"/>
            <w:szCs w:val="16"/>
            <w:u w:val="single" w:color="auto"/>
            <w:color w:val="0000FF"/>
          </w:rPr>
          <w:t>Credit Agreement, dated as of May 14, 2018, among Casella Waste Systems, Inc., the subsidiaries of Casella Waste Systems, Inc. identified</w:t>
        </w:r>
      </w:hyperlink>
      <w:r>
        <w:rPr>
          <w:rFonts w:ascii="Arial" w:cs="Arial" w:eastAsia="Arial" w:hAnsi="Arial"/>
          <w:sz w:val="16"/>
          <w:szCs w:val="16"/>
          <w:u w:val="single" w:color="auto"/>
          <w:color w:val="0000FF"/>
        </w:rPr>
        <w:t xml:space="preserve"> </w:t>
      </w:r>
      <w:hyperlink r:id="rId69">
        <w:r>
          <w:rPr>
            <w:rFonts w:ascii="Arial" w:cs="Arial" w:eastAsia="Arial" w:hAnsi="Arial"/>
            <w:sz w:val="16"/>
            <w:szCs w:val="16"/>
            <w:u w:val="single" w:color="auto"/>
            <w:color w:val="0000FF"/>
          </w:rPr>
          <w:t>therein, Bank of America, N.A., as administrative agent, Merrill Lynch, Pierce Fenner &amp; Smith Incorporated, Citizens Bank, N.A., JPMorgan</w:t>
        </w:r>
      </w:hyperlink>
      <w:r>
        <w:rPr>
          <w:rFonts w:ascii="Arial" w:cs="Arial" w:eastAsia="Arial" w:hAnsi="Arial"/>
          <w:sz w:val="16"/>
          <w:szCs w:val="16"/>
          <w:u w:val="single" w:color="auto"/>
          <w:color w:val="0000FF"/>
        </w:rPr>
        <w:t xml:space="preserve"> </w:t>
      </w:r>
      <w:hyperlink r:id="rId69">
        <w:r>
          <w:rPr>
            <w:rFonts w:ascii="Arial" w:cs="Arial" w:eastAsia="Arial" w:hAnsi="Arial"/>
            <w:sz w:val="16"/>
            <w:szCs w:val="16"/>
            <w:u w:val="single" w:color="auto"/>
            <w:color w:val="0000FF"/>
          </w:rPr>
          <w:t>Chase Bank, N.A. and Comerica Bank as joint lead arrangers, and the lenders party thereto (incorporated herein by reference to Exhibit 10.1</w:t>
        </w:r>
      </w:hyperlink>
      <w:r>
        <w:rPr>
          <w:rFonts w:ascii="Arial" w:cs="Arial" w:eastAsia="Arial" w:hAnsi="Arial"/>
          <w:sz w:val="16"/>
          <w:szCs w:val="16"/>
          <w:u w:val="single" w:color="auto"/>
          <w:color w:val="0000FF"/>
        </w:rPr>
        <w:t xml:space="preserve"> </w:t>
      </w:r>
      <w:hyperlink r:id="rId69">
        <w:r>
          <w:rPr>
            <w:rFonts w:ascii="Arial" w:cs="Arial" w:eastAsia="Arial" w:hAnsi="Arial"/>
            <w:sz w:val="16"/>
            <w:szCs w:val="16"/>
            <w:u w:val="single" w:color="auto"/>
            <w:color w:val="0000FF"/>
          </w:rPr>
          <w:t>to the current report on Form 8-K of Casella Waste Systems, Inc. as filed on May 15, 2018 (file no. 000-23211)).</w:t>
        </w:r>
      </w:hyperlink>
    </w:p>
    <w:p>
      <w:pPr>
        <w:spacing w:after="0" w:line="97" w:lineRule="exact"/>
        <w:rPr>
          <w:rFonts w:ascii="Arial" w:cs="Arial" w:eastAsia="Arial" w:hAnsi="Arial"/>
          <w:sz w:val="16"/>
          <w:szCs w:val="16"/>
          <w:u w:val="single" w:color="auto"/>
          <w:color w:val="0000FF"/>
        </w:rPr>
      </w:pPr>
    </w:p>
    <w:p>
      <w:pPr>
        <w:sectPr>
          <w:pgSz w:w="11900" w:h="16838" w:orient="portrait"/>
          <w:cols w:equalWidth="0" w:num="2">
            <w:col w:w="740" w:space="440"/>
            <w:col w:w="10240"/>
          </w:cols>
          <w:pgMar w:left="240" w:top="796" w:right="239" w:bottom="1440" w:gutter="0" w:footer="0" w:header="0"/>
          <w:type w:val="continuous"/>
        </w:sectPr>
      </w:pPr>
    </w:p>
    <w:tbl>
      <w:tblPr>
        <w:tblLayout w:type="fixed"/>
        <w:tblInd w:w="180" w:type="dxa"/>
        <w:tblCellMar>
          <w:top w:w="0" w:type="dxa"/>
          <w:left w:w="0" w:type="dxa"/>
          <w:bottom w:w="0" w:type="dxa"/>
          <w:right w:w="0" w:type="dxa"/>
        </w:tblCellMar>
      </w:tblPr>
      <w:tr>
        <w:trPr>
          <w:trHeight w:val="207"/>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0"/>
              </w:rPr>
              <w:t>31.1 +</w:t>
            </w:r>
          </w:p>
        </w:tc>
        <w:tc>
          <w:tcPr>
            <w:tcW w:w="10080" w:type="dxa"/>
            <w:vAlign w:val="bottom"/>
            <w:gridSpan w:val="5"/>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Certification of John W. Casella, Principal Executive Officer, pursuant to Section 302 of the Sarbanes – Oxley Act of 2002.</w:t>
              </w:r>
            </w:hyperlink>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0"/>
              </w:rPr>
              <w:t>31.2 +</w:t>
            </w:r>
          </w:p>
        </w:tc>
        <w:tc>
          <w:tcPr>
            <w:tcW w:w="10080" w:type="dxa"/>
            <w:vAlign w:val="bottom"/>
            <w:gridSpan w:val="5"/>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Certification of Edmond R. Coletta, Principal Financial Officer, pursuant to Section 302 of the Sarbanes – Oxley Act of 2002.</w:t>
              </w:r>
            </w:hyperlink>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6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1"/>
              </w:rPr>
              <w:t>32.1 ++</w:t>
            </w:r>
          </w:p>
        </w:tc>
        <w:tc>
          <w:tcPr>
            <w:tcW w:w="1008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Certification of Chief Executive Officer pursuant to 18 U.S.C. Section 1350, as adopted pursuant to Section 906 of the Sarbanes- Oxley Act</w:t>
              </w:r>
            </w:hyperlink>
          </w:p>
        </w:tc>
      </w:tr>
      <w:tr>
        <w:trPr>
          <w:trHeight w:val="196"/>
        </w:trPr>
        <w:tc>
          <w:tcPr>
            <w:tcW w:w="1000" w:type="dxa"/>
            <w:vAlign w:val="bottom"/>
          </w:tcPr>
          <w:p>
            <w:pPr>
              <w:spacing w:after="0"/>
              <w:rPr>
                <w:sz w:val="17"/>
                <w:szCs w:val="17"/>
                <w:color w:val="auto"/>
              </w:rPr>
            </w:pPr>
          </w:p>
        </w:tc>
        <w:tc>
          <w:tcPr>
            <w:tcW w:w="10080" w:type="dxa"/>
            <w:vAlign w:val="bottom"/>
            <w:gridSpan w:val="5"/>
          </w:tcPr>
          <w:p>
            <w:pPr>
              <w:spacing w:after="0" w:line="196" w:lineRule="exact"/>
              <w:rPr>
                <w:rFonts w:ascii="Arial" w:cs="Arial" w:eastAsia="Arial" w:hAnsi="Arial"/>
                <w:sz w:val="18"/>
                <w:szCs w:val="18"/>
                <w:color w:val="0000FF"/>
              </w:rPr>
            </w:pPr>
            <w:hyperlink w:anchor="page59">
              <w:r>
                <w:rPr>
                  <w:rFonts w:ascii="Arial" w:cs="Arial" w:eastAsia="Arial" w:hAnsi="Arial"/>
                  <w:sz w:val="18"/>
                  <w:szCs w:val="18"/>
                  <w:color w:val="0000FF"/>
                </w:rPr>
                <w:t>of 2002.</w:t>
              </w:r>
            </w:hyperlink>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1"/>
              </w:rPr>
              <w:t>32.2 ++</w:t>
            </w:r>
          </w:p>
        </w:tc>
        <w:tc>
          <w:tcPr>
            <w:tcW w:w="1004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60">
              <w:r>
                <w:rPr>
                  <w:rFonts w:ascii="Arial" w:cs="Arial" w:eastAsia="Arial" w:hAnsi="Arial"/>
                  <w:sz w:val="18"/>
                  <w:szCs w:val="18"/>
                  <w:color w:val="0000FF"/>
                  <w:w w:val="91"/>
                </w:rPr>
                <w:t>Certification of Chief Financial Officer pursuant to 18 U.S.C. Section 1350, as adopted pursuant to Section 906 of the Sarbanes- Oxley Act</w:t>
              </w:r>
            </w:hyperlink>
          </w:p>
        </w:tc>
        <w:tc>
          <w:tcPr>
            <w:tcW w:w="4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0080" w:type="dxa"/>
            <w:vAlign w:val="bottom"/>
            <w:gridSpan w:val="5"/>
          </w:tcPr>
          <w:p>
            <w:pPr>
              <w:spacing w:after="0" w:line="196" w:lineRule="exact"/>
              <w:rPr>
                <w:rFonts w:ascii="Arial" w:cs="Arial" w:eastAsia="Arial" w:hAnsi="Arial"/>
                <w:sz w:val="18"/>
                <w:szCs w:val="18"/>
                <w:color w:val="0000FF"/>
              </w:rPr>
            </w:pPr>
            <w:hyperlink w:anchor="page60">
              <w:r>
                <w:rPr>
                  <w:rFonts w:ascii="Arial" w:cs="Arial" w:eastAsia="Arial" w:hAnsi="Arial"/>
                  <w:sz w:val="18"/>
                  <w:szCs w:val="18"/>
                  <w:color w:val="0000FF"/>
                </w:rPr>
                <w:t>of 2002.</w:t>
              </w:r>
            </w:hyperlink>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80" w:type="dxa"/>
            <w:vAlign w:val="bottom"/>
            <w:gridSpan w:val="4"/>
          </w:tcPr>
          <w:p>
            <w:pPr>
              <w:spacing w:after="0" w:line="20" w:lineRule="exact"/>
              <w:rPr>
                <w:sz w:val="1"/>
                <w:szCs w:val="1"/>
                <w:color w:val="auto"/>
              </w:rPr>
            </w:pPr>
          </w:p>
        </w:tc>
      </w:tr>
      <w:tr>
        <w:trPr>
          <w:trHeight w:val="412"/>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2"/>
              </w:rPr>
              <w:t>101.INS</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0"/>
              </w:rPr>
              <w:t>101.SCH</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7"/>
              </w:rPr>
              <w:t>101.CAL</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392"/>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8"/>
              </w:rPr>
              <w:t>101.LAB</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Label Linkbase Document.**</w:t>
            </w:r>
          </w:p>
        </w:tc>
      </w:tr>
      <w:tr>
        <w:trPr>
          <w:trHeight w:val="392"/>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88"/>
              </w:rPr>
              <w:t>101.PRE</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Presentation Linkbase Document.**</w:t>
            </w:r>
          </w:p>
        </w:tc>
      </w:tr>
      <w:tr>
        <w:trPr>
          <w:trHeight w:val="392"/>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2"/>
              </w:rPr>
              <w:t>101.DEF</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175" w:lineRule="exact"/>
        <w:rPr>
          <w:sz w:val="20"/>
          <w:szCs w:val="20"/>
          <w:color w:val="auto"/>
        </w:rPr>
      </w:pPr>
    </w:p>
    <w:p>
      <w:pPr>
        <w:ind w:left="1180" w:right="140" w:hanging="742"/>
        <w:spacing w:after="0" w:line="255"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Submitted Electronically Herewith. Attached as Exhibit 101 to this report are the following formatted in XBRL (Extensible Business Reporting Language): (i) Consolidated Balance Sheets as of June 30, 2018 and December 31, 2017, (ii) Consolidated Statements of Operations for the three and six months ended June 30, 2018 and 2017, (iii) Consolidated Statements of Comprehensive Income (Loss) for the three and six months ended June 30, 2018 and 2017, (iv) Consolidated Statement of Stockholders’ Deficit for the six months ended June 30, 2018, (v) Consolidated Statements of Cash Flows for the six months ended June 30, 2018 and 2017, and (vi) Notes to Consolidated Financial Statements.</w:t>
      </w:r>
    </w:p>
    <w:p>
      <w:pPr>
        <w:spacing w:after="0" w:line="31" w:lineRule="exact"/>
        <w:rPr>
          <w:sz w:val="20"/>
          <w:szCs w:val="20"/>
          <w:color w:val="auto"/>
        </w:rPr>
      </w:pPr>
    </w:p>
    <w:p>
      <w:pPr>
        <w:ind w:left="1180" w:hanging="703"/>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180" w:hanging="754"/>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96" w:right="239" w:bottom="1440" w:gutter="0" w:footer="0" w:header="0"/>
          <w:type w:val="continuous"/>
        </w:sectPr>
      </w:pPr>
    </w:p>
    <w:bookmarkStart w:id="55" w:name="page56"/>
    <w:bookmarkEnd w:id="55"/>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Casella Waste Systems, Inc.</w:t>
            </w:r>
          </w:p>
        </w:tc>
      </w:tr>
      <w:tr>
        <w:trPr>
          <w:trHeight w:val="594"/>
        </w:trPr>
        <w:tc>
          <w:tcPr>
            <w:tcW w:w="3740" w:type="dxa"/>
            <w:vAlign w:val="bottom"/>
          </w:tcPr>
          <w:p>
            <w:pPr>
              <w:spacing w:after="0"/>
              <w:rPr>
                <w:sz w:val="20"/>
                <w:szCs w:val="20"/>
                <w:color w:val="auto"/>
              </w:rPr>
            </w:pPr>
            <w:r>
              <w:rPr>
                <w:rFonts w:ascii="Arial" w:cs="Arial" w:eastAsia="Arial" w:hAnsi="Arial"/>
                <w:sz w:val="18"/>
                <w:szCs w:val="18"/>
                <w:color w:val="auto"/>
              </w:rPr>
              <w:t>Date: August 3, 2018</w:t>
            </w:r>
          </w:p>
        </w:tc>
        <w:tc>
          <w:tcPr>
            <w:tcW w:w="5360" w:type="dxa"/>
            <w:vAlign w:val="bottom"/>
          </w:tcPr>
          <w:p>
            <w:pPr>
              <w:ind w:left="20"/>
              <w:spacing w:after="0"/>
              <w:rPr>
                <w:sz w:val="20"/>
                <w:szCs w:val="20"/>
                <w:color w:val="auto"/>
              </w:rPr>
            </w:pPr>
            <w:r>
              <w:rPr>
                <w:rFonts w:ascii="Arial" w:cs="Arial" w:eastAsia="Arial" w:hAnsi="Arial"/>
                <w:sz w:val="18"/>
                <w:szCs w:val="18"/>
                <w:color w:val="auto"/>
              </w:rPr>
              <w:t>By: /s/ Christopher B. Heald</w:t>
            </w:r>
          </w:p>
        </w:tc>
      </w:tr>
      <w:tr>
        <w:trPr>
          <w:trHeight w:val="27"/>
        </w:trPr>
        <w:tc>
          <w:tcPr>
            <w:tcW w:w="37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Christopher B. Heald</w:t>
            </w:r>
          </w:p>
        </w:tc>
      </w:tr>
      <w:tr>
        <w:trPr>
          <w:trHeight w:val="270"/>
        </w:trPr>
        <w:tc>
          <w:tcPr>
            <w:tcW w:w="37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Vice President and Chief Accounting Officer</w:t>
            </w:r>
          </w:p>
        </w:tc>
      </w:tr>
      <w:tr>
        <w:trPr>
          <w:trHeight w:val="270"/>
        </w:trPr>
        <w:tc>
          <w:tcPr>
            <w:tcW w:w="37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594"/>
        </w:trPr>
        <w:tc>
          <w:tcPr>
            <w:tcW w:w="3740" w:type="dxa"/>
            <w:vAlign w:val="bottom"/>
          </w:tcPr>
          <w:p>
            <w:pPr>
              <w:spacing w:after="0"/>
              <w:rPr>
                <w:sz w:val="20"/>
                <w:szCs w:val="20"/>
                <w:color w:val="auto"/>
              </w:rPr>
            </w:pPr>
            <w:r>
              <w:rPr>
                <w:rFonts w:ascii="Arial" w:cs="Arial" w:eastAsia="Arial" w:hAnsi="Arial"/>
                <w:sz w:val="18"/>
                <w:szCs w:val="18"/>
                <w:color w:val="auto"/>
              </w:rPr>
              <w:t>Date: August 3, 2018</w:t>
            </w:r>
          </w:p>
        </w:tc>
        <w:tc>
          <w:tcPr>
            <w:tcW w:w="5360" w:type="dxa"/>
            <w:vAlign w:val="bottom"/>
          </w:tcPr>
          <w:p>
            <w:pPr>
              <w:ind w:left="20"/>
              <w:spacing w:after="0"/>
              <w:rPr>
                <w:sz w:val="20"/>
                <w:szCs w:val="20"/>
                <w:color w:val="auto"/>
              </w:rPr>
            </w:pPr>
            <w:r>
              <w:rPr>
                <w:rFonts w:ascii="Arial" w:cs="Arial" w:eastAsia="Arial" w:hAnsi="Arial"/>
                <w:sz w:val="18"/>
                <w:szCs w:val="18"/>
                <w:color w:val="auto"/>
              </w:rPr>
              <w:t>By: /s/ Edmond R. Coletta</w:t>
            </w:r>
          </w:p>
        </w:tc>
      </w:tr>
      <w:tr>
        <w:trPr>
          <w:trHeight w:val="27"/>
        </w:trPr>
        <w:tc>
          <w:tcPr>
            <w:tcW w:w="37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Edmond R. Coletta</w:t>
            </w:r>
          </w:p>
        </w:tc>
      </w:tr>
      <w:tr>
        <w:trPr>
          <w:trHeight w:val="270"/>
        </w:trPr>
        <w:tc>
          <w:tcPr>
            <w:tcW w:w="37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70"/>
        </w:trPr>
        <w:tc>
          <w:tcPr>
            <w:tcW w:w="37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3740" w:type="dxa"/>
            <w:vAlign w:val="bottom"/>
          </w:tcPr>
          <w:p>
            <w:pPr>
              <w:spacing w:after="0"/>
              <w:rPr>
                <w:sz w:val="24"/>
                <w:szCs w:val="24"/>
                <w:color w:val="auto"/>
              </w:rPr>
            </w:pPr>
          </w:p>
        </w:tc>
        <w:tc>
          <w:tcPr>
            <w:tcW w:w="5360" w:type="dxa"/>
            <w:vAlign w:val="bottom"/>
          </w:tcPr>
          <w:p>
            <w:pPr>
              <w:ind w:left="1840"/>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220"/>
          </w:cols>
          <w:pgMar w:left="240" w:top="796" w:right="4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John W. Casella, certify that:</w:t>
      </w:r>
    </w:p>
    <w:p>
      <w:pPr>
        <w:spacing w:after="0" w:line="144" w:lineRule="exact"/>
        <w:rPr>
          <w:sz w:val="20"/>
          <w:szCs w:val="20"/>
          <w:color w:val="auto"/>
        </w:rPr>
      </w:pPr>
    </w:p>
    <w:p>
      <w:pPr>
        <w:ind w:left="800" w:hanging="387"/>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57" w:lineRule="exact"/>
        <w:rPr>
          <w:rFonts w:ascii="Arial" w:cs="Arial" w:eastAsia="Arial" w:hAnsi="Arial"/>
          <w:sz w:val="18"/>
          <w:szCs w:val="18"/>
          <w:color w:val="auto"/>
        </w:rPr>
      </w:pPr>
    </w:p>
    <w:p>
      <w:pPr>
        <w:jc w:val="both"/>
        <w:ind w:left="420" w:right="160" w:hanging="7"/>
        <w:spacing w:after="0" w:line="311" w:lineRule="auto"/>
        <w:tabs>
          <w:tab w:leader="none" w:pos="798"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left="420" w:right="320" w:hanging="7"/>
        <w:spacing w:after="0" w:line="395" w:lineRule="auto"/>
        <w:tabs>
          <w:tab w:leader="none" w:pos="798"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left="420" w:right="120" w:hanging="7"/>
        <w:spacing w:after="0" w:line="311" w:lineRule="auto"/>
        <w:tabs>
          <w:tab w:leader="none" w:pos="79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20" w:right="200" w:firstLine="479"/>
        <w:spacing w:after="0" w:line="311" w:lineRule="auto"/>
        <w:tabs>
          <w:tab w:leader="none" w:pos="1451"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140" w:firstLine="479"/>
        <w:spacing w:after="0" w:line="311" w:lineRule="auto"/>
        <w:tabs>
          <w:tab w:leader="none" w:pos="1461"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280" w:firstLine="479"/>
        <w:spacing w:after="0" w:line="395" w:lineRule="auto"/>
        <w:tabs>
          <w:tab w:leader="none" w:pos="1451"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0" w:firstLine="479"/>
        <w:spacing w:after="0" w:line="311" w:lineRule="auto"/>
        <w:tabs>
          <w:tab w:leader="none" w:pos="1461"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20" w:right="40" w:hanging="7"/>
        <w:spacing w:after="0" w:line="357" w:lineRule="auto"/>
        <w:tabs>
          <w:tab w:leader="none" w:pos="798"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420" w:right="480" w:firstLine="479"/>
        <w:spacing w:after="0" w:line="357" w:lineRule="auto"/>
        <w:tabs>
          <w:tab w:leader="none" w:pos="1451"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420" w:right="160" w:firstLine="479"/>
        <w:spacing w:after="0" w:line="324" w:lineRule="auto"/>
        <w:tabs>
          <w:tab w:leader="none" w:pos="1461"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August 3, 2018</w:t>
            </w:r>
          </w:p>
        </w:tc>
        <w:tc>
          <w:tcPr>
            <w:tcW w:w="4560" w:type="dxa"/>
            <w:vAlign w:val="bottom"/>
          </w:tcPr>
          <w:p>
            <w:pPr>
              <w:ind w:left="20"/>
              <w:spacing w:after="0"/>
              <w:rPr>
                <w:sz w:val="20"/>
                <w:szCs w:val="20"/>
                <w:color w:val="auto"/>
              </w:rPr>
            </w:pPr>
            <w:r>
              <w:rPr>
                <w:rFonts w:ascii="Arial" w:cs="Arial" w:eastAsia="Arial" w:hAnsi="Arial"/>
                <w:sz w:val="18"/>
                <w:szCs w:val="18"/>
                <w:color w:val="auto"/>
              </w:rPr>
              <w:t>By: /s/ John W. Casella</w:t>
            </w:r>
          </w:p>
        </w:tc>
      </w:tr>
      <w:tr>
        <w:trPr>
          <w:trHeight w:val="27"/>
        </w:trPr>
        <w:tc>
          <w:tcPr>
            <w:tcW w:w="56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5680" w:type="dxa"/>
            <w:vAlign w:val="bottom"/>
          </w:tcPr>
          <w:p>
            <w:pPr>
              <w:spacing w:after="0"/>
              <w:rPr>
                <w:sz w:val="23"/>
                <w:szCs w:val="23"/>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Edmond R. Coletta, certify that:</w:t>
      </w:r>
    </w:p>
    <w:p>
      <w:pPr>
        <w:spacing w:after="0" w:line="144" w:lineRule="exact"/>
        <w:rPr>
          <w:sz w:val="20"/>
          <w:szCs w:val="20"/>
          <w:color w:val="auto"/>
        </w:rPr>
      </w:pPr>
    </w:p>
    <w:p>
      <w:pPr>
        <w:ind w:left="800" w:hanging="387"/>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57" w:lineRule="exact"/>
        <w:rPr>
          <w:rFonts w:ascii="Arial" w:cs="Arial" w:eastAsia="Arial" w:hAnsi="Arial"/>
          <w:sz w:val="18"/>
          <w:szCs w:val="18"/>
          <w:color w:val="auto"/>
        </w:rPr>
      </w:pPr>
    </w:p>
    <w:p>
      <w:pPr>
        <w:jc w:val="both"/>
        <w:ind w:left="420" w:right="160" w:hanging="7"/>
        <w:spacing w:after="0" w:line="311" w:lineRule="auto"/>
        <w:tabs>
          <w:tab w:leader="none" w:pos="798"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left="420" w:right="320" w:hanging="7"/>
        <w:spacing w:after="0" w:line="395" w:lineRule="auto"/>
        <w:tabs>
          <w:tab w:leader="none" w:pos="798"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left="420" w:right="120" w:hanging="7"/>
        <w:spacing w:after="0" w:line="311" w:lineRule="auto"/>
        <w:tabs>
          <w:tab w:leader="none" w:pos="79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20" w:right="200" w:firstLine="479"/>
        <w:spacing w:after="0" w:line="311" w:lineRule="auto"/>
        <w:tabs>
          <w:tab w:leader="none" w:pos="1451"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140" w:firstLine="479"/>
        <w:spacing w:after="0" w:line="311" w:lineRule="auto"/>
        <w:tabs>
          <w:tab w:leader="none" w:pos="1461"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280" w:firstLine="479"/>
        <w:spacing w:after="0" w:line="395" w:lineRule="auto"/>
        <w:tabs>
          <w:tab w:leader="none" w:pos="1451"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0" w:firstLine="479"/>
        <w:spacing w:after="0" w:line="311" w:lineRule="auto"/>
        <w:tabs>
          <w:tab w:leader="none" w:pos="1461"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20" w:right="40" w:hanging="7"/>
        <w:spacing w:after="0" w:line="357" w:lineRule="auto"/>
        <w:tabs>
          <w:tab w:leader="none" w:pos="79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420" w:right="480" w:firstLine="479"/>
        <w:spacing w:after="0" w:line="357" w:lineRule="auto"/>
        <w:tabs>
          <w:tab w:leader="none" w:pos="1451"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420" w:right="160" w:firstLine="479"/>
        <w:spacing w:after="0" w:line="324" w:lineRule="auto"/>
        <w:tabs>
          <w:tab w:leader="none" w:pos="1461"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August 3, 2018</w:t>
            </w:r>
          </w:p>
        </w:tc>
        <w:tc>
          <w:tcPr>
            <w:tcW w:w="4560" w:type="dxa"/>
            <w:vAlign w:val="bottom"/>
          </w:tcPr>
          <w:p>
            <w:pPr>
              <w:ind w:left="20"/>
              <w:spacing w:after="0"/>
              <w:rPr>
                <w:sz w:val="20"/>
                <w:szCs w:val="20"/>
                <w:color w:val="auto"/>
              </w:rPr>
            </w:pPr>
            <w:r>
              <w:rPr>
                <w:rFonts w:ascii="Arial" w:cs="Arial" w:eastAsia="Arial" w:hAnsi="Arial"/>
                <w:sz w:val="18"/>
                <w:szCs w:val="18"/>
                <w:color w:val="auto"/>
              </w:rPr>
              <w:t>By: /s/ Edmond R. Coletta</w:t>
            </w:r>
          </w:p>
        </w:tc>
      </w:tr>
      <w:tr>
        <w:trPr>
          <w:trHeight w:val="27"/>
        </w:trPr>
        <w:tc>
          <w:tcPr>
            <w:tcW w:w="56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70"/>
        </w:trPr>
        <w:tc>
          <w:tcPr>
            <w:tcW w:w="5680" w:type="dxa"/>
            <w:vAlign w:val="bottom"/>
          </w:tcPr>
          <w:p>
            <w:pPr>
              <w:spacing w:after="0"/>
              <w:rPr>
                <w:sz w:val="23"/>
                <w:szCs w:val="23"/>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June 30, 2018 as filed with the Securities and Exchange Commission on the date hereof (“Report”), the undersigned, John W. Casella, Chairman and Chief Executive Officer, hereby certifies, pursuant to 18 U.S.C. Section 1350, that, to his knowledge:</w:t>
      </w:r>
    </w:p>
    <w:p>
      <w:pPr>
        <w:spacing w:after="0" w:line="208" w:lineRule="exact"/>
        <w:rPr>
          <w:sz w:val="20"/>
          <w:szCs w:val="20"/>
          <w:color w:val="auto"/>
        </w:rPr>
      </w:pPr>
    </w:p>
    <w:p>
      <w:pPr>
        <w:ind w:left="860" w:hanging="447"/>
        <w:spacing w:after="0"/>
        <w:tabs>
          <w:tab w:leader="none" w:pos="8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860" w:hanging="447"/>
        <w:spacing w:after="0"/>
        <w:tabs>
          <w:tab w:leader="none" w:pos="8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August 3, 2018</w:t>
      </w:r>
      <w:r>
        <w:rPr>
          <w:sz w:val="20"/>
          <w:szCs w:val="20"/>
          <w:color w:val="auto"/>
        </w:rPr>
        <w:tab/>
      </w:r>
      <w:r>
        <w:rPr>
          <w:rFonts w:ascii="Arial" w:cs="Arial" w:eastAsia="Arial" w:hAnsi="Arial"/>
          <w:sz w:val="16"/>
          <w:szCs w:val="16"/>
          <w:color w:val="auto"/>
        </w:rPr>
        <w:t>By: /s/ John W. Casella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June 30, 2018 as filed with the Securities and Exchange Commission on the date hereof (“Report”), the undersigned, Edmond R. Coletta, Senior Vice President and Chief Financial Officer, hereby certifies, pursuant to 18 U.S.C. Section 1350, that, to his knowledge:</w:t>
      </w:r>
    </w:p>
    <w:p>
      <w:pPr>
        <w:spacing w:after="0" w:line="208" w:lineRule="exact"/>
        <w:rPr>
          <w:sz w:val="20"/>
          <w:szCs w:val="20"/>
          <w:color w:val="auto"/>
        </w:rPr>
      </w:pPr>
    </w:p>
    <w:p>
      <w:pPr>
        <w:ind w:left="860" w:hanging="447"/>
        <w:spacing w:after="0"/>
        <w:tabs>
          <w:tab w:leader="none" w:pos="8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860" w:hanging="447"/>
        <w:spacing w:after="0"/>
        <w:tabs>
          <w:tab w:leader="none" w:pos="8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August 3, 2018</w:t>
      </w:r>
      <w:r>
        <w:rPr>
          <w:sz w:val="20"/>
          <w:szCs w:val="20"/>
          <w:color w:val="auto"/>
        </w:rPr>
        <w:tab/>
      </w:r>
      <w:r>
        <w:rPr>
          <w:rFonts w:ascii="Arial" w:cs="Arial" w:eastAsia="Arial" w:hAnsi="Arial"/>
          <w:sz w:val="16"/>
          <w:szCs w:val="16"/>
          <w:color w:val="auto"/>
        </w:rPr>
        <w:t>By: /s/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1."/>
      <w:numFmt w:val="decimal"/>
      <w:start w:val="2"/>
    </w:lvl>
  </w:abstractNum>
  <w:abstractNum w:abstractNumId="4">
    <w:nsid w:val="614FD4A1"/>
    <w:multiLevelType w:val="hybridMultilevel"/>
    <w:lvl w:ilvl="0">
      <w:lvlJc w:val="left"/>
      <w:lvlText w:val="%1."/>
      <w:numFmt w:val="decimal"/>
      <w:start w:val="3"/>
    </w:lvl>
  </w:abstractNum>
  <w:abstractNum w:abstractNumId="5">
    <w:nsid w:val="419AC241"/>
    <w:multiLevelType w:val="hybridMultilevel"/>
    <w:lvl w:ilvl="0">
      <w:lvlJc w:val="left"/>
      <w:lvlText w:val="%1."/>
      <w:numFmt w:val="decimal"/>
      <w:start w:val="5"/>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emdash "/>
      <w:numFmt w:val="bullet"/>
      <w:start w:val="1"/>
    </w:lvl>
  </w:abstractNum>
  <w:abstractNum w:abstractNumId="9">
    <w:nsid w:val="3804823E"/>
    <w:multiLevelType w:val="hybridMultilevel"/>
    <w:lvl w:ilvl="0">
      <w:lvlJc w:val="left"/>
      <w:lvlText w:val="\emdash "/>
      <w:numFmt w:val="bullet"/>
      <w:start w:val="1"/>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1."/>
      <w:numFmt w:val="decimal"/>
      <w:start w:val="8"/>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1."/>
      <w:numFmt w:val="decimal"/>
      <w:start w:val="9"/>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1)"/>
      <w:numFmt w:val="decimal"/>
      <w:start w:val="1"/>
    </w:lvl>
  </w:abstractNum>
  <w:abstractNum w:abstractNumId="18">
    <w:nsid w:val="153EA438"/>
    <w:multiLevelType w:val="hybridMultilevel"/>
    <w:lvl w:ilvl="0">
      <w:lvlJc w:val="left"/>
      <w:lvlText w:val="%1."/>
      <w:numFmt w:val="decimal"/>
      <w:start w:val="10"/>
    </w:lvl>
  </w:abstractNum>
  <w:abstractNum w:abstractNumId="19">
    <w:nsid w:val="3855585C"/>
    <w:multiLevelType w:val="hybridMultilevel"/>
    <w:lvl w:ilvl="0">
      <w:lvlJc w:val="left"/>
      <w:lvlText w:val="(%1)"/>
      <w:numFmt w:val="decimal"/>
      <w:start w:val="1"/>
    </w:lvl>
  </w:abstractNum>
  <w:abstractNum w:abstractNumId="20">
    <w:nsid w:val="70A64E2A"/>
    <w:multiLevelType w:val="hybridMultilevel"/>
    <w:lvl w:ilvl="0">
      <w:lvlJc w:val="left"/>
      <w:lvlText w:val="%1."/>
      <w:numFmt w:val="decimal"/>
      <w:start w:val="12"/>
    </w:lvl>
  </w:abstractNum>
  <w:abstractNum w:abstractNumId="21">
    <w:nsid w:val="6A2342EC"/>
    <w:multiLevelType w:val="hybridMultilevel"/>
    <w:lvl w:ilvl="0">
      <w:lvlJc w:val="left"/>
      <w:lvlText w:val="%1."/>
      <w:numFmt w:val="decimal"/>
      <w:start w:val="13"/>
    </w:lvl>
  </w:abstractNum>
  <w:abstractNum w:abstractNumId="22">
    <w:nsid w:val="2A487CB0"/>
    <w:multiLevelType w:val="hybridMultilevel"/>
    <w:lvl w:ilvl="0">
      <w:lvlJc w:val="left"/>
      <w:lvlText w:val="%1."/>
      <w:numFmt w:val="decimal"/>
      <w:start w:val="14"/>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1)"/>
      <w:numFmt w:val="decimal"/>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69" Type="http://schemas.openxmlformats.org/officeDocument/2006/relationships/hyperlink" Target="http://www.sec.gov/Archives/edgar/data/911177/000091117718000031/cwst-qx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2019-12-28T20:46:00Z</dcterms:created>
  <dcterms:modified xsi:type="dcterms:W3CDTF">2019-12-28T20:46:00Z</dcterms:modified>
</cp:coreProperties>
</file>