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62865</wp:posOffset>
            </wp:positionH>
            <wp:positionV relativeFrom="paragraph">
              <wp:posOffset>226060</wp:posOffset>
            </wp:positionV>
            <wp:extent cx="701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825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191770</wp:posOffset>
            </wp:positionV>
            <wp:extent cx="701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color w:val="auto"/>
        </w:rPr>
        <w:t>____________________________________________________</w:t>
      </w: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color w:val="auto"/>
        </w:rPr>
        <w:t>____________________________________________________</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4" w:lineRule="exact"/>
        <w:rPr>
          <w:sz w:val="24"/>
          <w:szCs w:val="24"/>
          <w:color w:val="auto"/>
        </w:rPr>
      </w:pPr>
    </w:p>
    <w:p>
      <w:pPr>
        <w:ind w:left="640" w:hanging="616"/>
        <w:spacing w:after="0"/>
        <w:tabs>
          <w:tab w:leader="none" w:pos="6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25"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3"/>
              </w:rPr>
              <w:t>Or</w:t>
            </w:r>
          </w:p>
        </w:tc>
        <w:tc>
          <w:tcPr>
            <w:tcW w:w="400" w:type="dxa"/>
            <w:vAlign w:val="bottom"/>
            <w:gridSpan w:val="2"/>
          </w:tcPr>
          <w:p>
            <w:pPr>
              <w:spacing w:after="0" w:line="211" w:lineRule="exact"/>
              <w:rPr>
                <w:sz w:val="20"/>
                <w:szCs w:val="20"/>
                <w:color w:val="auto"/>
              </w:rPr>
            </w:pPr>
            <w:r>
              <w:rPr>
                <w:rFonts w:ascii="MS PGothic" w:cs="MS PGothic" w:eastAsia="MS PGothic" w:hAnsi="MS PGothic"/>
                <w:sz w:val="21"/>
                <w:szCs w:val="21"/>
                <w:color w:val="auto"/>
              </w:rPr>
              <w:t>☐</w:t>
            </w:r>
          </w:p>
        </w:tc>
        <w:tc>
          <w:tcPr>
            <w:tcW w:w="10260" w:type="dxa"/>
            <w:vAlign w:val="bottom"/>
            <w:gridSpan w:val="1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60" w:type="dxa"/>
            <w:vAlign w:val="bottom"/>
            <w:gridSpan w:val="1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700" w:type="dxa"/>
            <w:vAlign w:val="bottom"/>
            <w:tcBorders>
              <w:bottom w:val="single" w:sz="8" w:color="auto"/>
            </w:tcBorders>
          </w:tcPr>
          <w:p>
            <w:pPr>
              <w:spacing w:after="0"/>
              <w:rPr>
                <w:sz w:val="23"/>
                <w:szCs w:val="2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280" w:type="dxa"/>
            <w:vAlign w:val="bottom"/>
            <w:tcBorders>
              <w:bottom w:val="single" w:sz="8" w:color="auto"/>
            </w:tcBorders>
            <w:gridSpan w:val="2"/>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000-23211</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520" w:type="dxa"/>
            <w:vAlign w:val="bottom"/>
            <w:gridSpan w:val="9"/>
          </w:tcPr>
          <w:p>
            <w:pPr>
              <w:jc w:val="center"/>
              <w:spacing w:after="0"/>
              <w:rPr>
                <w:sz w:val="20"/>
                <w:szCs w:val="20"/>
                <w:color w:val="auto"/>
              </w:rPr>
            </w:pPr>
            <w:r>
              <w:rPr>
                <w:rFonts w:ascii="Times New Roman" w:cs="Times New Roman" w:eastAsia="Times New Roman" w:hAnsi="Times New Roman"/>
                <w:sz w:val="11"/>
                <w:szCs w:val="11"/>
                <w:color w:val="auto"/>
                <w:w w:val="96"/>
              </w:rPr>
              <w:t>____________________________________________________</w:t>
            </w:r>
          </w:p>
        </w:tc>
        <w:tc>
          <w:tcPr>
            <w:tcW w:w="1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60" w:type="dxa"/>
            <w:vAlign w:val="bottom"/>
            <w:gridSpan w:val="12"/>
          </w:tcPr>
          <w:p>
            <w:pPr>
              <w:jc w:val="center"/>
              <w:ind w:right="149"/>
              <w:spacing w:after="0"/>
              <w:rPr>
                <w:sz w:val="20"/>
                <w:szCs w:val="20"/>
                <w:color w:val="auto"/>
              </w:rPr>
            </w:pPr>
            <w:r>
              <w:rPr>
                <w:rFonts w:ascii="Times New Roman" w:cs="Times New Roman" w:eastAsia="Times New Roman" w:hAnsi="Times New Roman"/>
                <w:sz w:val="39"/>
                <w:szCs w:val="39"/>
                <w:b w:val="1"/>
                <w:bCs w:val="1"/>
                <w:color w:val="auto"/>
                <w:w w:val="99"/>
              </w:rPr>
              <w:t>CASELLA WASTE SYSTEMS, INC.</w:t>
            </w: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660" w:type="dxa"/>
            <w:vAlign w:val="bottom"/>
            <w:gridSpan w:val="10"/>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520" w:type="dxa"/>
            <w:vAlign w:val="bottom"/>
            <w:gridSpan w:val="9"/>
          </w:tcPr>
          <w:p>
            <w:pPr>
              <w:jc w:val="center"/>
              <w:spacing w:after="0"/>
              <w:rPr>
                <w:sz w:val="20"/>
                <w:szCs w:val="20"/>
                <w:color w:val="auto"/>
              </w:rPr>
            </w:pPr>
            <w:r>
              <w:rPr>
                <w:rFonts w:ascii="Times New Roman" w:cs="Times New Roman" w:eastAsia="Times New Roman" w:hAnsi="Times New Roman"/>
                <w:sz w:val="11"/>
                <w:szCs w:val="11"/>
                <w:color w:val="auto"/>
                <w:w w:val="96"/>
              </w:rPr>
              <w:t>____________________________________________________</w:t>
            </w:r>
          </w:p>
        </w:tc>
        <w:tc>
          <w:tcPr>
            <w:tcW w:w="1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tcPr>
          <w:p>
            <w:pPr>
              <w:jc w:val="center"/>
              <w:ind w:left="101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tcPr>
          <w:p>
            <w:pPr>
              <w:jc w:val="right"/>
              <w:ind w:right="1989"/>
              <w:spacing w:after="0"/>
              <w:rPr>
                <w:sz w:val="20"/>
                <w:szCs w:val="20"/>
                <w:color w:val="auto"/>
              </w:rPr>
            </w:pPr>
            <w:r>
              <w:rPr>
                <w:rFonts w:ascii="Times New Roman" w:cs="Times New Roman" w:eastAsia="Times New Roman" w:hAnsi="Times New Roman"/>
                <w:sz w:val="14"/>
                <w:szCs w:val="14"/>
                <w:b w:val="1"/>
                <w:bCs w:val="1"/>
                <w:color w:val="auto"/>
              </w:rPr>
              <w:t>03-0338873</w:t>
            </w: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40" w:type="dxa"/>
            <w:vAlign w:val="bottom"/>
          </w:tcPr>
          <w:p>
            <w:pPr>
              <w:jc w:val="center"/>
              <w:ind w:left="1015"/>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60" w:type="dxa"/>
            <w:vAlign w:val="bottom"/>
          </w:tcPr>
          <w:p>
            <w:pPr>
              <w:jc w:val="center"/>
              <w:ind w:right="1349"/>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jc w:val="center"/>
              <w:ind w:left="101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60" w:type="dxa"/>
            <w:vAlign w:val="bottom"/>
          </w:tcPr>
          <w:p>
            <w:pPr>
              <w:jc w:val="center"/>
              <w:ind w:right="136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tcPr>
          <w:p>
            <w:pPr>
              <w:jc w:val="center"/>
              <w:ind w:left="1015"/>
              <w:spacing w:after="0"/>
              <w:rPr>
                <w:sz w:val="20"/>
                <w:szCs w:val="20"/>
                <w:color w:val="auto"/>
              </w:rPr>
            </w:pPr>
            <w:r>
              <w:rPr>
                <w:rFonts w:ascii="Times New Roman" w:cs="Times New Roman" w:eastAsia="Times New Roman" w:hAnsi="Times New Roman"/>
                <w:sz w:val="14"/>
                <w:szCs w:val="14"/>
                <w:b w:val="1"/>
                <w:bCs w:val="1"/>
                <w:color w:val="auto"/>
              </w:rPr>
              <w:t>25 Greens Hill Lane, Rutland, VT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tcPr>
          <w:p>
            <w:pPr>
              <w:jc w:val="right"/>
              <w:ind w:right="2149"/>
              <w:spacing w:after="0"/>
              <w:rPr>
                <w:sz w:val="20"/>
                <w:szCs w:val="20"/>
                <w:color w:val="auto"/>
              </w:rPr>
            </w:pPr>
            <w:r>
              <w:rPr>
                <w:rFonts w:ascii="Times New Roman" w:cs="Times New Roman" w:eastAsia="Times New Roman" w:hAnsi="Times New Roman"/>
                <w:sz w:val="14"/>
                <w:szCs w:val="14"/>
                <w:b w:val="1"/>
                <w:bCs w:val="1"/>
                <w:color w:val="auto"/>
              </w:rPr>
              <w:t>05701</w:t>
            </w: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60" w:type="dxa"/>
            <w:vAlign w:val="bottom"/>
            <w:gridSpan w:val="5"/>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Pr>
          <w:p>
            <w:pPr>
              <w:jc w:val="center"/>
              <w:ind w:right="134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66"/>
        </w:trPr>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60" w:type="dxa"/>
            <w:vAlign w:val="bottom"/>
            <w:gridSpan w:val="12"/>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(802) 775-0325</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660" w:type="dxa"/>
            <w:vAlign w:val="bottom"/>
            <w:gridSpan w:val="10"/>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40" w:type="dxa"/>
            <w:vAlign w:val="bottom"/>
            <w:vMerge w:val="restart"/>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2"/>
          </w:tcPr>
          <w:p>
            <w:pPr>
              <w:ind w:left="1040"/>
              <w:spacing w:after="0" w:line="15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60" w:type="dxa"/>
            <w:vAlign w:val="bottom"/>
          </w:tcPr>
          <w:p>
            <w:pPr>
              <w:jc w:val="center"/>
              <w:ind w:right="429"/>
              <w:spacing w:after="0" w:line="15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gridSpan w:val="2"/>
            <w:vMerge w:val="restart"/>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360" w:type="dxa"/>
            <w:vAlign w:val="bottom"/>
            <w:vMerge w:val="restart"/>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85"/>
        </w:trPr>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140" w:type="dxa"/>
            <w:vAlign w:val="bottom"/>
            <w:tcBorders>
              <w:bottom w:val="single" w:sz="8" w:color="auto"/>
            </w:tcBorders>
            <w:gridSpan w:val="2"/>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tcPr>
          <w:p>
            <w:pPr>
              <w:jc w:val="center"/>
              <w:ind w:left="75"/>
              <w:spacing w:after="0"/>
              <w:rPr>
                <w:sz w:val="20"/>
                <w:szCs w:val="20"/>
                <w:color w:val="auto"/>
              </w:rPr>
            </w:pPr>
            <w:r>
              <w:rPr>
                <w:rFonts w:ascii="Times New Roman" w:cs="Times New Roman" w:eastAsia="Times New Roman" w:hAnsi="Times New Roman"/>
                <w:sz w:val="14"/>
                <w:szCs w:val="14"/>
                <w:color w:val="auto"/>
              </w:rPr>
              <w:t>Class A common stock, $0.01 par value per share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color w:val="auto"/>
                <w:w w:val="97"/>
              </w:rPr>
              <w:t>CWST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tcPr>
          <w:p>
            <w:pPr>
              <w:jc w:val="center"/>
              <w:ind w:right="429"/>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6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266"/>
        </w:trPr>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660" w:type="dxa"/>
            <w:vAlign w:val="bottom"/>
            <w:gridSpan w:val="10"/>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w w:val="98"/>
              </w:rPr>
              <w:t>None.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3"/>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36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7"/>
        </w:trPr>
        <w:tc>
          <w:tcPr>
            <w:tcW w:w="6920" w:type="dxa"/>
            <w:vAlign w:val="bottom"/>
            <w:gridSpan w:val="11"/>
          </w:tcPr>
          <w:p>
            <w:pPr>
              <w:ind w:left="14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gridSpan w:val="3"/>
            <w:vMerge w:val="continue"/>
          </w:tcPr>
          <w:p>
            <w:pPr>
              <w:spacing w:after="0"/>
              <w:rPr>
                <w:sz w:val="17"/>
                <w:szCs w:val="17"/>
                <w:color w:val="auto"/>
              </w:rPr>
            </w:pP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920" w:type="dxa"/>
            <w:vAlign w:val="bottom"/>
            <w:gridSpan w:val="11"/>
          </w:tcPr>
          <w:p>
            <w:pPr>
              <w:ind w:left="14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60" w:type="dxa"/>
            <w:vAlign w:val="bottom"/>
          </w:tcPr>
          <w:p>
            <w:pPr>
              <w:spacing w:after="0"/>
              <w:rPr>
                <w:sz w:val="20"/>
                <w:szCs w:val="20"/>
                <w:color w:val="auto"/>
              </w:rPr>
            </w:pPr>
          </w:p>
        </w:tc>
        <w:tc>
          <w:tcPr>
            <w:tcW w:w="500" w:type="dxa"/>
            <w:vAlign w:val="bottom"/>
            <w:gridSpan w:val="2"/>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3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260" w:firstLine="16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p>
      <w:pPr>
        <w:sectPr>
          <w:pgSz w:w="11900" w:h="16838" w:orient="portrait"/>
          <w:cols w:equalWidth="0" w:num="1">
            <w:col w:w="11240"/>
          </w:cols>
          <w:pgMar w:left="320" w:top="221" w:right="339" w:bottom="1440" w:gutter="0" w:footer="0" w:header="0"/>
        </w:sectPr>
      </w:pPr>
    </w:p>
    <w:p>
      <w:pPr>
        <w:spacing w:after="0" w:line="16" w:lineRule="exact"/>
        <w:rPr>
          <w:sz w:val="24"/>
          <w:szCs w:val="24"/>
          <w:color w:val="auto"/>
        </w:rPr>
      </w:pPr>
    </w:p>
    <w:p>
      <w:pPr>
        <w:spacing w:after="0" w:line="161" w:lineRule="exact"/>
        <w:tabs>
          <w:tab w:leader="none" w:pos="6460" w:val="left"/>
          <w:tab w:leader="none" w:pos="7020" w:val="left"/>
        </w:tabs>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3"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p>
      <w:pPr>
        <w:spacing w:after="0" w:line="22" w:lineRule="exact"/>
        <w:rPr>
          <w:sz w:val="24"/>
          <w:szCs w:val="24"/>
          <w:color w:val="auto"/>
        </w:rPr>
      </w:pPr>
    </w:p>
    <w:p>
      <w:pPr>
        <w:ind w:left="20"/>
        <w:spacing w:after="0" w:line="161" w:lineRule="exact"/>
        <w:tabs>
          <w:tab w:leader="none" w:pos="3220" w:val="left"/>
          <w:tab w:leader="none" w:pos="3800" w:val="left"/>
          <w:tab w:leader="none" w:pos="7100" w:val="left"/>
          <w:tab w:leader="none" w:pos="76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2" w:lineRule="exact"/>
        <w:rPr>
          <w:sz w:val="24"/>
          <w:szCs w:val="24"/>
          <w:color w:val="auto"/>
        </w:rPr>
      </w:pPr>
    </w:p>
    <w:p>
      <w:pPr>
        <w:sectPr>
          <w:pgSz w:w="11900" w:h="16838" w:orient="portrait"/>
          <w:cols w:equalWidth="0" w:num="2">
            <w:col w:w="10800" w:space="160"/>
            <w:col w:w="280"/>
          </w:cols>
          <w:pgMar w:left="320" w:top="221" w:right="339" w:bottom="1440" w:gutter="0" w:footer="0" w:header="0"/>
          <w:type w:val="continuous"/>
        </w:sectPr>
      </w:pPr>
    </w:p>
    <w:p>
      <w:pPr>
        <w:spacing w:after="0" w:line="1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3" w:lineRule="exact"/>
        <w:rPr>
          <w:sz w:val="24"/>
          <w:szCs w:val="24"/>
          <w:color w:val="auto"/>
        </w:rPr>
      </w:pPr>
    </w:p>
    <w:p>
      <w:pPr>
        <w:sectPr>
          <w:pgSz w:w="11900" w:h="16838" w:orient="portrait"/>
          <w:cols w:equalWidth="0" w:num="4">
            <w:col w:w="2520" w:space="720"/>
            <w:col w:w="120" w:space="460"/>
            <w:col w:w="2580" w:space="720"/>
            <w:col w:w="4120"/>
          </w:cols>
          <w:pgMar w:left="320" w:top="221" w:right="339" w:bottom="1440" w:gutter="0" w:footer="0" w:header="0"/>
          <w:type w:val="continuous"/>
        </w:sectPr>
      </w:pPr>
    </w:p>
    <w:p>
      <w:pPr>
        <w:ind w:firstLine="160"/>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Act. </w:t>
      </w:r>
      <w:r>
        <w:rPr>
          <w:rFonts w:ascii="MS PGothic" w:cs="MS PGothic" w:eastAsia="MS PGothic" w:hAnsi="MS PGothic"/>
          <w:sz w:val="14"/>
          <w:szCs w:val="14"/>
          <w:color w:val="auto"/>
        </w:rPr>
        <w:t>☐</w:t>
      </w:r>
    </w:p>
    <w:p>
      <w:pPr>
        <w:spacing w:after="0" w:line="1" w:lineRule="exact"/>
        <w:rPr>
          <w:sz w:val="24"/>
          <w:szCs w:val="24"/>
          <w:color w:val="auto"/>
        </w:rPr>
      </w:pPr>
    </w:p>
    <w:p>
      <w:pPr>
        <w:ind w:right="240" w:firstLine="16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160"/>
        <w:spacing w:after="0" w:line="164"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80" w:firstLine="16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ind w:left="160"/>
        <w:spacing w:after="0" w:line="161" w:lineRule="exact"/>
        <w:tabs>
          <w:tab w:leader="none" w:pos="6720" w:val="left"/>
          <w:tab w:leader="none" w:pos="72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7" w:lineRule="exact"/>
        <w:rPr>
          <w:sz w:val="24"/>
          <w:szCs w:val="24"/>
          <w:color w:val="auto"/>
        </w:rPr>
      </w:pPr>
    </w:p>
    <w:p>
      <w:pPr>
        <w:ind w:right="380" w:firstLine="160"/>
        <w:spacing w:after="0" w:line="265" w:lineRule="auto"/>
        <w:rPr>
          <w:sz w:val="20"/>
          <w:szCs w:val="20"/>
          <w:color w:val="auto"/>
        </w:rPr>
      </w:pPr>
      <w:r>
        <w:rPr>
          <w:rFonts w:ascii="Times New Roman" w:cs="Times New Roman" w:eastAsia="Times New Roman" w:hAnsi="Times New Roman"/>
          <w:sz w:val="14"/>
          <w:szCs w:val="14"/>
          <w:color w:val="auto"/>
        </w:rPr>
        <w:t>The aggregate market value of the common equity held by non-affiliates of the registrant, based on the last reported sale price of the registrant’s Class A common stock on the Nasdaq Stock Market at the close of business on June 30, 2023 was approximately $5.1 billion. The registrant does not have any non-voting common stock outstanding.</w:t>
      </w:r>
    </w:p>
    <w:p>
      <w:pPr>
        <w:spacing w:after="0" w:line="1" w:lineRule="exact"/>
        <w:rPr>
          <w:sz w:val="24"/>
          <w:szCs w:val="24"/>
          <w:color w:val="auto"/>
        </w:rPr>
      </w:pPr>
    </w:p>
    <w:p>
      <w:pPr>
        <w:ind w:right="100" w:firstLine="160"/>
        <w:spacing w:after="0" w:line="276" w:lineRule="auto"/>
        <w:rPr>
          <w:sz w:val="20"/>
          <w:szCs w:val="20"/>
          <w:color w:val="auto"/>
        </w:rPr>
      </w:pPr>
      <w:r>
        <w:rPr>
          <w:rFonts w:ascii="Times New Roman" w:cs="Times New Roman" w:eastAsia="Times New Roman" w:hAnsi="Times New Roman"/>
          <w:sz w:val="14"/>
          <w:szCs w:val="14"/>
          <w:color w:val="auto"/>
        </w:rPr>
        <w:t>There were 57,007,273 shares of Class A common stock, $0.01 par value per share, of the registrant outstanding at January 31, 2024. There were 988,200 shares of Class B common stock, $0.01 par value per share, of the registrant outstanding at January 31, 2024.</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4" w:lineRule="exact"/>
        <w:rPr>
          <w:sz w:val="24"/>
          <w:szCs w:val="24"/>
          <w:color w:val="auto"/>
        </w:rPr>
      </w:pPr>
    </w:p>
    <w:p>
      <w:pPr>
        <w:ind w:right="240" w:firstLine="160"/>
        <w:spacing w:after="0" w:line="292" w:lineRule="auto"/>
        <w:rPr>
          <w:sz w:val="20"/>
          <w:szCs w:val="20"/>
          <w:color w:val="auto"/>
        </w:rPr>
      </w:pPr>
      <w:r>
        <w:rPr>
          <w:rFonts w:ascii="Times New Roman" w:cs="Times New Roman" w:eastAsia="Times New Roman" w:hAnsi="Times New Roman"/>
          <w:sz w:val="14"/>
          <w:szCs w:val="14"/>
          <w:color w:val="auto"/>
        </w:rPr>
        <w:t>Part III of this Annual Report on Form 10-K incorporates by reference information from the definitive Proxy Statement for the registrant’s 2024 Annual Meeting of Stockholders or a Form10-K/A to be filed with the Securities and Exchange Commission not later than 120 days after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360680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35560</wp:posOffset>
            </wp:positionV>
            <wp:extent cx="6999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wp:posOffset>
            </wp:positionV>
            <wp:extent cx="6999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1"/>
              </w:rPr>
              <w:t>PART I.</w:t>
            </w:r>
          </w:p>
        </w:tc>
        <w:tc>
          <w:tcPr>
            <w:tcW w:w="84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BUSINESS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1A.</w:t>
            </w:r>
          </w:p>
        </w:tc>
        <w:tc>
          <w:tcPr>
            <w:tcW w:w="1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7620" w:type="dxa"/>
            <w:vAlign w:val="bottom"/>
            <w:gridSpan w:val="20"/>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1B.</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1C.</w:t>
            </w:r>
          </w:p>
        </w:tc>
        <w:tc>
          <w:tcPr>
            <w:tcW w:w="27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080" w:type="dxa"/>
            <w:vAlign w:val="bottom"/>
            <w:gridSpan w:val="13"/>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2.</w:t>
            </w:r>
          </w:p>
        </w:tc>
        <w:tc>
          <w:tcPr>
            <w:tcW w:w="10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PROPERTIES</w:t>
            </w:r>
          </w:p>
        </w:tc>
        <w:tc>
          <w:tcPr>
            <w:tcW w:w="420" w:type="dxa"/>
            <w:vAlign w:val="bottom"/>
            <w:tcBorders>
              <w:top w:val="single" w:sz="8" w:color="0000FF"/>
            </w:tcBorders>
            <w:gridSpan w:val="4"/>
          </w:tcPr>
          <w:p>
            <w:pPr>
              <w:spacing w:after="0"/>
              <w:rPr>
                <w:sz w:val="17"/>
                <w:szCs w:val="17"/>
                <w:color w:val="auto"/>
              </w:rPr>
            </w:pPr>
          </w:p>
        </w:tc>
        <w:tc>
          <w:tcPr>
            <w:tcW w:w="7400" w:type="dxa"/>
            <w:vAlign w:val="bottom"/>
            <w:gridSpan w:val="19"/>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3.</w:t>
            </w:r>
          </w:p>
        </w:tc>
        <w:tc>
          <w:tcPr>
            <w:tcW w:w="18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000" w:type="dxa"/>
            <w:vAlign w:val="bottom"/>
            <w:gridSpan w:val="18"/>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4.</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6"/>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2"/>
              </w:rPr>
              <w:t>PART II.</w:t>
            </w:r>
          </w:p>
        </w:tc>
        <w:tc>
          <w:tcPr>
            <w:tcW w:w="780" w:type="dxa"/>
            <w:vAlign w:val="bottom"/>
            <w:gridSpan w:val="4"/>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5.</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60" w:type="dxa"/>
            <w:vAlign w:val="bottom"/>
            <w:tcBorders>
              <w:top w:val="single" w:sz="8" w:color="0000FF"/>
              <w:bottom w:val="single" w:sz="8" w:color="0000FF"/>
            </w:tcBorders>
            <w:gridSpan w:val="14"/>
          </w:tcPr>
          <w:p>
            <w:pPr>
              <w:spacing w:after="0" w:line="166" w:lineRule="exact"/>
              <w:rPr>
                <w:sz w:val="20"/>
                <w:szCs w:val="20"/>
                <w:color w:val="auto"/>
              </w:rPr>
            </w:pPr>
            <w:r>
              <w:rPr>
                <w:rFonts w:ascii="Times New Roman" w:cs="Times New Roman" w:eastAsia="Times New Roman" w:hAnsi="Times New Roman"/>
                <w:sz w:val="18"/>
                <w:szCs w:val="18"/>
                <w:color w:val="0000FF"/>
                <w:w w:val="98"/>
              </w:rPr>
              <w:t>PURCHASES OF EQUITY SECURITIES</w:t>
            </w:r>
          </w:p>
        </w:tc>
        <w:tc>
          <w:tcPr>
            <w:tcW w:w="5120" w:type="dxa"/>
            <w:vAlign w:val="bottom"/>
            <w:tcBorders>
              <w:top w:val="single" w:sz="8" w:color="0000FF"/>
            </w:tcBorders>
            <w:gridSpan w:val="11"/>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6.</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[RESERVED]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7.</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60" w:type="dxa"/>
            <w:vAlign w:val="bottom"/>
            <w:tcBorders>
              <w:top w:val="single" w:sz="8" w:color="0000FF"/>
            </w:tcBorders>
            <w:gridSpan w:val="22"/>
          </w:tcPr>
          <w:p>
            <w:pPr>
              <w:spacing w:after="0" w:line="166" w:lineRule="exact"/>
              <w:rPr>
                <w:sz w:val="20"/>
                <w:szCs w:val="20"/>
                <w:color w:val="auto"/>
              </w:rPr>
            </w:pPr>
            <w:r>
              <w:rPr>
                <w:rFonts w:ascii="Times New Roman" w:cs="Times New Roman" w:eastAsia="Times New Roman" w:hAnsi="Times New Roman"/>
                <w:sz w:val="18"/>
                <w:szCs w:val="18"/>
                <w:color w:val="0000FF"/>
              </w:rPr>
              <w:t>OPERATIONS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7A.</w:t>
            </w:r>
          </w:p>
        </w:tc>
        <w:tc>
          <w:tcPr>
            <w:tcW w:w="60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800" w:type="dxa"/>
            <w:vAlign w:val="bottom"/>
            <w:gridSpan w:val="7"/>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8.</w:t>
            </w:r>
          </w:p>
        </w:tc>
        <w:tc>
          <w:tcPr>
            <w:tcW w:w="46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6"/>
              </w:rPr>
              <w:t>FINANCIAL STATEMENTS AND SUPPLEMENTARY DATA</w:t>
            </w:r>
          </w:p>
        </w:tc>
        <w:tc>
          <w:tcPr>
            <w:tcW w:w="4260" w:type="dxa"/>
            <w:vAlign w:val="bottom"/>
            <w:gridSpan w:val="9"/>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9.</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Borders>
              <w:top w:val="single" w:sz="8" w:color="0000FF"/>
              <w:bottom w:val="single" w:sz="8" w:color="0000FF"/>
            </w:tcBorders>
            <w:gridSpan w:val="5"/>
          </w:tcPr>
          <w:p>
            <w:pPr>
              <w:spacing w:after="0" w:line="166" w:lineRule="exact"/>
              <w:rPr>
                <w:sz w:val="20"/>
                <w:szCs w:val="20"/>
                <w:color w:val="auto"/>
              </w:rPr>
            </w:pPr>
            <w:r>
              <w:rPr>
                <w:rFonts w:ascii="Times New Roman" w:cs="Times New Roman" w:eastAsia="Times New Roman" w:hAnsi="Times New Roman"/>
                <w:sz w:val="18"/>
                <w:szCs w:val="18"/>
                <w:color w:val="0000FF"/>
                <w:w w:val="97"/>
              </w:rPr>
              <w:t>DISCLOSURE</w:t>
            </w:r>
          </w:p>
        </w:tc>
        <w:tc>
          <w:tcPr>
            <w:tcW w:w="6720" w:type="dxa"/>
            <w:vAlign w:val="bottom"/>
            <w:tcBorders>
              <w:top w:val="single" w:sz="8" w:color="0000FF"/>
            </w:tcBorders>
            <w:gridSpan w:val="18"/>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9A.</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9B.</w:t>
            </w:r>
          </w:p>
        </w:tc>
        <w:tc>
          <w:tcPr>
            <w:tcW w:w="25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300" w:type="dxa"/>
            <w:vAlign w:val="bottom"/>
            <w:gridSpan w:val="14"/>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gridSpan w:val="8"/>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9C.</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06"/>
        </w:trPr>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3"/>
              </w:rPr>
              <w:t>PART III.</w:t>
            </w:r>
          </w:p>
        </w:tc>
        <w:tc>
          <w:tcPr>
            <w:tcW w:w="720" w:type="dxa"/>
            <w:vAlign w:val="bottom"/>
            <w:gridSpan w:val="2"/>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10.</w:t>
            </w:r>
          </w:p>
        </w:tc>
        <w:tc>
          <w:tcPr>
            <w:tcW w:w="57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3140" w:type="dxa"/>
            <w:vAlign w:val="bottom"/>
            <w:gridSpan w:val="8"/>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11.</w:t>
            </w:r>
          </w:p>
        </w:tc>
        <w:tc>
          <w:tcPr>
            <w:tcW w:w="2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EXECUTIVE COMPENSATION</w:t>
            </w:r>
          </w:p>
        </w:tc>
        <w:tc>
          <w:tcPr>
            <w:tcW w:w="6440" w:type="dxa"/>
            <w:vAlign w:val="bottom"/>
            <w:gridSpan w:val="15"/>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12.</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9"/>
          </w:tcPr>
          <w:p>
            <w:pPr>
              <w:spacing w:after="0" w:line="166" w:lineRule="exact"/>
              <w:rPr>
                <w:sz w:val="20"/>
                <w:szCs w:val="20"/>
                <w:color w:val="auto"/>
              </w:rPr>
            </w:pPr>
            <w:r>
              <w:rPr>
                <w:rFonts w:ascii="Times New Roman" w:cs="Times New Roman" w:eastAsia="Times New Roman" w:hAnsi="Times New Roman"/>
                <w:sz w:val="18"/>
                <w:szCs w:val="18"/>
                <w:color w:val="0000FF"/>
                <w:w w:val="97"/>
              </w:rPr>
              <w:t>STOCKHOLDER MATTERS</w:t>
            </w:r>
          </w:p>
        </w:tc>
        <w:tc>
          <w:tcPr>
            <w:tcW w:w="5740" w:type="dxa"/>
            <w:vAlign w:val="bottom"/>
            <w:tcBorders>
              <w:top w:val="single" w:sz="8" w:color="0000FF"/>
            </w:tcBorders>
            <w:gridSpan w:val="15"/>
          </w:tcPr>
          <w:p>
            <w:pPr>
              <w:spacing w:after="0"/>
              <w:rPr>
                <w:sz w:val="14"/>
                <w:szCs w:val="14"/>
                <w:color w:val="auto"/>
              </w:rPr>
            </w:pPr>
          </w:p>
        </w:tc>
        <w:tc>
          <w:tcPr>
            <w:tcW w:w="960" w:type="dxa"/>
            <w:vAlign w:val="bottom"/>
            <w:gridSpan w:val="2"/>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13.</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14.</w:t>
            </w:r>
          </w:p>
        </w:tc>
        <w:tc>
          <w:tcPr>
            <w:tcW w:w="7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280" w:type="dxa"/>
            <w:vAlign w:val="bottom"/>
            <w:gridSpan w:val="5"/>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6"/>
        </w:trPr>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9"/>
              </w:rPr>
              <w:t>PART IV.</w:t>
            </w:r>
          </w:p>
        </w:tc>
        <w:tc>
          <w:tcPr>
            <w:tcW w:w="740" w:type="dxa"/>
            <w:vAlign w:val="bottom"/>
            <w:gridSpan w:val="3"/>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15.</w:t>
            </w:r>
          </w:p>
        </w:tc>
        <w:tc>
          <w:tcPr>
            <w:tcW w:w="42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EXHIBITS AND FINANCIAL STATEMENT SCHEDULE</w:t>
            </w:r>
          </w:p>
        </w:tc>
        <w:tc>
          <w:tcPr>
            <w:tcW w:w="4580" w:type="dxa"/>
            <w:vAlign w:val="bottom"/>
            <w:gridSpan w:val="10"/>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ITEM 16.</w:t>
            </w:r>
          </w:p>
        </w:tc>
        <w:tc>
          <w:tcPr>
            <w:tcW w:w="8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115</w:t>
            </w:r>
          </w:p>
        </w:tc>
        <w:tc>
          <w:tcPr>
            <w:tcW w:w="0" w:type="dxa"/>
            <w:vAlign w:val="bottom"/>
          </w:tcPr>
          <w:p>
            <w:pPr>
              <w:spacing w:after="0"/>
              <w:rPr>
                <w:sz w:val="1"/>
                <w:szCs w:val="1"/>
                <w:color w:val="auto"/>
              </w:rPr>
            </w:pPr>
          </w:p>
        </w:tc>
      </w:tr>
      <w:tr>
        <w:trPr>
          <w:trHeight w:val="206"/>
        </w:trPr>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116</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Unless the context requires otherwise, all references in this Annual Report on Form 10-K to “Casella Waste Systems, Inc.”, “Casella”, the “Company”, “we”, “us” or “our” refer to Casella Waste Systems, Inc. and its consolidated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This Annual Report on Form 10-K contains or incorporates a number of forward-looking statements within the meaning of Section 27A of the Securities Act of 1933, as amended, and Section 21E of the Exchange Act of 1934, as amended.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We cannot guarantee that we actually will achieve the plans, intentions or expectations disclosed in the forward-looking statements made. The occurrence of the events described and the achievement of the expected results depends on many events, some or all of which are not predictable or within our control. Actual results may differ materially from those set forth in the forward-looking statements. The forward-looking statements in this Annual Report on Form 10-K include, among other things, statements about:</w:t>
      </w:r>
    </w:p>
    <w:p>
      <w:pPr>
        <w:spacing w:after="0" w:line="33" w:lineRule="exact"/>
        <w:rPr>
          <w:sz w:val="20"/>
          <w:szCs w:val="20"/>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development of additional disposal capacity or expectations regarding permits for existing capacity;</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or regulatory matter;</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liquidity and financing plans;</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revenues, operations, expenditures and cash needs;</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recycling commodity pricing, increases in landfill tipping fees and fuel costs and general economic and weather conditions;</w:t>
      </w:r>
    </w:p>
    <w:p>
      <w:pPr>
        <w:spacing w:after="0" w:line="58" w:lineRule="exact"/>
        <w:rPr>
          <w:rFonts w:ascii="Times New Roman" w:cs="Times New Roman" w:eastAsia="Times New Roman" w:hAnsi="Times New Roman"/>
          <w:sz w:val="18"/>
          <w:szCs w:val="18"/>
          <w:color w:val="auto"/>
        </w:rPr>
      </w:pPr>
    </w:p>
    <w:p>
      <w:pPr>
        <w:ind w:left="480" w:right="220" w:hanging="314"/>
        <w:spacing w:after="0" w:line="275" w:lineRule="auto"/>
        <w:tabs>
          <w:tab w:leader="none" w:pos="4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future obligations related to final capping, closure and post-closure costs of our existing landfills and any disposal facilities which we may own or operate in the future;</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losses and tax positions;</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recoverability or impairment of any of our assets or goodwill;</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potential markets for our products and services, including the anticipated drivers for future growth;</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plans or price and volume assumptions;</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business combinations or divestitures;</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improvements to our infrastructure and the impact of such improvements on our business and operations; and</w:t>
      </w:r>
    </w:p>
    <w:p>
      <w:pPr>
        <w:spacing w:after="0" w:line="58" w:lineRule="exact"/>
        <w:rPr>
          <w:rFonts w:ascii="Times New Roman" w:cs="Times New Roman" w:eastAsia="Times New Roman" w:hAnsi="Times New Roman"/>
          <w:sz w:val="18"/>
          <w:szCs w:val="18"/>
          <w:color w:val="auto"/>
        </w:rPr>
      </w:pPr>
    </w:p>
    <w:p>
      <w:pPr>
        <w:ind w:left="480" w:right="180" w:hanging="314"/>
        <w:spacing w:after="0" w:line="261" w:lineRule="auto"/>
        <w:tabs>
          <w:tab w:leader="none" w:pos="4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factors, such as ongoing or potential geopolitical conflict, pandemics, recessions, or similar national or global events, and general macroeconomic conditions, including, among other things, consumer confidence, global supply chain disruptions, inflation, labor supply, fuel prices, interest rates and access to capital markets, that generally are not within our control, and our exposure to credit and counterparty risk.</w:t>
      </w:r>
    </w:p>
    <w:p>
      <w:pPr>
        <w:spacing w:after="0" w:line="6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 We explicitly disclaim any obligation to update any forward-looking statements whether as a result of new information, future events or otherwise, except as otherwise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Casella Waste Systems, Inc.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spacing w:after="0" w:line="69"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We provide integrated solid waste services in nine states: Vermont, New Hampshire, New York, Massachusetts, Connecticut, Maine, Pennsylvania, Delaware and Maryland, with our headquarters located in Rutland, Vermont. On June 30, 2023, we acquired the equity interests of four wholly owned subsidiaries of GFL Environmental Inc., which are the basis of our newly formed regional operating segment, the Mid-Atlantic region, that expanded our integrated solid waste services into the states of Delaware and Maryland (the "GFL Acquisition"). Operations under the Mid-Atlantic region commenced on July 1, 2023.</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7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For more information about our reportable operating segments, please see "</w:t>
      </w:r>
      <w:r>
        <w:rPr>
          <w:rFonts w:ascii="Times New Roman" w:cs="Times New Roman" w:eastAsia="Times New Roman" w:hAnsi="Times New Roman"/>
          <w:sz w:val="18"/>
          <w:szCs w:val="18"/>
          <w:i w:val="1"/>
          <w:iCs w:val="1"/>
          <w:color w:val="auto"/>
        </w:rPr>
        <w:t>Operational Overview</w:t>
      </w:r>
      <w:r>
        <w:rPr>
          <w:rFonts w:ascii="Times New Roman" w:cs="Times New Roman" w:eastAsia="Times New Roman" w:hAnsi="Times New Roman"/>
          <w:sz w:val="18"/>
          <w:szCs w:val="18"/>
          <w:color w:val="auto"/>
        </w:rPr>
        <w:t xml:space="preserve">." For financial information concerning our reportable operating segments and additional disclosure over the GFL Acquisition refer to “Item 7. </w:t>
      </w:r>
      <w:r>
        <w:rPr>
          <w:rFonts w:ascii="Times New Roman" w:cs="Times New Roman" w:eastAsia="Times New Roman" w:hAnsi="Times New Roman"/>
          <w:sz w:val="18"/>
          <w:szCs w:val="18"/>
          <w:i w:val="1"/>
          <w:iCs w:val="1"/>
          <w:color w:val="auto"/>
        </w:rPr>
        <w:t>Management’s Discussion and Analysis of Results of Operations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and “Item 8.</w:t>
      </w:r>
      <w:r>
        <w:rPr>
          <w:rFonts w:ascii="Times New Roman" w:cs="Times New Roman" w:eastAsia="Times New Roman" w:hAnsi="Times New Roman"/>
          <w:sz w:val="18"/>
          <w:szCs w:val="18"/>
          <w:i w:val="1"/>
          <w:iCs w:val="1"/>
          <w:color w:val="auto"/>
        </w:rPr>
        <w:t xml:space="preserve"> Financial Statements and Supplementary Data</w:t>
      </w:r>
      <w:r>
        <w:rPr>
          <w:rFonts w:ascii="Times New Roman" w:cs="Times New Roman" w:eastAsia="Times New Roman" w:hAnsi="Times New Roman"/>
          <w:sz w:val="18"/>
          <w:szCs w:val="18"/>
          <w:color w:val="auto"/>
        </w:rPr>
        <w:t>” of this Annual Report on Form 10-K.</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i w:val="1"/>
          <w:iCs w:val="1"/>
          <w:color w:val="auto"/>
        </w:rPr>
        <w:t>www.casella.com</w:t>
      </w:r>
      <w:r>
        <w:rPr>
          <w:rFonts w:ascii="Times New Roman" w:cs="Times New Roman" w:eastAsia="Times New Roman" w:hAnsi="Times New Roman"/>
          <w:sz w:val="18"/>
          <w:szCs w:val="18"/>
          <w:color w:val="auto"/>
        </w:rPr>
        <w:t>. We make available, free of charge through our website, our Annual Reports on Form 10-K, Quarterly Reports on Form 10-Q, Current Reports on Form 8-K, Proxy Statements on Schedule 14A, and any amendments to those materials filed pursuant to Sections 13(a) and 15(d) of the Securities Exchange Act of 1934, as amended. We make these reports available through our website as soon as reasonably practicable after we electronically file such materials with or furnish them to the Securities and Exchange Commission (“SEC”). The information found on our website is not part of this or any other report we file with or furnish to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14"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Our goal is to maintain and build lasting shareholder value by providing exemplary service to our customers, while operating in a safe and environmentally sound manner. Throughout our history we have worked with many of our key customers to improve their environmental footprint and to help meet sustainability goals by increasing their recycling rates, diverting organic materials out of the waste stream into beneficial use processes, and partnering to develop resource solutions within their organizations or communities. Since we first began operating in Vermont in 1975, our business strategy has been firmly tied to creating a sustainable resource management model, and we continue to be rooted in these same tenets today.</w:t>
      </w:r>
    </w:p>
    <w:p>
      <w:pPr>
        <w:spacing w:after="0" w:line="7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continue to invest in resources (team, technology, facilities, and capital) to further develop this important long-term strategy that we believe will continue to differentiate our service offerings to our customers, make us an employer of choice for our people, and improve our economic returns. We strive to create long-term value for all of our stakeholders, including customers, employees, communities and shareholders.</w:t>
      </w:r>
    </w:p>
    <w:p>
      <w:pPr>
        <w:spacing w:after="0" w:line="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primary objective is to maximize long-term shareholder value through a combination of financial performance and strategic asset positioning. We utilize a comprehensive strategic planning process to assess and refine our strategic objectives in the context of our asset mix, the current market environment, opportunity set for growth and capital allocation. This process helps the management team allocate resources to a range of business opportunities with the goal to maximize long-term financial returns and competitive positioning.</w:t>
      </w:r>
    </w:p>
    <w:p>
      <w:pPr>
        <w:spacing w:after="0" w:line="7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 xml:space="preserve">In February 2022, we announced an updated long-term strategic plan through the fiscal year ending December 31, 2024 (the "2024 Plan"). We executed well against the 2024 Plan in the fiscal year ended December 31, 2023 ("fiscal year 2023") and grew our business meaningfully. Notably, we closed on seven acquisitions in fiscal year 2023 within existing and adjacent geographies, including a new and expanded integrated solid waste services operating footprint in Pennsylvania, Maryland, and Delaware through the GFL Acquisition, as well as an expansion to our collection, transfer, and recycling business in the greater Albany, New York area through the acquisition of the assets of Consolidated Waste Services, LLC and its affiliates (dba Twin Bridges), which was completed on September 1, 2023 ("Twin Bridges Acquisition"). We believe this positions our business well to explore future operating and growth opportunities across both the Northeast as well as through our new platform in the Mid-Atlantic over time. For information regarding our business acquisitions, see Note 5, </w:t>
      </w: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 The key strategies of the 2024 Plan, set forth below, reflect our continued focus on creating shareholder value through execution against our core competencies, disciplined growth strategy and strengthening foundational pillars.</w:t>
      </w:r>
    </w:p>
    <w:p>
      <w:pPr>
        <w:spacing w:after="0" w:line="33" w:lineRule="exact"/>
        <w:rPr>
          <w:sz w:val="20"/>
          <w:szCs w:val="20"/>
          <w:color w:val="auto"/>
        </w:rPr>
      </w:pPr>
    </w:p>
    <w:p>
      <w:pPr>
        <w:ind w:left="640" w:hanging="315"/>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Increasing landfill returns;</w:t>
      </w:r>
    </w:p>
    <w:p>
      <w:pPr>
        <w:spacing w:after="0" w:line="58" w:lineRule="exact"/>
        <w:rPr>
          <w:rFonts w:ascii="Times New Roman" w:cs="Times New Roman" w:eastAsia="Times New Roman" w:hAnsi="Times New Roman"/>
          <w:sz w:val="16"/>
          <w:szCs w:val="16"/>
          <w:color w:val="auto"/>
        </w:rPr>
      </w:pPr>
    </w:p>
    <w:p>
      <w:pPr>
        <w:ind w:left="640" w:hanging="315"/>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Driving additional profitability in collection operations;</w:t>
      </w:r>
    </w:p>
    <w:p>
      <w:pPr>
        <w:spacing w:after="0" w:line="58" w:lineRule="exact"/>
        <w:rPr>
          <w:rFonts w:ascii="Times New Roman" w:cs="Times New Roman" w:eastAsia="Times New Roman" w:hAnsi="Times New Roman"/>
          <w:sz w:val="16"/>
          <w:szCs w:val="16"/>
          <w:color w:val="auto"/>
        </w:rPr>
      </w:pPr>
    </w:p>
    <w:p>
      <w:pPr>
        <w:ind w:left="640" w:hanging="315"/>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Creating incremental value through Resource Solutions;</w:t>
      </w:r>
    </w:p>
    <w:p>
      <w:pPr>
        <w:spacing w:after="0" w:line="58" w:lineRule="exact"/>
        <w:rPr>
          <w:rFonts w:ascii="Times New Roman" w:cs="Times New Roman" w:eastAsia="Times New Roman" w:hAnsi="Times New Roman"/>
          <w:sz w:val="16"/>
          <w:szCs w:val="16"/>
          <w:color w:val="auto"/>
        </w:rPr>
      </w:pPr>
    </w:p>
    <w:p>
      <w:pPr>
        <w:ind w:left="640" w:hanging="315"/>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Allocating capital to return driven growth; and</w:t>
      </w:r>
    </w:p>
    <w:p>
      <w:pPr>
        <w:spacing w:after="0" w:line="58" w:lineRule="exact"/>
        <w:rPr>
          <w:rFonts w:ascii="Times New Roman" w:cs="Times New Roman" w:eastAsia="Times New Roman" w:hAnsi="Times New Roman"/>
          <w:sz w:val="16"/>
          <w:szCs w:val="16"/>
          <w:color w:val="auto"/>
        </w:rPr>
      </w:pPr>
    </w:p>
    <w:p>
      <w:pPr>
        <w:ind w:left="640" w:hanging="315"/>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Strengthening four key foundational pillars:</w:t>
      </w:r>
    </w:p>
    <w:p>
      <w:pPr>
        <w:spacing w:after="0" w:line="58" w:lineRule="exact"/>
        <w:rPr>
          <w:rFonts w:ascii="Times New Roman" w:cs="Times New Roman" w:eastAsia="Times New Roman" w:hAnsi="Times New Roman"/>
          <w:sz w:val="16"/>
          <w:szCs w:val="16"/>
          <w:color w:val="auto"/>
        </w:rPr>
      </w:pPr>
    </w:p>
    <w:p>
      <w:pPr>
        <w:ind w:left="1120" w:hanging="316"/>
        <w:spacing w:after="0"/>
        <w:tabs>
          <w:tab w:leader="none" w:pos="1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Developing a safe, engaged, ready workforce to support growth.</w:t>
      </w:r>
    </w:p>
    <w:p>
      <w:pPr>
        <w:spacing w:after="0" w:line="58" w:lineRule="exact"/>
        <w:rPr>
          <w:rFonts w:ascii="Times New Roman" w:cs="Times New Roman" w:eastAsia="Times New Roman" w:hAnsi="Times New Roman"/>
          <w:sz w:val="18"/>
          <w:szCs w:val="18"/>
          <w:color w:val="auto"/>
        </w:rPr>
      </w:pPr>
    </w:p>
    <w:p>
      <w:pPr>
        <w:ind w:left="1120" w:hanging="316"/>
        <w:spacing w:after="0"/>
        <w:tabs>
          <w:tab w:leader="none" w:pos="1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Sustainable Growth: Driving profitable growth through an integrated resource solutions approach.</w:t>
      </w:r>
    </w:p>
    <w:p>
      <w:pPr>
        <w:spacing w:after="0" w:line="58" w:lineRule="exact"/>
        <w:rPr>
          <w:rFonts w:ascii="Times New Roman" w:cs="Times New Roman" w:eastAsia="Times New Roman" w:hAnsi="Times New Roman"/>
          <w:sz w:val="18"/>
          <w:szCs w:val="18"/>
          <w:color w:val="auto"/>
        </w:rPr>
      </w:pPr>
    </w:p>
    <w:p>
      <w:pPr>
        <w:ind w:left="1120" w:hanging="316"/>
        <w:spacing w:after="0"/>
        <w:tabs>
          <w:tab w:leader="none" w:pos="1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Driving profitable growth and efficiencies through technology.</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20" w:hanging="316"/>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Developing necessary long-term infrastructure through facilities planning.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Landfill Returns</w:t>
      </w:r>
    </w:p>
    <w:p>
      <w:pPr>
        <w:spacing w:after="0" w:line="1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Over the last 10 years, disposal capacity has tightened in the Northeast market as permanent site closures have reduced capacity, partially offset by select volumes leaving the market via rail to out-of-state disposal sites. Given this backdrop and the positioning of our assets, and in response to persistent cost inflation, we advanced landfill pricing by 8.1% for fiscal year 2023, as compared to the fiscal year ended December 31, 2022 ("fiscal year 2022"). We believe that a positive pricing backdrop will continue, as additional site closures are expected over the next several years.</w:t>
      </w:r>
    </w:p>
    <w:p>
      <w:pPr>
        <w:spacing w:after="0" w:line="7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the landfill development side, we continue to advance key permitting activities across our landfills to increase annual capacity limits at select sites and expand total permitted capacity across our footprint. Since early 2016, we have been advancing permit increases at our Subtitle D landfills, cumulatively adding approximately 0.5 million tons per year of permitted capacity and approximately 50.9 million cubic yards of permitted airspace.</w:t>
      </w:r>
    </w:p>
    <w:p>
      <w:pPr>
        <w:spacing w:after="0" w:line="69"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We also continue to focus on improving our landfill operations through various initiatives related to safety, compliance, operating practices, and capital efficiency programs.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Driving Additional Profitability in Collection Operations</w:t>
      </w:r>
    </w:p>
    <w:p>
      <w:pPr>
        <w:spacing w:after="0" w:line="116"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7"/>
          <w:szCs w:val="17"/>
          <w:color w:val="auto"/>
        </w:rPr>
        <w:t>Collection pricing was up 7.9% for fiscal year 2023, as compared to fiscal year 2022, with sustained execution against our strategic pricing programs, which helped to offset inflationary pressures. We also continue to advance several key operational initiatives, including route optimization, fleet standardization and automation, acquisition integration and maintenance programs to further reduce our operating costs and further improve safety in our collection operations.</w:t>
      </w:r>
    </w:p>
    <w:p>
      <w:pPr>
        <w:jc w:val="both"/>
        <w:ind w:right="300"/>
        <w:spacing w:after="0" w:line="250" w:lineRule="auto"/>
        <w:rPr>
          <w:sz w:val="20"/>
          <w:szCs w:val="20"/>
          <w:color w:val="auto"/>
        </w:rPr>
      </w:pPr>
      <w:r>
        <w:rPr>
          <w:rFonts w:ascii="Times New Roman" w:cs="Times New Roman" w:eastAsia="Times New Roman" w:hAnsi="Times New Roman"/>
          <w:sz w:val="18"/>
          <w:szCs w:val="18"/>
          <w:color w:val="auto"/>
        </w:rPr>
        <w:t>Our comprehensive fleet plan is designed to optimize our fleet and target truck replacements in order to maximize returns, reduce our operating expenses through lower maintenance costs, improve our service levels through reduced down times, and increase automation and optimization of trucks and service types.</w:t>
      </w:r>
    </w:p>
    <w:p>
      <w:pPr>
        <w:spacing w:after="0" w:line="79"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From a technology perspective, we continue to advance business intelligence tools that provide our teams with actionable data as well as investment and deployment of on-board-computers and cameras designed to enhance safety and service and modernize our fleet. We also remain focused on acquisition integration as we work diligently to onboard new customers and employees, while enhancing service accuracy, increasing operating efficiencies, and optimizing the internalization of solid waste and recycling volumes into our facilities.</w:t>
      </w:r>
    </w:p>
    <w:p>
      <w:pPr>
        <w:spacing w:after="0" w:line="7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combination of these operating advancements and pricing programs are driving improved results in our collection operations, with our cost of operations as a percentage of revenues down approximately 100 basis points in fiscal year 2023 as compared to fiscal year 2022.</w:t>
      </w:r>
    </w:p>
    <w:p>
      <w:pPr>
        <w:spacing w:after="0" w:line="44"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We also remain focused on mitigating fuel cost exposure through our floating fuel cost recovery fee program. In fiscal year 2023, this program helped to offset the impact of changing fuel costs due to fluctuating fuel prices.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Creating Incremental Value Through Resource Solutions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Resource Solutions operating segment's business strategy is focused on driving value-added resource management and sustainability-oriented solutions to our customers. These solutions range from professional services to large industrial, institutional or multi-site retail customers, our organics business, which is a leader in organics processing and disposal, and our large scale, technology-driven recycling business.</w:t>
      </w:r>
    </w:p>
    <w:p>
      <w:pPr>
        <w:spacing w:after="0" w:line="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leverage our core competencies in materials processing, industrial recycling, organics and resource management service offerings to deliver a comprehensive solution for our larger commercial, municipal, institutional, and industrial customers with more diverse waste and recycling needs. Our processing operations consist of our recycling and biosolids facilities where we receive inbound materials, process the volume, and sell the resulting products into end markets.</w:t>
      </w:r>
    </w:p>
    <w:p>
      <w:pPr>
        <w:spacing w:after="0" w:line="7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 focus of our recycling business model is to reduce exposure to recycling commodity price volatility and drive adequate returns in all market cycles. We have accomplished this by: (1) restructuring most third-party processing contracts to limit downside risk through processing fees; (2) implementing our sustainability recycling adjustment fee (“SRA Fee(s)”) that floats inversely to changes in recycling commodity prices; (3) investing in processing infrastructure to reduce operating costs and improve the quality of post-sorted commodities, such as the replacement and upgrade of the processing equipment at our Charlestown, Massachusetts materials recovery facility ("MRF") completed in fiscal year 2023; and (4) developing strong partnerships with industrial consumers of recycled materials to ensure circularity. Where implemented, our risk mitigation programs offset most recycling commodity price decline and allow us to return value to our customers with higher recycling commodity prices through lower tipping fees and a lower SRA Fee. Given our growth strategy, at times, the businesses we acquire may not have sufficient risk mitigation programs and thus may temporarily increase our recycling commodity risk exposure. Over time, we strive to mitigate recycling commodity risk exposure and improve returns.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National Accounts business, which we previously referred to as our Customer Solutions business, consist of brokerage and resource management services provided to large customers with broad sustainability needs. This professional services business continues to make progress pivoting from the legacy waste and recycling brokerage model to an advisory services organization focused on helping large industrial and institutional customers develop and achieve actionable resource management and sustainability goals.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Allocating Capital to Return-Driven Growth</w:t>
      </w:r>
    </w:p>
    <w:p>
      <w:pPr>
        <w:spacing w:after="0" w:line="116"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We have focused on a balanced growth strategy through a combination of acquisitions, development projects, and new contracts while adhering to strict capital discipline standards. Our objectives include simplifying our business structure, reducing risk exposure, increasing returns, and improving cash flows. As a result of these actions, we have grown our business and maintained conservative debt levels with a consolidated net leverage ratio of 2.78x as of December 31, 2023. See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of this Annual Report on Form 10-K for more disclosure about our consolidated net leverage ratio. We believe the strength of our balance sheet coupled with a robust acquisition pipeline positions us well for continued execution against our growth strategy.</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acquired 60 solid waste collection, transfer and recycling businesses since the beginning of the fiscal year ended December 31, 2018 ("fiscal year 2018") through fiscal year 2023 with over $600 million of total annualized revenues. This includes seven solid waste, collection, transfer and recycling businesses acquired in fiscal year 2023 with approximately $315 million in total annualized revenues. We expect roll-over revenue growth of approximately $175 million in the fiscal year ending December 31, 2024 ("fiscal year 2024") from acquisitions completed in fiscal year 2023.</w:t>
      </w:r>
    </w:p>
    <w:p>
      <w:pPr>
        <w:spacing w:after="0" w:line="7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expect to adhere to our disciplined capital return hurdles and rigorous review and risk management process in executing against our acquisition and development opportunities. We are focused on acquiring well-run businesses in strategic markets across our footprint and in markets that will drive additional operating synergies and provide opportunities to grow profitably, and further our potential to expand into new market areas over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Strengthening Foundational Pillars</w:t>
      </w:r>
    </w:p>
    <w:p>
      <w:pPr>
        <w:spacing w:after="0" w:line="11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Execution against the 2024 Plan is supported by strengthening our foundational pillars: people, sustainable growth, technology, and facilities. We believe that it is important to continue to invest in and strengthen our foundational pillars to support growth and further differentiate our business strategy.</w:t>
      </w:r>
    </w:p>
    <w:p>
      <w:pPr>
        <w:spacing w:after="0" w:line="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People. </w:t>
      </w:r>
      <w:r>
        <w:rPr>
          <w:rFonts w:ascii="Times New Roman" w:cs="Times New Roman" w:eastAsia="Times New Roman" w:hAnsi="Times New Roman"/>
          <w:sz w:val="18"/>
          <w:szCs w:val="18"/>
          <w:color w:val="auto"/>
        </w:rPr>
        <w:t>We continue to invest in our people through leadership development, our career paths program, technical training for key roles such as drivers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mechanics, and incentive compensation structures that seek to align our employees’ incentives with our long-term goal to improve cash flows and returns on invested capital. As a result of our acquisition activity in fiscal year 2023, which included entry into new markets, we have grown our workforce by over 30% as compared to fiscal year 2022, to approximately 4,200 employees. Our integration process has focused on welcoming and introducing our culture to new team members as well as providing the necessary resources across all operations. We believe investing in our team and culture, and creating a safe, engaged, and ready workforce is key to our continued success.</w:t>
      </w:r>
    </w:p>
    <w:p>
      <w:pPr>
        <w:spacing w:after="0" w:line="7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Sustainable Growth. </w:t>
      </w:r>
      <w:r>
        <w:rPr>
          <w:rFonts w:ascii="Times New Roman" w:cs="Times New Roman" w:eastAsia="Times New Roman" w:hAnsi="Times New Roman"/>
          <w:sz w:val="18"/>
          <w:szCs w:val="18"/>
          <w:color w:val="auto"/>
        </w:rPr>
        <w:t>Execution against the key strategies within the 2024 Plan are supported by our sustainable growth initiatives. We are focused on driving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value through profitable new customer growth and the expansion of services with existing customers. Through an integrated effort across our sales, marketing, engagement, customer care, communications, and sustainability functions, we seek to enhance customer profitability, improve key customer retention, and further growth within markets through a differentiated sustainable service platform.</w:t>
      </w:r>
    </w:p>
    <w:p>
      <w:pPr>
        <w:spacing w:after="0" w:line="73"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We have increased our sales training and developed centralized processes, consistent sales metrics, and compensation programs to position us to further improve accountability and alignment across our organization. Our sustainable growth initiatives shape how we interact with our customers and with the communities we serve.</w:t>
      </w:r>
    </w:p>
    <w:p>
      <w:pPr>
        <w:spacing w:after="0" w:line="17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Technology. </w:t>
      </w:r>
      <w:r>
        <w:rPr>
          <w:rFonts w:ascii="Times New Roman" w:cs="Times New Roman" w:eastAsia="Times New Roman" w:hAnsi="Times New Roman"/>
          <w:sz w:val="18"/>
          <w:szCs w:val="18"/>
          <w:color w:val="auto"/>
        </w:rPr>
        <w:t>We have a multi-year technology plan focused on driving operating and back-office cost efficiencies, customer value, and strategic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fiscal year 2023, we have successfully implemented: a new Customer Resource Management system to help manage and drive higher sales force effectiveness; a new Case Management system to ensure strong integration between our sales force, customer care group and operating teams; a cloud-based Enterprise Resource Planning system as the financial backbone to our business; and a new digital procurement system to enhance spend category management and drive efficiencies.</w:t>
      </w:r>
    </w:p>
    <w:p>
      <w:pPr>
        <w:spacing w:after="0" w:line="7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plan to continue our measured approach to technology implementation, with capital investment in select technologies that are long-term strategic fits, drive operational efficiencies, and streamline various back-office functions. This initiative also includes the implementation of route optimization software and a new on-board computing platform to drive efficiencies, safety, and improve billings. We have also increased our access to actionable real-time data through continued improvements to our business intelligence software over the last several years.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Facilities. </w:t>
      </w:r>
      <w:r>
        <w:rPr>
          <w:rFonts w:ascii="Times New Roman" w:cs="Times New Roman" w:eastAsia="Times New Roman" w:hAnsi="Times New Roman"/>
          <w:sz w:val="18"/>
          <w:szCs w:val="18"/>
          <w:color w:val="auto"/>
        </w:rPr>
        <w:t>We believe prioritizing and allocating capital to meet our long-term facility needs will help to improve employee safety, operating efficiencies,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integration, and employee engagement. Our multi-year facility strategy helps to guide decisions related to facility expansions, consolidations, and relocations as well as key property or facility acquisitions. We are also focused on developing facility standards that will create a more welcoming and accommodating experience for our employees, customers, vendors, and site visitors. These attributes coupled with improved functional design aim to increase the attraction and retention of key roles across our organization.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4"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We believe that one of the most important factors in achieving our long-term strategy is to hire, develop, and retain employees who will be able to make good decisions for our business, customers and communities by adhering to our c</w:t>
      </w:r>
      <w:r>
        <w:rPr>
          <w:rFonts w:ascii="Times New Roman" w:cs="Times New Roman" w:eastAsia="Times New Roman" w:hAnsi="Times New Roman"/>
          <w:sz w:val="18"/>
          <w:szCs w:val="18"/>
          <w:i w:val="1"/>
          <w:iCs w:val="1"/>
          <w:color w:val="auto"/>
        </w:rPr>
        <w:t>ore values</w:t>
      </w:r>
      <w:r>
        <w:rPr>
          <w:rFonts w:ascii="Times New Roman" w:cs="Times New Roman" w:eastAsia="Times New Roman" w:hAnsi="Times New Roman"/>
          <w:sz w:val="18"/>
          <w:szCs w:val="18"/>
          <w:color w:val="auto"/>
        </w:rPr>
        <w:t xml:space="preserve"> of service, trust, responsibility, integrity, continuous improvement and teamwork ("Core Values"). Our team consists of drivers, vehicle technicians, equipment operators, recycling facility sorters, engineers, accountants, customer care specialists, and many other key roles.</w:t>
      </w:r>
    </w:p>
    <w:p>
      <w:pPr>
        <w:spacing w:after="0" w:line="7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January 31, 2024, we employed approximately 4,200 employees, including approximately 800 managerial, sales, clerical, information systems or other administrative employees and approximately 3,400 employees involved in collection, transfer, disposal, recycling, organics or other operations. Approximately 180 of our employees are covered by collective bargaining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1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 top priority across all of our operations is to protect the health and safety of our team and the communities that we serve. At the heart of our safety program are our safety and operations teams, who are dedicated to ensuring that every employee has a safe operating environment and the necessary training and personal protective equipment to safely conduct their role. Both the success of our safety programs and the performance of our health and safety and operations teams is measured by our total recordable incident rate, a measure of accidents and injuries compared to hours worked. Our extensive focus on new hire and ongoing training programs also helps us to manage and reduce operational risks for our front-line employees.</w:t>
      </w:r>
    </w:p>
    <w:p>
      <w:pPr>
        <w:spacing w:after="0" w:line="79"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We are also focused on facility upgrades, enhancements, and standards that result in safety and operational improvements, while furthering employee engagement. We understand the importance of providing a safe and attractive environment for our employees to work.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 Programs</w:t>
      </w:r>
    </w:p>
    <w:p>
      <w:pPr>
        <w:spacing w:after="0" w:line="1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strive to provide the necessary resources to support the physical and mental health of our employees and the overall well-being of their families and the communities that we serve. We aim to achieve this through our benefit programs, caring attitude towards our employees, deep engagement in our communities, and adherence to our Core Values. We are committed to offering high quality benefits at affordable rates, competitive compensation based on role, experience and performance, and a career path program to encourage members of our team to advance throughout their employment with us. We conduct market-based surveys to ensure that our employees continue to be paid competitively, and we perform annual reviews to provide feedback and support the growth and development of members of our team.</w:t>
      </w:r>
    </w:p>
    <w:p>
      <w:pPr>
        <w:spacing w:after="0" w:line="7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We offer our employees access to enhanced benefits such as a concierge surgery service, telemedicine options, access to a certified clinical pharmacist to support employees in managing their medications and healthcare budget, and online psychology appointments. We understand the importance of work-life balance for our employees and offer eight weeks maternity leave as well as maintain a robust employee assistance program designed to provide support and guidance related to personal life challenges and events. Further, our Employee Life Navigator program is focused on employee retention, career development, and financial stability for at risk employees. Through comprehensive compensation and benefits, ongoing employee development, tuition reimbursement and a focus on health, safety and employee well-being, we wish to help our employees in all aspects of their lives so they can realize their value and do their best work.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People, Culture &amp; Belonging</w:t>
      </w:r>
    </w:p>
    <w:p>
      <w:pPr>
        <w:spacing w:after="0" w:line="11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Our commitment to workplace diversity, equity, and a culture of inclusion is rooted in our Core Values and our People, Culture &amp; Belonging initiatives. Our vision is to draw on our Core Values to achieve diversity throughout our workforce, including our leadership, through the following:</w:t>
      </w:r>
    </w:p>
    <w:p>
      <w:pPr>
        <w:spacing w:after="0" w:line="4" w:lineRule="exact"/>
        <w:rPr>
          <w:sz w:val="20"/>
          <w:szCs w:val="20"/>
          <w:color w:val="auto"/>
        </w:rPr>
      </w:pPr>
    </w:p>
    <w:p>
      <w:pPr>
        <w:ind w:left="480" w:right="280" w:hanging="314"/>
        <w:spacing w:after="0" w:line="275"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directing recruiting efforts to new talent pools, promoting diversity in our training and development programs, and encouraging diversity within our process for advancing our next cohort of leaders;</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ongoing cultural awareness and competency training program for managers that emphasize people, culture and belonging; and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0" w:hanging="314"/>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diversity, equity, and inclusion practices as part of our ongoing efforts to upgrade our procurement system and practices.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 Training and Development</w:t>
      </w:r>
    </w:p>
    <w:p>
      <w:pPr>
        <w:spacing w:after="0" w:line="116"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8"/>
          <w:szCs w:val="18"/>
          <w:color w:val="auto"/>
        </w:rPr>
        <w:t>We are committed to building people and cultivating engagement by investing in our career path program in order to provide a clear and measurable development pathway for career growth, including the following training initiatives and programs.</w:t>
      </w:r>
    </w:p>
    <w:p>
      <w:pPr>
        <w:spacing w:after="0" w:line="5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Apprenticeships. </w:t>
      </w:r>
      <w:r>
        <w:rPr>
          <w:rFonts w:ascii="Times New Roman" w:cs="Times New Roman" w:eastAsia="Times New Roman" w:hAnsi="Times New Roman"/>
          <w:sz w:val="18"/>
          <w:szCs w:val="18"/>
          <w:color w:val="auto"/>
        </w:rPr>
        <w:t>We have developed an apprenticeship program for drivers and technicians, where we recruit new employees from diverse backgrounds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 them build the skills they need to thrive in our organization.</w:t>
      </w:r>
    </w:p>
    <w:p>
      <w:pPr>
        <w:spacing w:after="0" w:line="5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7"/>
          <w:szCs w:val="17"/>
          <w:i w:val="1"/>
          <w:iCs w:val="1"/>
          <w:color w:val="auto"/>
        </w:rPr>
        <w:t xml:space="preserve">Commercial Driver's License Training. </w:t>
      </w:r>
      <w:r>
        <w:rPr>
          <w:rFonts w:ascii="Times New Roman" w:cs="Times New Roman" w:eastAsia="Times New Roman" w:hAnsi="Times New Roman"/>
          <w:sz w:val="17"/>
          <w:szCs w:val="17"/>
          <w:color w:val="auto"/>
        </w:rPr>
        <w:t>We have developed a commercial driver's license ("CDL") training school and have partnered with several additional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training schools across our operating footprint to help develop skilled drivers for our team. Since the beginning of the fiscal year ended December 31, 2021 ("fiscal year 2021"), we have supported over 200 drivers in securing their CDL, which has unlocked new opportunities for them within our company.</w:t>
      </w:r>
    </w:p>
    <w:p>
      <w:pPr>
        <w:spacing w:after="0" w:line="5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Operations Trainee Program. </w:t>
      </w:r>
      <w:r>
        <w:rPr>
          <w:rFonts w:ascii="Times New Roman" w:cs="Times New Roman" w:eastAsia="Times New Roman" w:hAnsi="Times New Roman"/>
          <w:sz w:val="18"/>
          <w:szCs w:val="18"/>
          <w:color w:val="auto"/>
        </w:rPr>
        <w:t>Our operations trainee program develops individuals into frontline management roles. Through on-the-job training,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learn the technical and leadership skills required to lead our operations. This program has become a strong pipeline for our operating managers across our company. We continue to expand our management development programs across the organization.</w:t>
      </w:r>
    </w:p>
    <w:p>
      <w:pPr>
        <w:spacing w:after="0" w:line="67"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Diesel Mechanic Training. </w:t>
      </w:r>
      <w:r>
        <w:rPr>
          <w:rFonts w:ascii="Times New Roman" w:cs="Times New Roman" w:eastAsia="Times New Roman" w:hAnsi="Times New Roman"/>
          <w:sz w:val="18"/>
          <w:szCs w:val="18"/>
          <w:color w:val="auto"/>
        </w:rPr>
        <w:t>In fiscal year 2023 we launched our in house Diesel Technician school and, with our continued collaboration with technical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schools, have produced several diesel technicians throughout our organization. We continue to enhance our training infrastructure and resources to attract, develop, and retain skilled diesel mechanics.</w:t>
      </w:r>
    </w:p>
    <w:p>
      <w:pPr>
        <w:spacing w:after="0" w:line="6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have also increased our focus on Core Values training to support the continued growth of our workforce and ensure that new employees understand our culture and values. This training highlights our commitment to integrating new employees and ensuring that there is continuity in our message about culture within our organization.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Overview</w:t>
      </w:r>
    </w:p>
    <w:p>
      <w:pPr>
        <w:spacing w:after="0" w:line="11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manage our solid waste operations, which are vertically integrated and include a full range of solid waste services, on a geographic basis through three regional operating segments, which we designate as the Eastern, Western and Mid-Atlantic regions. Within each geographic region, we organize our solid waste services around smaller market areas that we also refer to as “wastesheds.” A wasteshed is an area that comprises the complete cycle of activities in the solid waste services process, from collection to transfer operations and recycling to disposal in landfills, some of which may be owned and/or operated by third parties. We typically operate several divisions within each market area, or wasteshed, each of which provides a particular service, such as collection, recycling, disposal or transfer. Each division operates interdependently with the other divisions within the market area. Each market area generally operates autonomously from adjoining market areas.</w:t>
      </w:r>
    </w:p>
    <w:p>
      <w:pPr>
        <w:spacing w:after="0" w:line="8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Our Eastern region consists of wastesheds located in Maine, northern, central and southeastern New Hampshire, central and eastern Massachusetts, and eastern Connecticut. We began entering into these wastesheds beginning in 1996 and have expanded primarily through acquisitions and organic growth since. Our Western region consists of wastesheds located in Vermont, southwestern New Hampshire, eastern, western and upstate New York, western Massachusetts, and in Pennsylvania around our Subtitle D landfill located in Mount Jewett, Pennsylvania ("McKean Landfill"). We began entering into these wastesheds in 1997 and have expanded primarily through tuck-in acquisitions and organic growth since. We remain focused on increasing our vertical integration in our Western region through extension of our reach into new markets. Our Mid-Atlantic region consists of wastesheds located in eastern Pennsylvania, Delaware and Maryland. We began operations in these wastesheds in 2023 after the completion of the GFL Acquisition.</w:t>
      </w:r>
    </w:p>
    <w:p>
      <w:pPr>
        <w:spacing w:after="0" w:line="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The Resource Solutions operating segment is not specific to a geography and is organized to leverage our core competencies across our entire business footprint.</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each reportable segment (as of January 31, 2024 except revenue information, which is for fiscal year 2023):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13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Resource Solutions</w:t>
            </w:r>
          </w:p>
        </w:tc>
      </w:tr>
      <w:tr>
        <w:trPr>
          <w:trHeight w:val="24"/>
        </w:trPr>
        <w:tc>
          <w:tcPr>
            <w:tcW w:w="54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86"/>
        </w:trPr>
        <w:tc>
          <w:tcPr>
            <w:tcW w:w="54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226"/>
        </w:trPr>
        <w:tc>
          <w:tcPr>
            <w:tcW w:w="54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Revenues (in millions)</w:t>
            </w:r>
          </w:p>
        </w:tc>
        <w:tc>
          <w:tcPr>
            <w:tcW w:w="13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shd w:val="clear" w:color="auto" w:fill="BFE4FF"/>
          </w:tcPr>
          <w:p>
            <w:pPr>
              <w:spacing w:after="0"/>
              <w:rPr>
                <w:sz w:val="19"/>
                <w:szCs w:val="19"/>
                <w:color w:val="auto"/>
              </w:rPr>
            </w:pPr>
          </w:p>
        </w:tc>
        <w:tc>
          <w:tcPr>
            <w:tcW w:w="13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6"/>
              </w:rPr>
              <w:t>$511.6</w:t>
            </w:r>
          </w:p>
        </w:tc>
        <w:tc>
          <w:tcPr>
            <w:tcW w:w="1460" w:type="dxa"/>
            <w:vAlign w:val="bottom"/>
            <w:shd w:val="clear" w:color="auto" w:fill="BFE4FF"/>
          </w:tcPr>
          <w:p>
            <w:pPr>
              <w:jc w:val="center"/>
              <w:ind w:left="94"/>
              <w:spacing w:after="0"/>
              <w:rPr>
                <w:sz w:val="20"/>
                <w:szCs w:val="20"/>
                <w:color w:val="auto"/>
              </w:rPr>
            </w:pPr>
            <w:r>
              <w:rPr>
                <w:rFonts w:ascii="Times New Roman" w:cs="Times New Roman" w:eastAsia="Times New Roman" w:hAnsi="Times New Roman"/>
                <w:sz w:val="18"/>
                <w:szCs w:val="18"/>
                <w:color w:val="auto"/>
                <w:w w:val="98"/>
              </w:rPr>
              <w:t>$85.6</w:t>
            </w:r>
          </w:p>
        </w:tc>
        <w:tc>
          <w:tcPr>
            <w:tcW w:w="1500" w:type="dxa"/>
            <w:vAlign w:val="bottom"/>
            <w:shd w:val="clear" w:color="auto" w:fill="BFE4FF"/>
          </w:tcPr>
          <w:p>
            <w:pPr>
              <w:jc w:val="center"/>
              <w:ind w:left="54"/>
              <w:spacing w:after="0"/>
              <w:rPr>
                <w:sz w:val="20"/>
                <w:szCs w:val="20"/>
                <w:color w:val="auto"/>
              </w:rPr>
            </w:pPr>
            <w:r>
              <w:rPr>
                <w:rFonts w:ascii="Times New Roman" w:cs="Times New Roman" w:eastAsia="Times New Roman" w:hAnsi="Times New Roman"/>
                <w:sz w:val="18"/>
                <w:szCs w:val="18"/>
                <w:color w:val="auto"/>
                <w:w w:val="96"/>
              </w:rPr>
              <w:t>$292.8</w:t>
            </w:r>
          </w:p>
        </w:tc>
      </w:tr>
      <w:tr>
        <w:trPr>
          <w:trHeight w:val="22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Properties: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6"/>
        </w:trPr>
        <w:tc>
          <w:tcPr>
            <w:tcW w:w="5480" w:type="dxa"/>
            <w:vAlign w:val="bottom"/>
            <w:shd w:val="clear" w:color="auto" w:fill="BFE4FF"/>
          </w:tcPr>
          <w:p>
            <w:pPr>
              <w:ind w:left="240"/>
              <w:spacing w:after="0"/>
              <w:rPr>
                <w:sz w:val="20"/>
                <w:szCs w:val="20"/>
                <w:color w:val="auto"/>
              </w:rPr>
            </w:pPr>
            <w:r>
              <w:rPr>
                <w:rFonts w:ascii="Times New Roman" w:cs="Times New Roman" w:eastAsia="Times New Roman" w:hAnsi="Times New Roman"/>
                <w:sz w:val="18"/>
                <w:szCs w:val="18"/>
                <w:color w:val="auto"/>
              </w:rPr>
              <w:t>Solid waste collection facilities</w:t>
            </w:r>
          </w:p>
        </w:tc>
        <w:tc>
          <w:tcPr>
            <w:tcW w:w="13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shd w:val="clear" w:color="auto" w:fill="BFE4FF"/>
          </w:tcPr>
          <w:p>
            <w:pPr>
              <w:spacing w:after="0"/>
              <w:rPr>
                <w:sz w:val="19"/>
                <w:szCs w:val="19"/>
                <w:color w:val="auto"/>
              </w:rPr>
            </w:pPr>
          </w:p>
        </w:tc>
        <w:tc>
          <w:tcPr>
            <w:tcW w:w="13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460" w:type="dxa"/>
            <w:vAlign w:val="bottom"/>
            <w:shd w:val="clear" w:color="auto" w:fill="BFE4FF"/>
          </w:tcPr>
          <w:p>
            <w:pPr>
              <w:jc w:val="center"/>
              <w:ind w:left="94"/>
              <w:spacing w:after="0"/>
              <w:rPr>
                <w:sz w:val="20"/>
                <w:szCs w:val="20"/>
                <w:color w:val="auto"/>
              </w:rPr>
            </w:pPr>
            <w:r>
              <w:rPr>
                <w:rFonts w:ascii="Times New Roman" w:cs="Times New Roman" w:eastAsia="Times New Roman" w:hAnsi="Times New Roman"/>
                <w:sz w:val="18"/>
                <w:szCs w:val="18"/>
                <w:color w:val="auto"/>
                <w:w w:val="88"/>
              </w:rPr>
              <w:t>9</w:t>
            </w:r>
          </w:p>
        </w:tc>
        <w:tc>
          <w:tcPr>
            <w:tcW w:w="1500" w:type="dxa"/>
            <w:vAlign w:val="bottom"/>
            <w:shd w:val="clear" w:color="auto" w:fill="BFE4FF"/>
          </w:tcPr>
          <w:p>
            <w:pPr>
              <w:jc w:val="center"/>
              <w:ind w:left="34"/>
              <w:spacing w:after="0"/>
              <w:rPr>
                <w:sz w:val="20"/>
                <w:szCs w:val="20"/>
                <w:color w:val="auto"/>
              </w:rPr>
            </w:pPr>
            <w:r>
              <w:rPr>
                <w:rFonts w:ascii="Times New Roman" w:cs="Times New Roman" w:eastAsia="Times New Roman" w:hAnsi="Times New Roman"/>
                <w:sz w:val="18"/>
                <w:szCs w:val="18"/>
                <w:color w:val="auto"/>
                <w:w w:val="99"/>
              </w:rPr>
              <w:t>—</w:t>
            </w:r>
          </w:p>
        </w:tc>
      </w:tr>
      <w:tr>
        <w:trPr>
          <w:trHeight w:val="226"/>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 stations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46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88"/>
              </w:rPr>
              <w:t>1</w:t>
            </w:r>
          </w:p>
        </w:tc>
        <w:tc>
          <w:tcPr>
            <w:tcW w:w="15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w:t>
            </w:r>
          </w:p>
        </w:tc>
      </w:tr>
      <w:tr>
        <w:trPr>
          <w:trHeight w:val="226"/>
        </w:trPr>
        <w:tc>
          <w:tcPr>
            <w:tcW w:w="5480" w:type="dxa"/>
            <w:vAlign w:val="bottom"/>
            <w:shd w:val="clear" w:color="auto" w:fill="BFE4FF"/>
          </w:tcPr>
          <w:p>
            <w:pPr>
              <w:ind w:left="240"/>
              <w:spacing w:after="0"/>
              <w:rPr>
                <w:sz w:val="20"/>
                <w:szCs w:val="20"/>
                <w:color w:val="auto"/>
              </w:rPr>
            </w:pPr>
            <w:r>
              <w:rPr>
                <w:rFonts w:ascii="Times New Roman" w:cs="Times New Roman" w:eastAsia="Times New Roman" w:hAnsi="Times New Roman"/>
                <w:sz w:val="18"/>
                <w:szCs w:val="18"/>
                <w:color w:val="auto"/>
              </w:rPr>
              <w:t>Recycling and processing facilities</w:t>
            </w:r>
          </w:p>
        </w:tc>
        <w:tc>
          <w:tcPr>
            <w:tcW w:w="13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BFE4FF"/>
          </w:tcPr>
          <w:p>
            <w:pPr>
              <w:spacing w:after="0"/>
              <w:rPr>
                <w:sz w:val="19"/>
                <w:szCs w:val="19"/>
                <w:color w:val="auto"/>
              </w:rPr>
            </w:pPr>
          </w:p>
        </w:tc>
        <w:tc>
          <w:tcPr>
            <w:tcW w:w="13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460" w:type="dxa"/>
            <w:vAlign w:val="bottom"/>
            <w:shd w:val="clear" w:color="auto" w:fill="BFE4FF"/>
          </w:tcPr>
          <w:p>
            <w:pPr>
              <w:jc w:val="center"/>
              <w:ind w:left="74"/>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BFE4FF"/>
          </w:tcPr>
          <w:p>
            <w:pPr>
              <w:jc w:val="center"/>
              <w:ind w:left="34"/>
              <w:spacing w:after="0"/>
              <w:rPr>
                <w:sz w:val="20"/>
                <w:szCs w:val="20"/>
                <w:color w:val="auto"/>
              </w:rPr>
            </w:pPr>
            <w:r>
              <w:rPr>
                <w:rFonts w:ascii="Times New Roman" w:cs="Times New Roman" w:eastAsia="Times New Roman" w:hAnsi="Times New Roman"/>
                <w:sz w:val="18"/>
                <w:szCs w:val="18"/>
                <w:color w:val="auto"/>
                <w:w w:val="99"/>
              </w:rPr>
              <w:t>20</w:t>
            </w:r>
          </w:p>
        </w:tc>
      </w:tr>
      <w:tr>
        <w:trPr>
          <w:trHeight w:val="226"/>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Subtitle D landfills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46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w:t>
            </w:r>
          </w:p>
        </w:tc>
      </w:tr>
      <w:tr>
        <w:trPr>
          <w:trHeight w:val="226"/>
        </w:trPr>
        <w:tc>
          <w:tcPr>
            <w:tcW w:w="5480" w:type="dxa"/>
            <w:vAlign w:val="bottom"/>
            <w:shd w:val="clear" w:color="auto" w:fill="BFE4FF"/>
          </w:tcPr>
          <w:p>
            <w:pPr>
              <w:ind w:left="240"/>
              <w:spacing w:after="0"/>
              <w:rPr>
                <w:sz w:val="20"/>
                <w:szCs w:val="20"/>
                <w:color w:val="auto"/>
              </w:rPr>
            </w:pPr>
            <w:r>
              <w:rPr>
                <w:rFonts w:ascii="Times New Roman" w:cs="Times New Roman" w:eastAsia="Times New Roman" w:hAnsi="Times New Roman"/>
                <w:sz w:val="18"/>
                <w:szCs w:val="18"/>
                <w:color w:val="auto"/>
              </w:rPr>
              <w:t>Landfill gas-to-energy facilities</w:t>
            </w:r>
          </w:p>
        </w:tc>
        <w:tc>
          <w:tcPr>
            <w:tcW w:w="13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BFE4FF"/>
          </w:tcPr>
          <w:p>
            <w:pPr>
              <w:spacing w:after="0"/>
              <w:rPr>
                <w:sz w:val="19"/>
                <w:szCs w:val="19"/>
                <w:color w:val="auto"/>
              </w:rPr>
            </w:pPr>
          </w:p>
        </w:tc>
        <w:tc>
          <w:tcPr>
            <w:tcW w:w="134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60" w:type="dxa"/>
            <w:vAlign w:val="bottom"/>
            <w:shd w:val="clear" w:color="auto" w:fill="BFE4FF"/>
          </w:tcPr>
          <w:p>
            <w:pPr>
              <w:jc w:val="center"/>
              <w:ind w:left="74"/>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BFE4FF"/>
          </w:tcPr>
          <w:p>
            <w:pPr>
              <w:jc w:val="center"/>
              <w:ind w:left="34"/>
              <w:spacing w:after="0"/>
              <w:rPr>
                <w:sz w:val="20"/>
                <w:szCs w:val="20"/>
                <w:color w:val="auto"/>
              </w:rPr>
            </w:pPr>
            <w:r>
              <w:rPr>
                <w:rFonts w:ascii="Times New Roman" w:cs="Times New Roman" w:eastAsia="Times New Roman" w:hAnsi="Times New Roman"/>
                <w:sz w:val="18"/>
                <w:szCs w:val="18"/>
                <w:color w:val="auto"/>
                <w:w w:val="99"/>
              </w:rPr>
              <w:t>—</w:t>
            </w:r>
          </w:p>
        </w:tc>
      </w:tr>
      <w:tr>
        <w:trPr>
          <w:trHeight w:val="232"/>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Construction and demolition ("C&amp;D") landfills</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46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3"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18"/>
          <w:szCs w:val="18"/>
          <w:color w:val="auto"/>
        </w:rPr>
        <w:t xml:space="preserve">For financial information concerning our reportable segments, refer to “Item 7. </w:t>
      </w:r>
      <w:r>
        <w:rPr>
          <w:rFonts w:ascii="Times New Roman" w:cs="Times New Roman" w:eastAsia="Times New Roman" w:hAnsi="Times New Roman"/>
          <w:sz w:val="18"/>
          <w:szCs w:val="18"/>
          <w:i w:val="1"/>
          <w:iCs w:val="1"/>
          <w:color w:val="auto"/>
        </w:rPr>
        <w:t>Management’s Discussion and Analysis of Results of Operations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and “Item 8.</w:t>
      </w:r>
      <w:r>
        <w:rPr>
          <w:rFonts w:ascii="Times New Roman" w:cs="Times New Roman" w:eastAsia="Times New Roman" w:hAnsi="Times New Roman"/>
          <w:sz w:val="18"/>
          <w:szCs w:val="18"/>
          <w:i w:val="1"/>
          <w:iCs w:val="1"/>
          <w:color w:val="auto"/>
        </w:rPr>
        <w:t xml:space="preserve"> Financial Statements and Supplementary Data</w:t>
      </w:r>
      <w:r>
        <w:rPr>
          <w:rFonts w:ascii="Times New Roman" w:cs="Times New Roman" w:eastAsia="Times New Roman" w:hAnsi="Times New Roman"/>
          <w:sz w:val="18"/>
          <w:szCs w:val="18"/>
          <w:color w:val="auto"/>
        </w:rPr>
        <w:t>”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Solid Waste Operations</w:t>
      </w:r>
    </w:p>
    <w:p>
      <w:pPr>
        <w:spacing w:after="0" w:line="11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Solid waste operations within our Eastern, Western and Mid-Atlantic regions consist of a comprehensive range of solid waste services. Our Eastern and Western regions are comprised primarily of solid waste collection, transfer station, and disposal facilities. Revenues derived from our solid waste operations in our Eastern and Western regions consist primarily of fees charged to customers for solid waste collection and disposal services, including landfill, transfer station and transportation, while also providing landfill gas-to-energy and processing services. Our Mid-Atlantic region is comprised of collection facilities and a transfer station facility. Revenues in our Mid-Atlantic region consist primarily of fees charged to customers for solid waste collection and transfer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renewable energy credits, and energy capacity payments at certain of our landfill facilities.</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Collection. </w:t>
      </w:r>
      <w:r>
        <w:rPr>
          <w:rFonts w:ascii="Times New Roman" w:cs="Times New Roman" w:eastAsia="Times New Roman" w:hAnsi="Times New Roman"/>
          <w:sz w:val="18"/>
          <w:szCs w:val="18"/>
          <w:color w:val="auto"/>
        </w:rPr>
        <w:t>A majority of our commercial and industrial collection services are performed under one-to-five year service agreements, with prices and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such factors as: collection frequency; type of equipment and containers furnished; type, volume and weight of solid waste collected; distance to the disposal or processing facility; and cost of disposal or processing. Our residential collection services are performed either on a subscription basis (with no underlying contract) with individuals, or through contracts with municipalities, homeowner associations, apartment building owners or mobile home park operators.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Transfer Stations. </w:t>
      </w:r>
      <w:r>
        <w:rPr>
          <w:rFonts w:ascii="Times New Roman" w:cs="Times New Roman" w:eastAsia="Times New Roman" w:hAnsi="Times New Roman"/>
          <w:sz w:val="18"/>
          <w:szCs w:val="18"/>
          <w:color w:val="auto"/>
        </w:rPr>
        <w:t>Our transfer stations receive, process and transfer solid waste, collected by our various residential and commercial collection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along with volumes from various third party service providers, for transport to disposal facilities by larger vehicles. We believe that transfer stations benefit us by: </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increasing the size of the wastesheds which have access to our landfills or third-party disposal facilities;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reducing costs by improving utilization of collection personnel and equipment; and </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helping us build relationships with municipalities and other customers by providing a local physical presence and enhanced local service capabilities.</w:t>
      </w:r>
    </w:p>
    <w:p>
      <w:pPr>
        <w:spacing w:after="0" w:line="7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Landfills. </w:t>
      </w:r>
      <w:r>
        <w:rPr>
          <w:rFonts w:ascii="Times New Roman" w:cs="Times New Roman" w:eastAsia="Times New Roman" w:hAnsi="Times New Roman"/>
          <w:sz w:val="18"/>
          <w:szCs w:val="18"/>
          <w:color w:val="auto"/>
        </w:rPr>
        <w:t>We operate eight solid waste Subtitle D landfills and one landfill permitted to accept C&amp;D materials. Revenues are received from municipalities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customers in the form of tipping fees. The estimated capacity at our landfills is subject to change based on engineering factors, requirements of regulatory authorities, our ability to continue to operate our landfills in compliance with applicable regulations and our ability to successfully renew operating permits and obtain expansion permits at our sites.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The following table (in thousands) reflects the aggregate landfill capacity and airspace changes, in tons, for landfills we operated during fiscal years 2023, 2022 and 2021: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Fiscal Year 2023</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Fiscal Year 2022</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Fiscal Year 2021</w:t>
            </w:r>
          </w:p>
        </w:tc>
        <w:tc>
          <w:tcPr>
            <w:tcW w:w="900" w:type="dxa"/>
            <w:vAlign w:val="bottom"/>
            <w:tcBorders>
              <w:bottom w:val="single" w:sz="8" w:color="auto"/>
            </w:tcBorders>
          </w:tcPr>
          <w:p>
            <w:pPr>
              <w:spacing w:after="0"/>
              <w:rPr>
                <w:sz w:val="15"/>
                <w:szCs w:val="15"/>
                <w:color w:val="auto"/>
              </w:rPr>
            </w:pPr>
          </w:p>
        </w:tc>
      </w:tr>
      <w:tr>
        <w:trPr>
          <w:trHeight w:val="120"/>
        </w:trPr>
        <w:tc>
          <w:tcPr>
            <w:tcW w:w="2380" w:type="dxa"/>
            <w:vAlign w:val="bottom"/>
          </w:tcPr>
          <w:p>
            <w:pPr>
              <w:spacing w:after="0"/>
              <w:rPr>
                <w:sz w:val="10"/>
                <w:szCs w:val="10"/>
                <w:color w:val="auto"/>
              </w:rPr>
            </w:pPr>
          </w:p>
        </w:tc>
        <w:tc>
          <w:tcPr>
            <w:tcW w:w="96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100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100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10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9"/>
              </w:rPr>
              <w:t>Estimated</w:t>
            </w:r>
          </w:p>
        </w:tc>
        <w:tc>
          <w:tcPr>
            <w:tcW w:w="900" w:type="dxa"/>
            <w:vAlign w:val="bottom"/>
          </w:tcPr>
          <w:p>
            <w:pPr>
              <w:spacing w:after="0"/>
              <w:rPr>
                <w:sz w:val="10"/>
                <w:szCs w:val="10"/>
                <w:color w:val="auto"/>
              </w:rPr>
            </w:pPr>
          </w:p>
        </w:tc>
      </w:tr>
      <w:tr>
        <w:trPr>
          <w:trHeight w:val="126"/>
        </w:trPr>
        <w:tc>
          <w:tcPr>
            <w:tcW w:w="2380" w:type="dxa"/>
            <w:vAlign w:val="bottom"/>
          </w:tcPr>
          <w:p>
            <w:pPr>
              <w:spacing w:after="0"/>
              <w:rPr>
                <w:sz w:val="10"/>
                <w:szCs w:val="10"/>
                <w:color w:val="auto"/>
              </w:rPr>
            </w:pPr>
          </w:p>
        </w:tc>
        <w:tc>
          <w:tcPr>
            <w:tcW w:w="96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100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100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102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900" w:type="dxa"/>
            <w:vAlign w:val="bottom"/>
          </w:tcPr>
          <w:p>
            <w:pPr>
              <w:spacing w:after="0"/>
              <w:rPr>
                <w:sz w:val="10"/>
                <w:szCs w:val="10"/>
                <w:color w:val="auto"/>
              </w:rPr>
            </w:pPr>
          </w:p>
        </w:tc>
      </w:tr>
      <w:tr>
        <w:trPr>
          <w:trHeight w:val="127"/>
        </w:trPr>
        <w:tc>
          <w:tcPr>
            <w:tcW w:w="2380" w:type="dxa"/>
            <w:vAlign w:val="bottom"/>
          </w:tcPr>
          <w:p>
            <w:pPr>
              <w:spacing w:after="0"/>
              <w:rPr>
                <w:sz w:val="11"/>
                <w:szCs w:val="11"/>
                <w:color w:val="auto"/>
              </w:rPr>
            </w:pPr>
          </w:p>
        </w:tc>
        <w:tc>
          <w:tcPr>
            <w:tcW w:w="96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b w:val="1"/>
                <w:bCs w:val="1"/>
                <w:color w:val="auto"/>
              </w:rPr>
              <w:t>Permitted</w:t>
            </w:r>
          </w:p>
        </w:tc>
        <w:tc>
          <w:tcPr>
            <w:tcW w:w="100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2"/>
                <w:szCs w:val="12"/>
                <w:b w:val="1"/>
                <w:bCs w:val="1"/>
                <w:color w:val="auto"/>
              </w:rPr>
              <w:t>Permittable</w:t>
            </w:r>
          </w:p>
        </w:tc>
        <w:tc>
          <w:tcPr>
            <w:tcW w:w="100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96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2"/>
                <w:szCs w:val="12"/>
                <w:b w:val="1"/>
                <w:bCs w:val="1"/>
                <w:color w:val="auto"/>
              </w:rPr>
              <w:t>Permitted</w:t>
            </w:r>
          </w:p>
        </w:tc>
        <w:tc>
          <w:tcPr>
            <w:tcW w:w="100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b w:val="1"/>
                <w:bCs w:val="1"/>
                <w:color w:val="auto"/>
              </w:rPr>
              <w:t>Permittable</w:t>
            </w:r>
          </w:p>
        </w:tc>
        <w:tc>
          <w:tcPr>
            <w:tcW w:w="100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96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b w:val="1"/>
                <w:bCs w:val="1"/>
                <w:color w:val="auto"/>
              </w:rPr>
              <w:t>Permitted</w:t>
            </w:r>
          </w:p>
        </w:tc>
        <w:tc>
          <w:tcPr>
            <w:tcW w:w="102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b w:val="1"/>
                <w:bCs w:val="1"/>
                <w:color w:val="auto"/>
              </w:rPr>
              <w:t>Permittable</w:t>
            </w:r>
          </w:p>
        </w:tc>
        <w:tc>
          <w:tcPr>
            <w:tcW w:w="9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Estimated</w:t>
            </w:r>
          </w:p>
        </w:tc>
      </w:tr>
      <w:tr>
        <w:trPr>
          <w:trHeight w:val="120"/>
        </w:trPr>
        <w:tc>
          <w:tcPr>
            <w:tcW w:w="2380" w:type="dxa"/>
            <w:vAlign w:val="bottom"/>
          </w:tcPr>
          <w:p>
            <w:pPr>
              <w:spacing w:after="0"/>
              <w:rPr>
                <w:sz w:val="10"/>
                <w:szCs w:val="10"/>
                <w:color w:val="auto"/>
              </w:rPr>
            </w:pPr>
          </w:p>
        </w:tc>
        <w:tc>
          <w:tcPr>
            <w:tcW w:w="96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2"/>
                <w:szCs w:val="12"/>
                <w:b w:val="1"/>
                <w:bCs w:val="1"/>
                <w:color w:val="auto"/>
              </w:rPr>
              <w:t>Capacity</w:t>
            </w:r>
          </w:p>
        </w:tc>
        <w:tc>
          <w:tcPr>
            <w:tcW w:w="100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2"/>
                <w:szCs w:val="12"/>
                <w:b w:val="1"/>
                <w:bCs w:val="1"/>
                <w:color w:val="auto"/>
              </w:rPr>
              <w:t>Capacity</w:t>
            </w:r>
          </w:p>
        </w:tc>
        <w:tc>
          <w:tcPr>
            <w:tcW w:w="100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96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2"/>
                <w:szCs w:val="12"/>
                <w:b w:val="1"/>
                <w:bCs w:val="1"/>
                <w:color w:val="auto"/>
              </w:rPr>
              <w:t>Capacity</w:t>
            </w:r>
          </w:p>
        </w:tc>
        <w:tc>
          <w:tcPr>
            <w:tcW w:w="100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2"/>
                <w:szCs w:val="12"/>
                <w:b w:val="1"/>
                <w:bCs w:val="1"/>
                <w:color w:val="auto"/>
              </w:rPr>
              <w:t>Capacity</w:t>
            </w:r>
          </w:p>
        </w:tc>
        <w:tc>
          <w:tcPr>
            <w:tcW w:w="100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96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9"/>
              </w:rPr>
              <w:t>Capacity</w:t>
            </w:r>
          </w:p>
        </w:tc>
        <w:tc>
          <w:tcPr>
            <w:tcW w:w="10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Capacity</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79"/>
        </w:trPr>
        <w:tc>
          <w:tcPr>
            <w:tcW w:w="23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(1)(2)</w:t>
            </w:r>
          </w:p>
        </w:tc>
        <w:tc>
          <w:tcPr>
            <w:tcW w:w="10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Capacity</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(1)(2)</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Capacity</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(1)(2)</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Capacity</w:t>
            </w:r>
          </w:p>
        </w:tc>
      </w:tr>
      <w:tr>
        <w:trPr>
          <w:trHeight w:val="226"/>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57,547</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49,632</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107,179</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58,705</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47,251</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105,956</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42,681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31,239</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73,920</w:t>
            </w:r>
          </w:p>
        </w:tc>
      </w:tr>
      <w:tr>
        <w:trPr>
          <w:trHeight w:val="239"/>
        </w:trPr>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New expansions pursued </w:t>
            </w:r>
            <w:r>
              <w:rPr>
                <w:rFonts w:ascii="Times New Roman" w:cs="Times New Roman" w:eastAsia="Times New Roman" w:hAnsi="Times New Roman"/>
                <w:sz w:val="14"/>
                <w:szCs w:val="14"/>
                <w:color w:val="auto"/>
              </w:rPr>
              <w:t>(3)</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19,607</w:t>
            </w:r>
          </w:p>
        </w:tc>
        <w:tc>
          <w:tcPr>
            <w:tcW w:w="100" w:type="dxa"/>
            <w:vAlign w:val="bottom"/>
          </w:tcPr>
          <w:p>
            <w:pPr>
              <w:spacing w:after="0"/>
              <w:rPr>
                <w:sz w:val="20"/>
                <w:szCs w:val="20"/>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16,200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35,807</w:t>
            </w:r>
          </w:p>
        </w:tc>
      </w:tr>
      <w:tr>
        <w:trPr>
          <w:trHeight w:val="226"/>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Permits granted</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Airspace consumed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r>
      <w:tr>
        <w:trPr>
          <w:trHeight w:val="173"/>
        </w:trPr>
        <w:tc>
          <w:tcPr>
            <w:tcW w:w="2380" w:type="dxa"/>
            <w:vAlign w:val="bottom"/>
            <w:shd w:val="clear" w:color="auto" w:fill="CCEEFF"/>
          </w:tcPr>
          <w:p>
            <w:pPr>
              <w:ind w:left="340"/>
              <w:spacing w:after="0" w:line="173" w:lineRule="exact"/>
              <w:rPr>
                <w:sz w:val="20"/>
                <w:szCs w:val="20"/>
                <w:color w:val="auto"/>
              </w:rPr>
            </w:pPr>
            <w:r>
              <w:rPr>
                <w:rFonts w:ascii="Times New Roman" w:cs="Times New Roman" w:eastAsia="Times New Roman" w:hAnsi="Times New Roman"/>
                <w:sz w:val="18"/>
                <w:szCs w:val="18"/>
                <w:color w:val="auto"/>
              </w:rPr>
              <w:t>Changes in engineering</w:t>
            </w: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9"/>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estimates </w:t>
            </w:r>
            <w:r>
              <w:rPr>
                <w:rFonts w:ascii="Times New Roman" w:cs="Times New Roman" w:eastAsia="Times New Roman" w:hAnsi="Times New Roman"/>
                <w:sz w:val="14"/>
                <w:szCs w:val="14"/>
                <w:color w:val="auto"/>
              </w:rPr>
              <w:t>(4)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2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54,635</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color w:val="auto"/>
              </w:rPr>
              <w:t>50,415</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105,050</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57,547</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color w:val="auto"/>
              </w:rPr>
              <w:t>49,632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107,179</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58,705</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color w:val="auto"/>
              </w:rPr>
              <w:t>47,251</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105,956</w:t>
            </w:r>
          </w:p>
        </w:tc>
      </w:tr>
      <w:tr>
        <w:trPr>
          <w:trHeight w:val="20"/>
        </w:trPr>
        <w:tc>
          <w:tcPr>
            <w:tcW w:w="2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480" w:right="40" w:hanging="314"/>
        <w:spacing w:after="0" w:line="261" w:lineRule="auto"/>
        <w:tabs>
          <w:tab w:leader="none" w:pos="47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convert estimated remaining permitted capacity and estimated additional permittable capacity from cubic yards to tons by assuming a compaction factor derived from historical average compaction factors, with modification for future anticipated changes. In addition to a total capacity limit, certain permits place a daily and/or annual limit on capacity.</w:t>
      </w:r>
    </w:p>
    <w:p>
      <w:pPr>
        <w:spacing w:after="0" w:line="16" w:lineRule="exact"/>
        <w:rPr>
          <w:rFonts w:ascii="Times New Roman" w:cs="Times New Roman" w:eastAsia="Times New Roman" w:hAnsi="Times New Roman"/>
          <w:sz w:val="14"/>
          <w:szCs w:val="14"/>
          <w:color w:val="auto"/>
        </w:rPr>
      </w:pPr>
    </w:p>
    <w:p>
      <w:pPr>
        <w:ind w:left="480" w:hanging="314"/>
        <w:spacing w:after="0" w:line="253" w:lineRule="auto"/>
        <w:tabs>
          <w:tab w:leader="none" w:pos="47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Represents capacity which we have determined to be “permittable” in accordance with the following criteria: (i) we control the land on which the expansion is sought; (ii) all technical siting criteria have been met or a variance has been obtained or is reasonably expected to be obtained; (iii) we have not identified any legal or political impediments which we believe will not be resolved in our favor; (iv) we are actively working on obtaining any necessary permits and we expect that all required permits will be received; and (v) senior management has approved the project based on a review of the engineering design and determination that the financial return profile meets our investment criteria.</w:t>
      </w:r>
    </w:p>
    <w:p>
      <w:pPr>
        <w:spacing w:after="0" w:line="25" w:lineRule="exact"/>
        <w:rPr>
          <w:rFonts w:ascii="Times New Roman" w:cs="Times New Roman" w:eastAsia="Times New Roman" w:hAnsi="Times New Roman"/>
          <w:sz w:val="14"/>
          <w:szCs w:val="14"/>
          <w:color w:val="auto"/>
        </w:rPr>
      </w:pPr>
    </w:p>
    <w:p>
      <w:pPr>
        <w:ind w:left="480" w:right="240" w:hanging="314"/>
        <w:spacing w:after="0" w:line="275" w:lineRule="auto"/>
        <w:tabs>
          <w:tab w:leader="none" w:pos="47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increase in capacity associated with new expansions pursued at various landfills in our Western region (Hakes Landfill (defined below) in fiscal year 2022; and McKean Landfill and Hyland Landfill (defined below) in fiscal year 2021).</w:t>
      </w:r>
    </w:p>
    <w:p>
      <w:pPr>
        <w:spacing w:after="0" w:line="4" w:lineRule="exact"/>
        <w:rPr>
          <w:rFonts w:ascii="Times New Roman" w:cs="Times New Roman" w:eastAsia="Times New Roman" w:hAnsi="Times New Roman"/>
          <w:sz w:val="14"/>
          <w:szCs w:val="14"/>
          <w:color w:val="auto"/>
        </w:rPr>
      </w:pPr>
    </w:p>
    <w:p>
      <w:pPr>
        <w:ind w:left="480" w:right="240" w:hanging="314"/>
        <w:spacing w:after="0" w:line="275" w:lineRule="auto"/>
        <w:tabs>
          <w:tab w:leader="none" w:pos="47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variation in changes in airspace capacity associated with engineering estimates are primarily the result of changes in compaction at our landfills and estimated airspace changes associated with design changes at certain of our landfills.</w:t>
      </w:r>
    </w:p>
    <w:p>
      <w:pPr>
        <w:spacing w:after="0" w:line="58"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Our Eastern region consists of the following Subtitle D landfills located in Bethlehem, New Hampshire ("NCES Landfll") and West Old Town, Maine ("Juniper Ridge Landfill"):</w:t>
      </w:r>
    </w:p>
    <w:p>
      <w:pPr>
        <w:spacing w:after="0" w:line="5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NCES Landfill. </w:t>
      </w:r>
      <w:r>
        <w:rPr>
          <w:rFonts w:ascii="Times New Roman" w:cs="Times New Roman" w:eastAsia="Times New Roman" w:hAnsi="Times New Roman"/>
          <w:sz w:val="18"/>
          <w:szCs w:val="18"/>
          <w:color w:val="auto"/>
        </w:rPr>
        <w:t>NCES Landfill is a Subtitle D landfill located in Bethlehem, New Hampshire that we purchased in 1994. NCES Landfill currently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52 acres of permitted or permittable landfill area, and is permitted to accept 0.23 million cubic yards of municipal solid waste, C&amp;D material and certain pre-approved special wastes annually. We are party to an agreement for the construction of a landfill renewable natural gas ("RNG") facility, which will be constructed, owned and operated by a third-party.</w:t>
      </w:r>
    </w:p>
    <w:p>
      <w:pPr>
        <w:spacing w:after="0" w:line="7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Juniper Ridge Landfill. </w:t>
      </w:r>
      <w:r>
        <w:rPr>
          <w:rFonts w:ascii="Times New Roman" w:cs="Times New Roman" w:eastAsia="Times New Roman" w:hAnsi="Times New Roman"/>
          <w:sz w:val="18"/>
          <w:szCs w:val="18"/>
          <w:color w:val="auto"/>
        </w:rPr>
        <w:t>Juniper Ridge Landfill is a Subtitle D landfill located in West Old Town, Maine. In 2004, we completed transactions with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Maine and Georgia-Pacific Corporation (“Georgia Pacific”), pursuant to which the State of Maine took ownership of Juniper Ridge Landfill, formerly owned by Georgia Pacific, and we became the operator under a 30-year operating and services agreement between us and the State of Maine. Juniper Ridge Landfill currently consists of approximately 150 acres of permitted or permittable landfill area, which is sufficient to permit the additional airspace required for the term of the 30-year operating and services agreement, and is permitted to accept the following waste originating from the State of Maine: C&amp;D material, ash from municipal solid waste incinerators and fossil fuel boilers, front end processed residuals and bypass municipal solid waste from waste-to-energy facilities and certain pre-approved special waste. Outside of the limitations on municipal solid waste, there are no annual tonnage limitations at Juniper Ridge Landfill. We are party to an agreement for the construction of a landfill RNG facility plant at the Juniper Ridge Landfill, which will be constructed, owned and operated by a third-party.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Western region consists of the following Subtitle D landfills located in Coventry, Vermont ("Waste USA Landfill"), Morrisonville, New York ("Clinton County Landfill"), Angelica, New York ("Hyland Landfill"), Seneca, New York ("Ontario County Landfill"), Chemung, New York ("Chemung County Landfill") and McKean Landfill, and a C&amp;D landfill located in Campbell, New York ("Hakes Landfill"):</w:t>
      </w:r>
    </w:p>
    <w:p>
      <w:pPr>
        <w:spacing w:after="0" w:line="67"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Waste USA Landfill. </w:t>
      </w:r>
      <w:r>
        <w:rPr>
          <w:rFonts w:ascii="Times New Roman" w:cs="Times New Roman" w:eastAsia="Times New Roman" w:hAnsi="Times New Roman"/>
          <w:sz w:val="18"/>
          <w:szCs w:val="18"/>
          <w:color w:val="auto"/>
        </w:rPr>
        <w:t>Waste USA Landfill is a Subtitle D landfill located in Coventry, Vermont that we purchased in 1995, and is the only operating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Subtitle D landfill in the State of Vermont. Waste USA Landfill consists of approximately 144 acres of permitted or permittable landfill area and is permitted to accept up to 0.6 million tons of municipal solid waste, C&amp;D material and certain pre-approved special waste annually. The Waste USA Landfill site houses a landfill gas-to-energy plant, which is owned and operated by a third-party, that has the capacity to generate 8.0 MW of energy.</w:t>
      </w:r>
    </w:p>
    <w:p>
      <w:pPr>
        <w:spacing w:after="0" w:line="7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Clinton County Landfill. </w:t>
      </w:r>
      <w:r>
        <w:rPr>
          <w:rFonts w:ascii="Times New Roman" w:cs="Times New Roman" w:eastAsia="Times New Roman" w:hAnsi="Times New Roman"/>
          <w:sz w:val="18"/>
          <w:szCs w:val="18"/>
          <w:color w:val="auto"/>
        </w:rPr>
        <w:t>Clinton County Landfill is a Subtitle D landfill located in Morrisonville, New York that we have operated under an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lease agreement since 1996. Clinton County Landfill currently consists of approximately 197 acres of permitted or permittable landfill area, portions of which are leased from Clinton County, and other portions owned by us, is permitted to accept up to approximately 0.3 million tons of municipal solid waste, C&amp;D material and certain pre-approved special waste annually. The Clinton County Landfill site houses a landfill gas-to-energy facility, which we own, but is operated by a third party, that has the capacity to generate 6.4 MW of energy.</w:t>
      </w:r>
    </w:p>
    <w:p>
      <w:pPr>
        <w:spacing w:after="0" w:line="7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Hyland Landfill. </w:t>
      </w:r>
      <w:r>
        <w:rPr>
          <w:rFonts w:ascii="Times New Roman" w:cs="Times New Roman" w:eastAsia="Times New Roman" w:hAnsi="Times New Roman"/>
          <w:sz w:val="18"/>
          <w:szCs w:val="18"/>
          <w:color w:val="auto"/>
        </w:rPr>
        <w:t>Hyland Landfill is a Subtitle D landfill located in Angelica, New York that we own, and that began accepting waste in 1998. Hyland Landfill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consists of approximately 178 acres of permitted or permittable landfill area and is permitted to accept up to 0.5 million tons of municipal solid waste, C&amp;D material and certain pre-approved special waste annually. The Hyland Landfill site houses a landfill gas-to-energy facility, which we own, but is operated by a third-party, that has the capacity to generate 4.8 MW of energy.</w:t>
      </w:r>
    </w:p>
    <w:p>
      <w:pPr>
        <w:spacing w:after="0" w:line="7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Ontario County Landfill. </w:t>
      </w:r>
      <w:r>
        <w:rPr>
          <w:rFonts w:ascii="Times New Roman" w:cs="Times New Roman" w:eastAsia="Times New Roman" w:hAnsi="Times New Roman"/>
          <w:sz w:val="17"/>
          <w:szCs w:val="17"/>
          <w:color w:val="auto"/>
        </w:rPr>
        <w:t>Ontario County Landfill is a Subtitle D landfill located in Seneca, New York. In 2003, we entered into a 25-year operation,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and lease agreement for the Ontario County Landfill with the Ontario County Board of Supervisors. Ontario County Landfill currently consists of approximately 171 acres of permitted or permittable landfill area and is permitted to accept up to 0.9 million tons of municipal solid waste, C&amp;D material and certain pre-approved special waste annually and is strategically situated to accept long haul volume from both the eastern and downstate New York markets. In January 2016, we received an expansion permit at the Ontario County Landfill, which is sufficient to permit the additional airspace required for the remaining term of the 25-year operation, management and lease agreement. The Ontario County Landfill site houses a Zero-Sort MRF, which is operated by us, and a landfill gas-to-energy facility, which is owned and operated by a third-party, that has the capacity to generate 11.2 MW of energy.</w:t>
      </w:r>
    </w:p>
    <w:p>
      <w:pPr>
        <w:spacing w:after="0" w:line="62" w:lineRule="exact"/>
        <w:rPr>
          <w:sz w:val="20"/>
          <w:szCs w:val="20"/>
          <w:color w:val="auto"/>
        </w:rPr>
      </w:pPr>
    </w:p>
    <w:p>
      <w:pPr>
        <w:ind w:right="960"/>
        <w:spacing w:after="0" w:line="308" w:lineRule="auto"/>
        <w:rPr>
          <w:sz w:val="20"/>
          <w:szCs w:val="20"/>
          <w:color w:val="auto"/>
        </w:rPr>
      </w:pPr>
      <w:r>
        <w:rPr>
          <w:rFonts w:ascii="Times New Roman" w:cs="Times New Roman" w:eastAsia="Times New Roman" w:hAnsi="Times New Roman"/>
          <w:sz w:val="17"/>
          <w:szCs w:val="17"/>
          <w:i w:val="1"/>
          <w:iCs w:val="1"/>
          <w:color w:val="auto"/>
        </w:rPr>
        <w:t xml:space="preserve">Hakes Landfill. </w:t>
      </w:r>
      <w:r>
        <w:rPr>
          <w:rFonts w:ascii="Times New Roman" w:cs="Times New Roman" w:eastAsia="Times New Roman" w:hAnsi="Times New Roman"/>
          <w:sz w:val="17"/>
          <w:szCs w:val="17"/>
          <w:color w:val="auto"/>
        </w:rPr>
        <w:t>Hakes Landfill is a C&amp;D landfill located in Campbell, New York that we purchased in 1998. Hakes Landfill currently consists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approximately 122 acres of permitted and permittable landfill area and is permitted to accept up to 0.5 million tons of C&amp;D material annually.</w:t>
      </w:r>
    </w:p>
    <w:p>
      <w:pPr>
        <w:spacing w:after="0" w:line="3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Chemung County Landfill. </w:t>
      </w:r>
      <w:r>
        <w:rPr>
          <w:rFonts w:ascii="Times New Roman" w:cs="Times New Roman" w:eastAsia="Times New Roman" w:hAnsi="Times New Roman"/>
          <w:sz w:val="18"/>
          <w:szCs w:val="18"/>
          <w:color w:val="auto"/>
        </w:rPr>
        <w:t>Chemung County Landfill is a Subtitle D landfill located in Chemung, New York. In 2005, we entered into a 25-year operation,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lease agreement for Chemung County Landfill and certain other facilities with Chemung County. Chemung County Landfill currently consists of approximately 132 acres of permitted or permittable landfill area strategically situated to accept long haul volume from both eastern and downstate New York markets and is permitted to accept up to 0.4 million tons of municipal solid waste and certain pre-approved special waste annually and 20.5 thousand tons of C&amp;D material annually. In the fiscal year ended December 31, 2016, we received an expansion permit at Chemung County Landfill, which is sufficient to permit the additional airspace required for the remaining term of the 25-year operation, management and lease agreement. In fiscal year 2019, we exercised an option to extend the remaining term of the operation, management and lease agreement for up to five years through 2035.</w:t>
      </w:r>
    </w:p>
    <w:p>
      <w:pPr>
        <w:spacing w:after="0" w:line="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McKean Landfill. </w:t>
      </w:r>
      <w:r>
        <w:rPr>
          <w:rFonts w:ascii="Times New Roman" w:cs="Times New Roman" w:eastAsia="Times New Roman" w:hAnsi="Times New Roman"/>
          <w:sz w:val="18"/>
          <w:szCs w:val="18"/>
          <w:color w:val="auto"/>
        </w:rPr>
        <w:t>McKean Landfill is a Subtitle D landfill located in Mount Jewett, Pennsylvania that we purchased in 2011. McKean Landfill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consists of approximately 256 acres of permitted or permittable landfill area and is permitted to accept up to approximately 1.6 million tons of municipal solid waste, C&amp;D material and certain pre-approved special waste annually. We are actively in the process of investing capital in the development of rail infrastructure to expand the market reach for the landfill to rail capable transfer facilities.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closed landfills consist of the following landfills:</w:t>
      </w:r>
    </w:p>
    <w:p>
      <w:pPr>
        <w:spacing w:after="0" w:line="9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In fiscal year 2017, we initiated a plan to cease operations of the Town of Southbridge, Massachusetts landfill (“Southbridge Landfill”) and decided to not proceed with expansion efforts and to close Southbridge Landfill once the remaining capacity had been exhausted, which occurred in fiscal year 2018. Closure operations, which began in November 2018 when Southbridge Landfill reached its final capacity, are ongoing. The site houses a landfill gas-to-energy facility, which we own, but is operated by a third-party, that has the capacity to generate 1.6 MW of energy.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In addition to Southbridge Landfill, we own and/or manage five unlined landfills and three lined landfills that are not currently in operation. We are closing, in the case of Southbridge Landfill, or have closed and capped all of these landfills according to applicable environmental regulatory standards.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 Solutions</w:t>
      </w:r>
    </w:p>
    <w:p>
      <w:pPr>
        <w:spacing w:after="0" w:line="116"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Our Resource Solutions operating segment was formed to leverage our core competencies in materials processing, industrial recycling, organics and resource management service offerings in order to generate additional value from the waste stream for larger commercial, municipal, institutional and industrial customers with more diverse needs. Resource Solutions services are comprised of processing services and our National Accounts business. We also work to develop and/or partner with firms that have developed innovative approaches to deriving incremental value from the organic portion of the waste stream.</w:t>
      </w:r>
    </w:p>
    <w:p>
      <w:pPr>
        <w:spacing w:after="0" w:line="56"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Processing. </w:t>
      </w:r>
      <w:r>
        <w:rPr>
          <w:rFonts w:ascii="Times New Roman" w:cs="Times New Roman" w:eastAsia="Times New Roman" w:hAnsi="Times New Roman"/>
          <w:sz w:val="17"/>
          <w:szCs w:val="17"/>
          <w:color w:val="auto"/>
        </w:rPr>
        <w:t>Processing services consist of the receipt of recycled, sludge or other organic materials at one of our materials recovery, processing or disposal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facilities, where it is then sorted, mixed and/or processed, and then repurposed, disposed of or sold. Revenues from processing services are derived from municipalities and customers in the form of processing fees, tipping fees, and commodity sales, primarily comprised of newspaper, corrugated containers, plastics, ferrous and aluminum, and organic materials such as our earthlife</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soils products including fertilizers, composts and mulches.</w:t>
      </w:r>
    </w:p>
    <w:p>
      <w:pPr>
        <w:spacing w:after="0" w:line="6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are one of the largest processors and marketers of recycled materials in the northeastern United States with facilities located in Vermont, New York, Maine, Connecticut, Massachusetts, and Pennsylvania, including our eight large-scale, high volume MRFs, which utilize sophisticated processing operations, two of which are located in New York, two of which are located in Vermont, two of which are located in Massachusetts, one of which is located in Connecticut and one of which is located in Maine. Three of the eight MRFs are leased, four are owned, and one is operated by us under a contract with a municipal third-party. Our MRFs receive, sort, bale and sell recyclable materials originating from the municipal solid waste stream, including newsprint, cardboard, office paper, glass, plastic, steel or aluminum containers and bottles. We also operate smaller MRFs, which generally process recyclables collected from our various residential and commercial collection operations.</w:t>
      </w:r>
    </w:p>
    <w:p>
      <w:pPr>
        <w:spacing w:after="0" w:line="80"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 substantial portion of the recyclable materials provided is delivered pursuant to multiple long-term anchor contracts. The terms of the recycling contracts vary, but all of the contracts provide that the municipality or a third-party delivers the recycled materials to our facility. These contracts may include a minimum volume guarantee by the municipality. We also have service agreements with individual towns and cities and commercial customers, including small solid waste companies and major competitors, which do not have processing capacity within a specific geographic region. Under the recycling contracts, we charge the municipality a fee for each ton of material delivered to us. Some contracts contain revenue sharing arrangements under which the municipality receives a specified percentage of our revenues from the sale of the recovered materials if certain economic thresholds are met. In fiscal year 2023, we processed and/or marketed in total over 0.8 million tons of recyclable materials, including tons marketed through our National Accounts business commodity brokerage division and our baling facilities located throughout our footprint.</w:t>
      </w:r>
    </w:p>
    <w:p>
      <w:pPr>
        <w:spacing w:after="0" w:line="8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pricing for recyclable materials can fluctuate based upon market conditions. We have actively worked to reduce our risk exposure to commodity pricing volatility through our efforts to shift customers to a processing fee model and other risk management programs. We effectively manage commodity pricing volatility through our long-term revenue sharing (or processing fee) contracts with customers. Under such contracts, we obtain a guaranteed minimum price for recyclable materials through the receipt of a tipping or processing fee when commodity prices fall below agreed upon thresholds. Conversely, when prices for recyclable materials rise above agreed upon thresholds, we provide the counterparty with a portion of the related revenues above such threshold. Also, we mitigate the impact from commodity price fluctuations through the use of a floating SRA Fee charged to collection customers to reduce recycling commodity risk. Further, we work to manage commodity pricing risk through commodity sales contracts with large domestic companies that use the recyclable materials in their manufacturing process, such as paper, packaging and consumer goods companies.</w:t>
      </w:r>
    </w:p>
    <w:p>
      <w:pPr>
        <w:spacing w:after="0" w:line="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global recycling market has experienced volatility due to changes in economic conditions and numerous other factors beyond our control. In fiscal year 2017, China's National Sword program resulted in negative commodity pricing pressure. Recycling commodity price volatility resulted in near record highs in the second quarter of fiscal year 2022 followed by near record lows in the fourth quarter of fiscal year 2022. Recycling commodity prices improved and stabilized in fiscal year 2023.</w:t>
      </w:r>
    </w:p>
    <w:p>
      <w:pPr>
        <w:spacing w:after="0" w:line="7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See also Item 7A. “</w:t>
      </w:r>
      <w:r>
        <w:rPr>
          <w:rFonts w:ascii="Times New Roman" w:cs="Times New Roman" w:eastAsia="Times New Roman" w:hAnsi="Times New Roman"/>
          <w:sz w:val="18"/>
          <w:szCs w:val="18"/>
          <w:i w:val="1"/>
          <w:iCs w:val="1"/>
          <w:color w:val="auto"/>
        </w:rPr>
        <w:t>Quantitative and Qualitative Disclosure About Market Risk</w:t>
      </w:r>
      <w:r>
        <w:rPr>
          <w:rFonts w:ascii="Times New Roman" w:cs="Times New Roman" w:eastAsia="Times New Roman" w:hAnsi="Times New Roman"/>
          <w:sz w:val="18"/>
          <w:szCs w:val="18"/>
          <w:color w:val="auto"/>
        </w:rPr>
        <w:t>” of this Annual Report on Form 10-K for further discussion over commodity price volatility.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National Accounts. </w:t>
      </w:r>
      <w:r>
        <w:rPr>
          <w:rFonts w:ascii="Times New Roman" w:cs="Times New Roman" w:eastAsia="Times New Roman" w:hAnsi="Times New Roman"/>
          <w:sz w:val="18"/>
          <w:szCs w:val="18"/>
          <w:color w:val="auto"/>
        </w:rPr>
        <w:t>Our National Accounts business consists of brokerage services and overall resource management services, which provide a wide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services and resource management solutions to large and complex organizations, as well as traditional collection, disposal and recycling services provided to large account multi-site customers. In brokerage arrangements, we act as an agent that facilitates the sale of recyclable and organic materials between an inbound customer and an outbound customer. Revenues from the brokerage of recycled materials are recognized on a net basis at the time of shipment. In general, these fees are variable in nature. In overall resource management services, we work with larger scale commercial or industrial organizations (including multi-location customers, colleges and universities, municipalities, and industrial customers) to develop customized solid waste and recycling solutions. The focus of this business is to help these large-scale organizations achieve their economic and environmental objectives related to waste and residual management. We strive to differentiate our services from our competitors by providing customized and comprehensive resource solutions, which enables us to win new business, including traditional solid waste collection and disposal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solid waste services industry is competitive and requires substantial labor and capital resources. Our business strategy generally focuses on operating in secondary or tertiary markets where we have a strong market presence. However, in the larger urban markets where we operate, we typically compete against one or more of the large national solid waste companies, including Waste Management, Inc., Republic Services, Inc. and Waste Connections, Inc., any of which may be able to achieve greater economies of scale than we can. We also compete with a number of regional and local companies that offer competitive prices and quality service. We compete primarily on the basis of the quality, breadth and price of our services. This includes our Resource Solutions operating segment, from which we strive to leverage our core competencies in materials processing, industrial recycling, organics, and resource management service offerings to deliver a comprehensive solution for our larger commercial, municipal, institutional and industrial customers that have more diverse solid waste and recycling needs. In addition, we compete with operators of alternative disposal facilities, including incinerators; with certain municipalities, counties and districts that operate their own solid waste collection and disposal facilities; and with rail-serviced transfer stations that use rail to transport waste to disposal sites primarily located outside of our operational footprint. Public sector facilities may have certain advantages over us due to the availability of user fees, charges or tax revenues.</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competitors may reduce the price of their services in an effort to expand market share or to win a competitively bid solid waste or recycling contract. These practices may also lead to reduced pricing for our services or the loss of business. In addition, competition exists within the industry for potential acquisition candidates.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14"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7"/>
          <w:szCs w:val="17"/>
          <w:color w:val="auto"/>
        </w:rPr>
        <w:t>We have aligned our sales and marketing strategies with other customer-facing teams - Customer Care, Business Development, Sales Operations, Marketing, Community Engagement, and Sustainability - to better serve our customers while delivering on several key strategic initiatives for sustainable growth.</w:t>
      </w:r>
    </w:p>
    <w:p>
      <w:pPr>
        <w:spacing w:after="0" w:line="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part of our resource management offering, we serve customers with multiple locations and are focused on growing our number of municipal, institutional, commercial and industrial customers. We leverage broader service offerings of the Resource Solutions operating segment to provide customers with a full set of solutions to augment our regional and divisional service capabilities.</w:t>
      </w:r>
    </w:p>
    <w:p>
      <w:pPr>
        <w:spacing w:after="0" w:line="6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While we continue to provide traditional waste and recycling services locally, our differentiated sustainable resource management approach aims to meet our customers’ unique needs and strives to deliver value beyond competitors in local markets. We value and embrace the uniqueness of our local communities above the homogeneity of corporate process, while encouraging and supporting our local managers to engage with local government, non-profits, and business organizations.</w:t>
      </w:r>
    </w:p>
    <w:p>
      <w:pPr>
        <w:spacing w:after="0" w:line="74"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Deep community engagement, supported by modern corporate brand governance and strategy gives us the flexibility needed to serve today’s customers and support communities. A combination of enterprise sustainability goals and efforts, strong brand placements, and marketing tactics are designed to unify and humanize our company while retaining existing customers and attracting new ones.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Insurance and Performance or Surety Bonds</w:t>
      </w:r>
    </w:p>
    <w:p>
      <w:pPr>
        <w:spacing w:after="0" w:line="1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actively maintain environmental and other risk management programs that we believe are appropriate for our business. Our environmental risk management program includes evaluating existing facilities, as well as potential acquisitions, for compliance with environmental law requirements. Operating practices at all of our operations are intended to reduce the possibility of environmental contamination, enforcement actions and litigation. We also maintain a worker safety program, which focuses on safe practices in the workplace.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carry a range of insurance intended to protect our assets and operations, including a commercial general liability policy and a property damage policy. A partially or completely uninsured claim against us (including liabilities associated with cleanup or remediation at our facilities), if successful and of sufficient magnitude, could have a material adverse effect on our business, financial condition and results of operations. Due primarily to market factors beyond our control, the insurance market is increasingly restrictive, potentially limiting our ability to obtain adequate coverage at reasonable prices, if at all. Any future difficulty in obtaining insurance could also impair our ability to secure future contracts, which may be conditioned upon the availability of adequate insurance coverage.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 for further disclosure.</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self-insure for automobile and workers’ compensation coverage with reinsurance coverage limiting our maximum exposure. In fiscal year 2023, our maximum exposure per individual event under the workers’ compensation plan was $1.25 million. In fiscal year 2023, our minimum and maximum exposure per individual event under the automobile plan were up to $1.75 million and $3.88 million, respectively.</w:t>
      </w:r>
    </w:p>
    <w:p>
      <w:pPr>
        <w:spacing w:after="0" w:line="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Municipal solid waste collection contracts and landfill closure and post-closure obligations may require performance or surety bonds, letters of credit or other means of financial assurance to secure contractual performance. While we have not experienced difficulty in obtaining these financial instruments, if we are unable to obtain these financial instruments in sufficient amounts or at acceptable rates, we could be precluded from entering into additional municipal contracts or obtaining or retaining landfill operating permits.</w:t>
      </w:r>
    </w:p>
    <w:p>
      <w:pPr>
        <w:spacing w:after="0" w:line="7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hold a 19.9% ownership interest in Evergreen National Indemnity Company (“Evergreen”), a surety company which provides surety bonds to secure our contractual obligations for certain municipal solid waste collection contracts and landfill closure and post-closure obligations. Our ownership interest in Evergreen is pledged to Evergreen as security for our obligations under the bonds they provide on our behalf.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1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provide solid waste and recycling services to commercial, municipal, institutional, industrial and residential customers. A majority of our commercial and industrial collection services are performed under one-to-five year service agreements, and our price for the services performed is determined by such factors as: professional or management services required; collection frequency and the related operational costs; type of equipment and containers furnished; the type, volume and weight of the solid waste, recyclables or organics collected; the distance to the disposal or processing facility; and the cost of disposal or processing. Our residential collection and disposal services are performed either on a subscription basis (with no underlying contract) with individuals, or through contracts with municipalities, homeowners' associations, apartment owners or mobile home park operators. We provide recycling processing services to municipalities, commercial haulers and commercial waste generators within the geographic proximity of the processing facilities.</w:t>
      </w:r>
    </w:p>
    <w:p>
      <w:pPr>
        <w:spacing w:after="0" w:line="8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also provide brokerage services and overall resource management services, through a wide range of environmental service offerings, to large and complex organizations, as well as traditional collection, disposal and recycling services to large account multi-site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Severe Weather</w:t>
      </w:r>
    </w:p>
    <w:p>
      <w:pPr>
        <w:spacing w:after="0" w:line="1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eastern United States.</w:t>
      </w:r>
    </w:p>
    <w:p>
      <w:pPr>
        <w:spacing w:after="0" w:line="6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Because certain of our operating and fixed costs remain constant throughout the fiscal year, operating income is therefore impacted by a similar seasonality. Our operations can be adversely affected by periods of inclement or severe weather, which and may increase with the physical impacts of climate change and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8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Our processing line-of-business in our Resource Solutions operating segment experiences increased volumes of recycled fibers from November through mid-January due to increased retail activity during the holiday season.</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1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Our facilities and operations are subject to a variety of federal, state and local requirements that regulate, among other things, the environment, public health, safety, zoning and land use. In order to transport, process, or dispose of solid waste, it is necessary for us to possess and comply with one or more permits from federal, state and/or local agencies. We must renew these permits periodically, and the permits may be modified or revoked by the issuing agency under certain circumstances. We are subject to extensive federal, state and local laws and regulations. The laws and regulations affecting us are administered by the United States Environmental Protection Agency (“EPA”) and other federal, state and local environmental, zoning, financial, health and safety agencies.</w:t>
      </w:r>
    </w:p>
    <w:p>
      <w:pPr>
        <w:spacing w:after="0" w:line="62"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In order to comply with these regulations, we must incur substantial capital expenditures relating to our vehicles, landfills, transfer stations, and recycling processing centers, and in connection with our final capping, closure, post-closure and environmental remediation activities. Compliance with existing and future legal and regulatory requirements, including changes relating to per- and polyfluoroalkyl substances (commonly referred to as "PFAS") and other chemicals of emerging concern, and limitations or bans on disposal of certain types of wastes or on the transportation of waste, could increase our costs to operate or require additional capital expenditures. Failure to comply with such requirements could result in substantial costs or penalties, including civil and criminal fines and penalties.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strive to conduct our operations in compliance with applicable laws, regulations and permits. However, from time to time we have been issued citations or notices from governmental authorities that have resulted in the need to expend funds for remedial work and related activities at various landfills and other facilities or in the need to expend funds for fines, penalties or settlements. Citations and notices may be issued in the future, notwithstanding our strong regulatory compliance efforts.</w:t>
      </w:r>
    </w:p>
    <w:p>
      <w:pPr>
        <w:spacing w:after="0" w:line="74"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Except as described in this Annual Report on Form 10-K, we believe that we are currently in substantial compliance with applicable federal, state and local environmental laws, permits, orders and regulations. Other than as disclosed herein, we do not currently anticipate any material costs to bring our existing operations into environmental compliance, although there can be no assurance in this regard for the future. We expect that our operations in the solid waste services industry will be subject to continued and increased regulation, legislation and enforcement oversight. We attempt to anticipate future legal and regulatory requirements and to keep our operations in compliance with those requirements.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federal statutes and regulations applicable to our operations are as follows: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Resource Conservation and Recovery Act of 1976, as amended (“RCRA”)</w:t>
      </w:r>
    </w:p>
    <w:p>
      <w:pPr>
        <w:spacing w:after="0" w:line="11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 RCRA regulates the generation, treatment, storage, handling, transportation and disposal of solid waste and requires states to develop programs to ensure the safe disposal of solid waste. The RCRA divides waste into two categories, hazardous and non-hazardous. Wastes are generally classified as hazardous if they either (a) are specifically included on a list of hazardous wastes, or (b) exhibit certain characteristics defined as hazardous and are not specifically designated as non-hazardous. Wastes classified as hazardous waste are subject to more extensive regulation than wastes classified as non-hazardous, and businesses that deal with hazardous waste are subject to regulatory obligations in addition to those imposed on businesses that deal with non-hazardous waste.</w:t>
      </w:r>
    </w:p>
    <w:p>
      <w:pPr>
        <w:spacing w:after="0" w:line="62" w:lineRule="exact"/>
        <w:rPr>
          <w:sz w:val="20"/>
          <w:szCs w:val="20"/>
          <w:color w:val="auto"/>
        </w:rPr>
      </w:pPr>
    </w:p>
    <w:p>
      <w:pPr>
        <w:ind w:right="980"/>
        <w:spacing w:after="0" w:line="275" w:lineRule="auto"/>
        <w:rPr>
          <w:sz w:val="20"/>
          <w:szCs w:val="20"/>
          <w:color w:val="auto"/>
        </w:rPr>
      </w:pPr>
      <w:r>
        <w:rPr>
          <w:rFonts w:ascii="Times New Roman" w:cs="Times New Roman" w:eastAsia="Times New Roman" w:hAnsi="Times New Roman"/>
          <w:sz w:val="18"/>
          <w:szCs w:val="18"/>
          <w:color w:val="auto"/>
        </w:rPr>
        <w:t>Among the wastes that are specifically designated as non-hazardous are household waste and “special” waste, including items such as petroleum contaminated soils, asbestos, foundry sand, shredder fluff and most non-hazardous industrial waste products.</w:t>
      </w:r>
    </w:p>
    <w:p>
      <w:pPr>
        <w:spacing w:after="0" w:line="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EPA regulations issued under Subtitle C of the RCRA impose a comprehensive “cradle to grave” system for tracking the generation, transportation, treatment, storage and disposal of hazardous wastes. Subtitle C regulations impose obligations on generators, transporters and disposers of hazardous wastes, and require permits that are costly to obtain and maintain for sites where those businesses treat, store or dispose of such material. Subtitle C requirements include detailed operating, inspection, training and emergency preparedness and response standards, as well as requirements for manifesting, record keeping and reporting, corrective action, facility closure, post-closure and financial responsibility. Most states have promulgated regulations modeled on some or all of the Subtitle C provisions issued by the EPA, and in many instances the EPA has delegated to those states the principal role in regulating businesses which are subject to those requirements. Some state regulations impose obligations different from and in addition to those the EPA imposes under Subtitle 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Leachate generated at our landfills and transfer stations is tested on a regular basis, and generally is not regulated as a hazardous waste under federal law.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there is no guarantee that leachate generated from our facilities in the future will not be classified as hazardous waste.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In October 1991, the EPA adopted the Subtitle D regulations under RCRA governing solid waste landfills. The Subtitle D regulations, which generally became effective in October 1993, include siting restrictions, facility design standards, operating criteria, closure and post-closure requirements, financial assurance requirements, groundwater monitoring requirements, groundwater remediation standards and corrective action requirements. In addition, the Subtitle D regulations require that new landfill sites meet more stringent liner design criteria (typically, composite soil and synthetic liners or two or more synthetic liners) intended to keep leachate out of groundwater and have extensive collection systems to carry away leachate for treatment prior to disposal. Regulations generally require us to install groundwater monitoring wells at virtually all landfills we operate, to monitor groundwater quality and, indirectly, the effectiveness of the leachate collection systems. The Subtitle D regulations also require facility owners or operators to control emissions of landfill gas (including methane) generated at landfills exceeding certain regulatory thresholds. State landfill regulations must meet those requirements or the EPA will impose such requirements upon landfill owners and operators in that state.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Federal Water Pollution Control Act of 1972, as amended (“Clean Water Act”)</w:t>
      </w:r>
    </w:p>
    <w:p>
      <w:pPr>
        <w:spacing w:after="0" w:line="116"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The Clean Water Act regulates the discharge of pollutants into “navigable waters” or “waters of the United States” from a variety of sources, including solid waste disposal sites and transfer stations, processing facilities and waste-to-energy facilities (collectively, “solid waste management facilities”). If pollutants from our solid waste management facilities are discharged into streams, rivers or other surface waters, or if there is a functional equivalent of a direct discharge into navigable waters, the Clean Water Act would require us to apply for and obtain a discharge permit, conduct sampling and monitoring and, under certain circumstances, reduce the quantity of pollutants in such discharge. A permit also may be required if run-off or leachate from our solid waste management facilities is discharged to an offsite treatment facility. Almost all solid waste management facilities must comply with the EPA’s storm water regulations, which govern the discharge of regulated storm water to surface waters.</w:t>
      </w:r>
    </w:p>
    <w:p>
      <w:pPr>
        <w:spacing w:after="0" w:line="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Under federal regulation, facilities that have above ground and/or below ground petroleum storage capacities over certain thresholds may be subject to regulations and/or permitting under the Clean Water Act. Many of our facilities have petroleum storage and are required to have a spill, prevention, control and countermeasures plan to prevent petroleum release to waters of the United States due to a spill, rupture or leak.</w:t>
      </w:r>
    </w:p>
    <w:p>
      <w:pPr>
        <w:spacing w:after="0" w:line="6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Several states in which we operate have been delegated the authority to implement the Clean Water Act requirements and in some cases the regulations are more stringent than the federal regulations. We believe we are in compliance with the Clean Water Act regulations; however future changes to the law or regulations could have a material impact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Comprehensive Environmental Response, Compensation, and Liability Act of 1980, as amended (“CERCLA”)</w:t>
      </w:r>
    </w:p>
    <w:p>
      <w:pPr>
        <w:spacing w:after="0" w:line="11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CERCLA established a regulatory and remedial program intended to provide for the investigation and remediation of facilities where, or from which, a release of any hazardous substance into the environment has occurred or is threatened. CERCLA has been interpreted to impose retroactive, strict, and under certain circumstances, joint and severable, liability for the costs to investigate and clean up facilities on current owners and operators of the site, former owners and operators of the site at the time of the disposal of the hazardous substances, as well as the generators and certain transporters of the hazardous substances. CERCLA imposes liability for the costs of evaluating and addressing damage to natural resources. The costs of CERCLA investigation and cleanup can be substantial. Liability under CERCLA does not depend upon the existence or disposal of “hazardous waste” as defined by RCRA, but can be based on the presence of any of approximately 800 “hazardous substances” listed by the EPA, many of which can be found in household waste. The definition of “hazardous substances” in CERCLA incorporates substances designated as hazardous or toxic under the Federal Clean Water Act, Clean Air Act and Toxic Substances Control Act ("TSCA"). In September 2022 the EPA issued a proposed rule to designate two PFAS -- perfluorooctanoic acid ("PFOA") and perfluorooctanesulfonic acid ("PFOS"), and their salts and structural isomers -- as hazardous substances under CERCLA. If we were found to be a responsible party for a CERCLA cleanup, under certain circumstances, the enforcing agency could pursue us or any other responsible party, for all investigative and remedial costs, even if others also were liable. CERCLA also authorizes the EPA to impose a lien in favor of the United States upon all real property subject to, or affected by, a remedial action for all costs for which the property owner is liable. CERCLA provides a responsible party with the right to bring a contribution action against other responsible parties for their allocable share of investigative and remedial costs. Our ability to obtain reimbursement for amounts we pay in excess of our allocable share of such costs would be limited by our ability to identify and locate other responsible parties and to prove the extent of their responsibility and by the financial resources of such other parties.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Clean Air Act of 1970, as amended (“Clean Air Act”)</w:t>
      </w:r>
    </w:p>
    <w:p>
      <w:pPr>
        <w:spacing w:after="0" w:line="1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Clean Air Act, generally through state implementation of federal requirements, regulates emissions of air pollutants from certain landfills based upon the date the landfill was constructed, the total capacity of the landfill and the annual volume of emissions. The EPA has promulgated new source performance standards regulating air emissions of certain regulated pollutants (non-methane organic compounds) from municipal solid waste landfills. Landfills located in areas where ambient levels of regulated pollutants exceed certain thresholds may be subject to more extensive air pollution controls and emission limitations. In addition, the EPA has issued standards regulating the disposal of asbestos-containing materials under the Clean Air Act.</w:t>
      </w:r>
    </w:p>
    <w:p>
      <w:pPr>
        <w:spacing w:after="0" w:line="7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EPA is also focusing on the emissions of greenhouse gases ("GHG"), including carbon dioxide and methane. In December 2009, the EPA issued its “endangerment finding” that carbon dioxide poses a threat to human health and welfare, providing the basis for the EPA to regulate GHG emissions. In December 2009 the EPA’s “Mandatory Reporting of Greenhouse Gases” rule went into effect, requiring facilities that emit twenty-five thousand metric tons or more per year of GHG emissions to submit annual reports to the EPA.</w:t>
      </w:r>
    </w:p>
    <w:p>
      <w:pPr>
        <w:spacing w:after="0" w:line="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May 2010, the EPA issued the so-called “GHG Tailoring Rule”, which described how certain sources that emit GHG would be subject to heightened Clean Air Act Prevention of Significant Deterioration ("PSD") / Title V regulation. In June 2014, the U.S. Supreme Court issued a decision partially invalidating the GHG Tailoring Rule and in 2015, the D.C. Circuit directed the EPA to consider further revisions to its regulations. In August 2016, the EPA proposed revisions to PSD and Title V regulations to clarify when sources would require permits based on GHG thresholds. We do not know whether or when the EPA will finalize regulations, or what obligations such regulations will impose on our operations.</w:t>
      </w:r>
    </w:p>
    <w:p>
      <w:pPr>
        <w:spacing w:after="0" w:line="7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adoption of other laws and regulations, which may include the imposition of fees or taxes, could adversely affect our collection and disposal operations. Additionally, certain of the states in which we operate are implementing air pollution control regulations, including regional cap and trade systems, relating to GHG that may be more stringent than regulations the EPA may promulgate. Several states have passed Climate Protection or Global Warming Acts intended to achieve statewide goals in reduction of GHG emissions. Changing environmental regulations could require us to take any number of actions, including purchasing emission allowances, developing mitigation strategies, or installing additional pollution control technology, and could make some operations less profitable, which could adversely affect our results of operations.</w:t>
      </w:r>
    </w:p>
    <w:p>
      <w:pPr>
        <w:spacing w:after="0" w:line="79"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Congress has considered various options, including a cap and trade system, which could impose a limit on and establish a pricing mechanism for GHG emissions and emission allowances. There also is pressure for the United States to join international efforts to control GHG emissions.</w:t>
      </w:r>
    </w:p>
    <w:p>
      <w:pPr>
        <w:spacing w:after="0" w:line="58"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Clean Air Act regulates emissions of air pollutants from our processing facilities. The EPA has enacted standards that apply to those emissions. It is possible that the EPA, or a state where we operate, will enact additional or different emission standards in the future.</w:t>
      </w:r>
    </w:p>
    <w:p>
      <w:pPr>
        <w:spacing w:after="0" w:line="5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All of the federal statutes described above authorize lawsuits by private citizens to enforce certain provisions of the statutes. In addition to a penalty award to the United States, some of those statutes authorize an award of attorney’s fees to private parties successfully advancing such an action.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Occupational Safety and Health Act of 1970, as amended (“OSHA”)</w:t>
      </w:r>
    </w:p>
    <w:p>
      <w:pPr>
        <w:spacing w:after="0" w:line="11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OSHA establishes employer responsibilities and authorizes the Occupational Safety and Health Administration to promulgate and enforce occupational health and safety standards, including the obligation to maintain a workplace free of recognized hazards likely to cause death or serious injury, to comply with adopted worker protection standards, to maintain certain records, to provide workers with required disclosures and to implement certain health and safety training programs. A variety of those promulgated standards may apply to our operations, including those standards concerning notices of hazards, safety in excavation and demolition work, the handling of asbestos and asbestos-containing materials, and worker training and emergency response programs.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Public Utility Regulatory Policies Act of 1978, As Amended (“PURPA”)</w:t>
      </w:r>
    </w:p>
    <w:p>
      <w:pPr>
        <w:spacing w:after="0" w:line="1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PURPA exempts qualifying facilities from most federal and state laws governing the financial organization and rate regulation of electric utilities, and generally requires electric utilities to purchase electricity generated by qualifying facilities at a price equal to the utility’s full “avoided cost”. Our landfill gas-to-energy facilities are self-certified as “qualifying facilities”.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and Local Regulations</w:t>
      </w:r>
    </w:p>
    <w:p>
      <w:pPr>
        <w:spacing w:after="0" w:line="11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Each state in which we now operate or may operate in the future has laws and regulations governing (1) water and air pollution, and the generation, storage, treatment, handling, processing, transportation, incineration and disposal of solid waste and hazardous waste; (2) in most cases, the siting, design, operation, maintenance, closure and post-closure maintenance of solid waste management facilities; and (3) in some cases, vehicle emissions limits or fuel types, which impact our collection operations. Such standards typically are as stringent as and may be more stringent and broader in scope than, federal regulations. Most of the federal statutes noted above authorize states to enact and enforce laws with standards that are more protective of the environment than the federal analog. In addition, many states have adopted statutes comparable to, and in some cases more stringent than, CERCLA. Those statutes impose requirements for investigation and remediation of contaminated sites and liability for costs and damages associated with such sites, and some authorize the state to impose liens to secure costs expended addressing contamination on property owned by responsible parties. Some of those liens may take priority over previously filed instruments. Some states have enacted statutes that impose liability for substances in addition to the “hazardous substances” listed by the EPA under CERCLA.</w:t>
      </w:r>
    </w:p>
    <w:p>
      <w:pPr>
        <w:spacing w:after="0" w:line="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Many municipalities in which we currently operate or may operate in the future also have ordinances, laws and regulations affecting our operations. These include zoning and health measures that limit solid waste management activities to specified sites or conduct, flow control provisions that direct the delivery of solid wastes to specific facilities or to facilities in specific areas, laws that grant the right to establish franchises for collection services and then put out for bid the right to provide collection services, and bans or other restrictions on the movement of solid wastes into a municipality.</w:t>
      </w:r>
    </w:p>
    <w:p>
      <w:pPr>
        <w:spacing w:after="0" w:line="7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Some states have enacted laws that allow agencies with jurisdiction over waste management facilities to deny or revoke permits based on the applicant’s or permit holder’s compliance status. Some states also consider the compliance history of the corporate parent, subsidiaries and affiliates of the applicant or permit holder.</w:t>
      </w:r>
    </w:p>
    <w:p>
      <w:pPr>
        <w:spacing w:after="0" w:line="6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Certain permits and approvals issued under state or local law may limit the types of waste that may be accepted at a solid waste management facility or the quantity of waste that may be accepted at a solid waste management facility during a specific time period. In addition, certain permits and approvals, as well as certain state and local regulations, may limit a solid waste management facility to accepting waste that originates from specified geographic areas or seek to restrict the importation of out-of-state waste or otherwise discriminate against out-of-state waste. Generally, restrictions on importing out-of-state waste have not withstood judicial challenge. However, occasionally federal legislation is proposed which would allow individual states to prohibit the disposal of out-of-state waste or to limit the amount of out-of-state waste that could be imported for disposal and would require states, under certain circumstances, to reduce the amounts of waste exported to other states. Although such legislation has not been passed by Congress, if similar legislation is enacted, states in which we operate solid waste management facilities could limit or prohibit the importation of out-of-state waste. Such actions could materially and adversely affect the business, financial condition and results of operations of any of our solid waste management facilities within those states that receive a significant portion of waste originating from out-of-state.</w:t>
      </w:r>
    </w:p>
    <w:p>
      <w:pPr>
        <w:spacing w:after="0" w:line="8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Certain states and localities may restrict the export of waste from their jurisdiction or require that a specified amount of waste be disposed of at facilities within their jurisdiction. In 1994, the U.S. Supreme Court rejected as unconstitutional and therefore invalid, a local ordinance that sought to limit waste going out of the locality by imposing a requirement that the waste be delivered to a particular privately-owned facility. However, in 2007, the U.S. Supreme Court upheld a U.S. District Court ruling that the flow control regulations in Oneida and Herkimer counties in New York requiring trash haulers to use publicly-owned transfer stations are constitutional, and therefore valid. Additionally, certain state and local jurisdictions continue to seek to enforce such restrictions. Some proposed federal legislation would allow states and localities to impose flow restrictions. Those restrictions could reduce the volume of waste going to solid waste management facilities in certain areas, which may materially adversely affect our ability to operate our facilities and/or affect the prices we can charge for certain services. Those restrictions also may result in higher disposal costs for our collection operations. Flow control restrictions could have a material adverse effect on our business, financial condition and results of operations.</w:t>
      </w:r>
    </w:p>
    <w:p>
      <w:pPr>
        <w:spacing w:after="0" w:line="8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There has been an increasing trend at the state and local levels to mandate or encourage both waste reduction at the source and waste recycling, and to prohibit or restrict the disposal in landfills of certain types of solid wastes, including yard wastes and leaves, certain construction or architectural wastes, food wastes, beverage containers, newspapers, household appliances and electronics such as computers, and batteries. Regulations reducing the volume and types of wastes available for transport to and disposal in landfills could affect our ability to operate our landfill facilities. Vermont, for example, enacted Act 148, containing among other things, a phased waste ban for recyclables, organics and leaf/yard waste. The law became effective July 1, 2012, with phased deadlines for compliance beginning 2014 through 2020. Vermont also passed a law requiring recycling of architectural waste from construction or demolition of a commercial project. The law became effective in January 2015.</w:t>
      </w:r>
    </w:p>
    <w:p>
      <w:pPr>
        <w:spacing w:after="0" w:line="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November 1, 2022, new waste ban regulations took effect in Massachusetts, adding mattresses and textiles as materials banned from disposal or transport for disposal in Massachusetts, and lowering the threshold on commercial organic/food waste to facilities generating more than one-half ton of these materials per week.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New York State revised its regulations governing solid waste management, 6 NYCRR Part 360, effective in November 2017. The revised regulations, among other things, include requirements to conduct landfill liner integrity testing and install radiation detectors at certain facilities. New York has also enacted the Food Donation and Food Scraps Recycling Law, requiring certain generators to separate and donate or recycle food scraps as of January 2022.</w:t>
      </w:r>
    </w:p>
    <w:p>
      <w:pPr>
        <w:spacing w:after="0" w:line="6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Although there is no federal law governing extended producer responsibility (“EPR”) regulations, many states have implemented or are contemplating EPR regulations for certain products. EPR regulations are intended to place responsibility on manufacturers for ultimate management or end-of-useful-life handling of the products they create. In addition to financial responsibility, an EPR program may include responsibility for local take-back or recycling programs. For example, several states in which we operate have EPR regulations for electronic waste. In 2021, the Maine Legislature passed EPR legislation for packaging, and rulemaking commenced in 2022. If broad EPR laws or regulations continue to be adopted, and are managed under a manufacturer implemented program, it could have an impact on our business.</w:t>
      </w:r>
    </w:p>
    <w:p>
      <w:pPr>
        <w:spacing w:after="0" w:line="7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The EPA and environmental agencies within individual states in which we operate continue to consider and promulgate changes to water quality standards, action levels, remediation goals, and other federal or state regulatory standards for individual compounds or classes of compounds. These changes include the development of new or more stringent standards for “Emerging Contaminants”, including PFAS, pharmaceutical compounds, and a variety of synthetic chemical compounds used in manufacturing and industrial processes. In December 2016, the EPA designated ten chemical substances for risk evaluations under TSCA, and in December 2019, the EPA designated an additional 20 chemical substances for risk evaluation, based on the requirements of the June 2016 Frank R. Lautenberg Chemical Safety for the 21st Century Act. In April 2023, the EPA issued an Advance Notice of Proposed Rulemaking asking the public for input regarding potential future hazardous substance designations of PFAS under CERCLA. This request for input followed the EPA's September 2022 proposed rule to designate two PFAS -- PFOA and PFOS, and their salts and structural isomers -- as hazardous substances under CERCLA. In March 2023, the EPA proposed to establish legally enforceable levels, called Maximum Contaminant Levels (MCLs), for six PFAS in drinking water. Changes in regulatory standards for existing or emerging contaminants can result in higher levels of cost and effort associated with the performance of environmental investigations and ongoing compliance at our facilities.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and their respective ages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920" w:type="dxa"/>
            <w:vAlign w:val="bottom"/>
          </w:tcPr>
          <w:p>
            <w:pPr>
              <w:ind w:left="32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920" w:type="dxa"/>
            <w:vAlign w:val="bottom"/>
            <w:tcBorders>
              <w:bottom w:val="single" w:sz="8" w:color="auto"/>
            </w:tcBorders>
          </w:tcPr>
          <w:p>
            <w:pPr>
              <w:spacing w:after="0"/>
              <w:rPr>
                <w:sz w:val="2"/>
                <w:szCs w:val="2"/>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 Casella</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shd w:val="clear" w:color="auto" w:fill="CCEEFF"/>
          </w:tcPr>
          <w:p>
            <w:pPr>
              <w:spacing w:after="0"/>
              <w:rPr>
                <w:sz w:val="19"/>
                <w:szCs w:val="19"/>
                <w:color w:val="auto"/>
              </w:rPr>
            </w:pP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 Chief Executive Officer and Secretary</w:t>
            </w:r>
          </w:p>
        </w:tc>
      </w:tr>
      <w:tr>
        <w:trPr>
          <w:trHeight w:val="226"/>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Edmond “Ned” R. Coletta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226"/>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CEEFF"/>
          </w:tcPr>
          <w:p>
            <w:pPr>
              <w:spacing w:after="0"/>
              <w:rPr>
                <w:sz w:val="19"/>
                <w:szCs w:val="19"/>
                <w:color w:val="auto"/>
              </w:rPr>
            </w:pP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26"/>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Shelley E. Sayward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r>
        <w:trPr>
          <w:trHeight w:val="226"/>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M. Steves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CEEFF"/>
          </w:tcPr>
          <w:p>
            <w:pPr>
              <w:spacing w:after="0"/>
              <w:rPr>
                <w:sz w:val="19"/>
                <w:szCs w:val="19"/>
                <w:color w:val="auto"/>
              </w:rPr>
            </w:pP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Operating Officer of Solid Waste Operations</w:t>
            </w:r>
          </w:p>
        </w:tc>
      </w:tr>
      <w:tr>
        <w:trPr>
          <w:trHeight w:val="226"/>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Kevin J. Drohan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26"/>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J. Ligon</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9"/>
                <w:szCs w:val="19"/>
                <w:color w:val="auto"/>
              </w:rPr>
            </w:pP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Sustainable Growth</w:t>
            </w:r>
          </w:p>
        </w:tc>
      </w:tr>
    </w:tbl>
    <w:p>
      <w:pPr>
        <w:spacing w:after="0" w:line="17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John W. Casella </w:t>
      </w:r>
      <w:r>
        <w:rPr>
          <w:rFonts w:ascii="Times New Roman" w:cs="Times New Roman" w:eastAsia="Times New Roman" w:hAnsi="Times New Roman"/>
          <w:sz w:val="17"/>
          <w:szCs w:val="17"/>
          <w:color w:val="auto"/>
        </w:rPr>
        <w:t>has served as Chairman of our Board of Directors since July 2001 and as our Chief Executive Officer since 1993. Mr. Casella also served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President from 1993 to July 2001 and as Chairman of our Board of Directors from 1993 to December 1999. In addition, Mr. Casella has served as Chairman of the Board of Directors of Casella Waste Management, Inc., a wholly owned subsidiary of ours, since 1977. Mr. Casella is also an executive officer and director of Casella Construction, Inc., a company owned by Mr. Casella and his brother Douglas R. Casella, also a member of our Board of Directors, which specializes in general contracting, soil excavation and heavy equipment work, and which performs landfill-construction and related services for us. Mr. Casella has been a member of numerous industry-related and community service-related state, local, and national boards and commissions, including the Board of Directors of the Associated Industries of Vermont, the Association of Vermont Recyclers, the Vermont State Chamber of Commerce, the Rutland Industrial Development Corporation, the Rutland Regional Medical Center, the National Recycling Coalition, the Detachable Container Association and the Environmental Research &amp; Education Foundation. Mr. Casella has also served on various state task forces, serving in an advisory capacity to the Governors of Vermont, New York, and New Hampshire on solid waste issues. Mr. Casella holds an Associate of Science degree in Business Management from Bryant &amp; Stratton College and a Bachelor of Science degree in Business Education from Vermont State University.</w:t>
      </w:r>
    </w:p>
    <w:p>
      <w:pPr>
        <w:spacing w:after="0" w:line="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Edmond “Ned” R. Coletta </w:t>
      </w:r>
      <w:r>
        <w:rPr>
          <w:rFonts w:ascii="Times New Roman" w:cs="Times New Roman" w:eastAsia="Times New Roman" w:hAnsi="Times New Roman"/>
          <w:sz w:val="18"/>
          <w:szCs w:val="18"/>
          <w:color w:val="auto"/>
        </w:rPr>
        <w:t>has served as our President since November 2023. Mr. Coletta joined us in December 2004, and has previously served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Financial Officer from July 2022 to November 2023, Senior Vice President, Chief Financial Officer and Treasurer from December 2012 to July 2022, Vice President of Finance and Investor Relations from January 2011 to December 2012 and Director of Finance and Investor Relations from August 2005 to January 2011. From 2002 until he joined us, Mr. Coletta served as the Chief Financial Officer and was a member of the Board of Directors of Avedro,</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Inc. (FKA ThermalVision, Inc.), an early-stage medical device company that he co-founded. From 1997 to 2001, he served as a research and development engineer for Lockheed Martin Michoud Space Systems. Mr. Coletta has served on the Board of Trustees for Killington Mountain School since May 2020. Mr. Coletta holds an MBA from the Tuck School of Business at Dartmouth College and a Bachelor of Science degree from Brown University in Materials Science Engineering.</w:t>
      </w:r>
    </w:p>
    <w:p>
      <w:pPr>
        <w:spacing w:after="0" w:line="7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Bradford J. Helgeson </w:t>
      </w:r>
      <w:r>
        <w:rPr>
          <w:rFonts w:ascii="Times New Roman" w:cs="Times New Roman" w:eastAsia="Times New Roman" w:hAnsi="Times New Roman"/>
          <w:sz w:val="18"/>
          <w:szCs w:val="18"/>
          <w:color w:val="auto"/>
        </w:rPr>
        <w:t>has served as our Executive Vice President and Chief Financial Officer since November 2023. From November 2013 to June 2022,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Helgeson was the Executive Vice President and Chief Financial Officer of Covanta Holding Corporation (“Covanta”), a publicly-traded materials management and energy services company. Previously, he served as Vice President and Treasurer of Covanta from May 2007 to November 2013. Mr. Helgeson started in the environmental services industry as the Vice President of Finance and Treasurer at Waste Services, Inc. from 2004 to 2007 after an investment banking career at Lehman Brothers and Donaldson, Lufkin &amp; Jenrette from 1998 to 2004. Mr. Helgeson holds a Bachelor of Arts degree in Economics and History from Bowdoin College.</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Shelley E. Sayward </w:t>
      </w:r>
      <w:r>
        <w:rPr>
          <w:rFonts w:ascii="Times New Roman" w:cs="Times New Roman" w:eastAsia="Times New Roman" w:hAnsi="Times New Roman"/>
          <w:sz w:val="18"/>
          <w:szCs w:val="18"/>
          <w:color w:val="auto"/>
        </w:rPr>
        <w:t>has served as our Senior Vice President and General Counsel since January 2021, and prior to that in various roles in our legal department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November 2006. She was previously our Vice President and Assistant General Counsel from September 2014 until January 2021 and Associate General Counsel from September 2008 to September 2014. Prior to joining us, Ms. Sayward held sales and marketing roles with GlaxoSmithKline and Abbott Laboratories, as well as a sales and managerial position with First American Financial Corporation. Ms. Sayward holds a Bachelor of Arts degree from Middlebury College, completed a four-year law clerkship program, and is licensed to practice law in the State of Vermont.</w:t>
      </w:r>
    </w:p>
    <w:p>
      <w:pPr>
        <w:spacing w:after="0" w:line="75"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Sean M. Steves </w:t>
      </w:r>
      <w:r>
        <w:rPr>
          <w:rFonts w:ascii="Times New Roman" w:cs="Times New Roman" w:eastAsia="Times New Roman" w:hAnsi="Times New Roman"/>
          <w:sz w:val="18"/>
          <w:szCs w:val="18"/>
          <w:color w:val="auto"/>
        </w:rPr>
        <w:t>has served as our Senior Vice President and Chief Operating Officer of Solid Waste Operations since July 2022. He is responsible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Support, Fleet Management, Landfill Operations and Service Excellence functions. Mr. Steves most recently served as our Senior Vice President of Operations from April 2019 to July 2022. Mr. Steves joined us in April 2018 as our Vice President of Operational Initiatives. From 2016 until he joined us in April 2018, he was the Director of Operations Support for Republic Services, Inc. a provider of U.S. environmental services. Mr. Steves has extensive operations experience in the waste industry starting as a transfer station scale operator and has held roles of increasing responsibility, including Operations Supervisor, Operations Manager, and General Manager. Mr. Steves holds a Bachelor of Arts degree from DePaul University with a concentration in Sustainable Management.</w:t>
      </w:r>
    </w:p>
    <w:p>
      <w:pPr>
        <w:spacing w:after="0" w:line="80"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Kevin J. Drohan </w:t>
      </w:r>
      <w:r>
        <w:rPr>
          <w:rFonts w:ascii="Times New Roman" w:cs="Times New Roman" w:eastAsia="Times New Roman" w:hAnsi="Times New Roman"/>
          <w:sz w:val="18"/>
          <w:szCs w:val="18"/>
          <w:color w:val="auto"/>
        </w:rPr>
        <w:t>has served as our Vice President and Chief Accounting Officer since April 2022. Mr. Drohan joined us in August 2021 as our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Controller. Prior to that, from 2015 until he joined Casella, Mr. Drohan served as the Corporate Controller for Sprague Resources, LP (“Sprague”), then a publicly-traded regional provider of industrial, commercial, and residual energy products. From 2007 through 2015, Mr. Drohan held various finance and accounting roles of increasing responsibility at Sprague. Prior to Sprague, Mr. Drohan held accounting and audit roles at Stanley Black &amp; Decker, EY, and BerryDunn. Mr. Drohan is a Certified Public Accountant and holds an MBA and a Bachelor of Science degree in Business Administration from the University of New Hampshire.</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Paul J. Ligon </w:t>
      </w:r>
      <w:r>
        <w:rPr>
          <w:rFonts w:ascii="Times New Roman" w:cs="Times New Roman" w:eastAsia="Times New Roman" w:hAnsi="Times New Roman"/>
          <w:sz w:val="18"/>
          <w:szCs w:val="18"/>
          <w:color w:val="auto"/>
        </w:rPr>
        <w:t>has served as our Senior Vice President of Sustainable Growth since December 2019 and oversees our Sustainable Growth teams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marketing, customer care, sustainability, and community engagement teams. From 2012 to December 2019, Mr. Ligon led the development of our Resource Solutions business focused on delivering sustainable services to commercial, industrial, and municipal customers. Prior to joining us, Mr. Ligon was a managing director for Waste Management’s Organic Growth Unit in Houston from 2003 through 2011 and a Senior Scientist with the Tellus Institute for Resource and Environmental Strategies from 1990 to 2001. Mr. Ligon holds an MBA from the Tuck School of Business at Dartmouth College and a Bachelor of Science degree in Environmental Science from the University of Vermont.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i w:val="1"/>
          <w:iCs w:val="1"/>
          <w:color w:val="auto"/>
        </w:rPr>
        <w:t>The following factors, among others, could cause actual results to differ materially from those indicated by forward-looking statements made in this Annual Report on Form 10-K and presented elsewhere by management from time to time. The risks and uncertainties described below are those that we have identified as material, but are not the only risks and uncertainties facing us. Our business is also subject to general risks and uncertainties that affect many other companies, including overall economic and industry conditions, especially in the eastern United States, where our operations and customers are principally located, changes in laws or accounting rules or other disruptions of expected economic or business conditions. Additional risks and uncertainties not currently known to us or that we currently believe are not material also may impair our business’s results of operations and financial condition.</w:t>
      </w:r>
    </w:p>
    <w:p>
      <w:pPr>
        <w:spacing w:after="0" w:line="6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i w:val="1"/>
          <w:iCs w:val="1"/>
          <w:color w:val="auto"/>
        </w:rPr>
        <w:t>We have in place an Enterprise Risk Management process that involves systematic risk identification and mitigation covering the categories of strategic, financial, operational, and compliance risk. The goal of enterprise risk management is not to eliminate all risk, but rather to identify and assess risks; assign, mitigate and monitor risks; and report the status of our risks to the Board of Directors and its committees on a quarterly and annual basis.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18"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general macroeconomic risks in the waste industry that are impacted by economic factors outside of our control, which, if realized, may adversely affect our business, operating results and financial performance.</w:t>
      </w:r>
    </w:p>
    <w:p>
      <w:pPr>
        <w:spacing w:after="0" w:line="5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Our business is directly affected by general macroeconomic risks in the waste industry that are impacted by economic factors outside of our control, which if realized may negatively impact our business, results of operations, and financial performance. These risks related to general macroeconomic conditions include those with respect to consumer confidence, global supply chain disruptions, inflation, labor supply, fuel prices, interest rates and access to capital markets. Economic factors, such as ongoing or potential geopolitical conflict, pandemics, recessions, or similar national or global events, have caused and may continue to cause, economic disruption across our geographic footprint resulting in reductions in business, consumers and construction activity. Negative economic conditions can result in decreased consumer spending and decreases in solid waste volumes generated in the collection and disposal businesses, which negatively impacts our ability to grow through new business or service upgrades and the sales price of commodities in our recycling business, and may result in customer turnover and reduction in customers’ waste service needs. Furthermore, residual macroeconomic effects associated with these economic factors have negatively impacted, and may continue to negatively impact, the global supply chain, labor markets and distribution networks leading to heightened inflation across labor, select services and goods, and capital investments. Inflationary increases in costs, including current inflationary pressures associated primarily with labor, certain other cost categories and capital items, have materially affected, and may continue to materially affect, our operating margins and cash flows. In addition, fuel cost increases may materially impact our operating margins and cash flows. Significant components of our operating expenses, including labor, fuel and third-party services, have been impacted by sustained inflation. To the extent these economic factors increase macroeconomic risks and adversely affect our business and financial results, it may also have the effect of heightening many other risks described in this section, any of which could materially and adversely affect our business, results of operations and financial condition. See Item 7. “</w:t>
      </w:r>
      <w:r>
        <w:rPr>
          <w:rFonts w:ascii="Times New Roman" w:cs="Times New Roman" w:eastAsia="Times New Roman" w:hAnsi="Times New Roman"/>
          <w:sz w:val="17"/>
          <w:szCs w:val="17"/>
          <w:i w:val="1"/>
          <w:iCs w:val="1"/>
          <w:color w:val="auto"/>
        </w:rPr>
        <w:t>Management's Discussion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Analysis of Financial Condition and Results of Operations</w:t>
      </w:r>
      <w:r>
        <w:rPr>
          <w:rFonts w:ascii="Times New Roman" w:cs="Times New Roman" w:eastAsia="Times New Roman" w:hAnsi="Times New Roman"/>
          <w:sz w:val="17"/>
          <w:szCs w:val="17"/>
          <w:color w:val="auto"/>
        </w:rPr>
        <w:t>” of this Annual Report on Form 10-K for further discussion.</w:t>
      </w:r>
    </w:p>
    <w:p>
      <w:pPr>
        <w:spacing w:after="0" w:line="17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operations require us to attract, hire, develop and retain a high-quality workforce to provide a superior customer experience. This includes key individuals in leadership and specialty roles, as well as a very large number of drivers, technicians and other front-line and back-office team members necessary to provide our services.</w:t>
      </w:r>
    </w:p>
    <w:p>
      <w:pPr>
        <w:spacing w:after="0" w:line="6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We experience significant competition to hire and retain individuals for certain front-line positions, such as commercial truck drivers, from within and outside our industry. This competition comes from other waste management companies as well as other employers who hire drivers and maintain fleets, such as companies that provide courier delivery services, including United Parcel Service, Inc., FedEx Corporation and Amazon, as well as from a tightening labor market. As a result, certain positions currently experience, have historically experienced, and may experience in the future, high turnover rates or labor shortages, which can lead to increased recruiting, training and retention costs. If we are unable to hire and retain sufficient numbers of drivers to service our collection and disposal routes and mechanics to maintain our trucks, our financial condition and operating results could be materially impacted. We also compete to attract skilled business leaders, and our own key team members are sought after by our competitors and other companies. We make significant investments, and engage in extensive internal succession planning, to provide us with a robust pipeline of future leaders. If we are not able to attract, hire, develop and retain a high-quality workforce with the necessary skills and expertise, as well as key leaders, or if we experience significant employee turnover, it can result in business and strategic disruption, increased costs, and loss of institutional knowledge, which could negatively impact our results of operations. Also see Item 1A. "</w:t>
      </w:r>
      <w:r>
        <w:rPr>
          <w:rFonts w:ascii="Times New Roman" w:cs="Times New Roman" w:eastAsia="Times New Roman" w:hAnsi="Times New Roman"/>
          <w:sz w:val="17"/>
          <w:szCs w:val="17"/>
          <w:i w:val="1"/>
          <w:iCs w:val="1"/>
          <w:color w:val="auto"/>
        </w:rPr>
        <w:t>Risk Factors — We are subject to general macroeconomic risks in the waste industry that are impacted by economic factors outside of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control, which, if realized, may adversely affect our business, operating results and financial performance</w:t>
      </w:r>
      <w:r>
        <w:rPr>
          <w:rFonts w:ascii="Times New Roman" w:cs="Times New Roman" w:eastAsia="Times New Roman" w:hAnsi="Times New Roman"/>
          <w:sz w:val="17"/>
          <w:szCs w:val="17"/>
          <w:color w:val="auto"/>
        </w:rPr>
        <w:t>" of this Annual Report on Form 10-K.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shortages in diesel fuel supply or increases in diesel fuel prices could affect our operating expenses and results.</w:t>
      </w:r>
    </w:p>
    <w:p>
      <w:pPr>
        <w:spacing w:after="0" w:line="11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price and supply of fuel is unpredictable and fluctuates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including our reliance on various third-party transporters and service providers. Price escalations of fuel increase our operating expenses. In fiscal year 2023, we consumed approximately 11.9 million gallons of diesel fuel in our solid waste operations. Although we have a fuel cost recovery program, which is the energy component of our energy and environmental fee program that floats monthly based on reported diesel fuel prices, contractual restrictions and competitive conditions may impact our opportunity to pass this fee on to our customers in all circumstances. See Item 7A. "</w:t>
      </w:r>
      <w:r>
        <w:rPr>
          <w:rFonts w:ascii="Times New Roman" w:cs="Times New Roman" w:eastAsia="Times New Roman" w:hAnsi="Times New Roman"/>
          <w:sz w:val="18"/>
          <w:szCs w:val="18"/>
          <w:i w:val="1"/>
          <w:iCs w:val="1"/>
          <w:color w:val="auto"/>
        </w:rPr>
        <w:t>Quantitative and Qualitative Disclosure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Risk</w:t>
      </w:r>
      <w:r>
        <w:rPr>
          <w:rFonts w:ascii="Times New Roman" w:cs="Times New Roman" w:eastAsia="Times New Roman" w:hAnsi="Times New Roman"/>
          <w:sz w:val="18"/>
          <w:szCs w:val="18"/>
          <w:color w:val="auto"/>
        </w:rPr>
        <w:t>" of this Annual Report on Form 10-K for further discussion over the impacts of fuel prices on our operations. Also see Item 1A. "</w:t>
      </w:r>
      <w:r>
        <w:rPr>
          <w:rFonts w:ascii="Times New Roman" w:cs="Times New Roman" w:eastAsia="Times New Roman" w:hAnsi="Times New Roman"/>
          <w:sz w:val="18"/>
          <w:szCs w:val="18"/>
          <w:i w:val="1"/>
          <w:iCs w:val="1"/>
          <w:color w:val="auto"/>
        </w:rPr>
        <w:t>Risk Factors — We are subject to general macroeconomic risks in the waste industry that are impacted by economic factors outside of our control, which, if realized, may adversely affect our business, operating results and financial performance</w:t>
      </w:r>
      <w:r>
        <w:rPr>
          <w:rFonts w:ascii="Times New Roman" w:cs="Times New Roman" w:eastAsia="Times New Roman" w:hAnsi="Times New Roman"/>
          <w:sz w:val="18"/>
          <w:szCs w:val="18"/>
          <w:color w:val="auto"/>
        </w:rPr>
        <w:t>" of this Annual Report on Form 10-K.</w:t>
      </w:r>
    </w:p>
    <w:p>
      <w:pPr>
        <w:spacing w:after="0" w:line="189"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the solid waste services industry, and if we cannot successfully compete in the marketplace, our business, financial condition and results of operations may be materially adversely affected.</w:t>
      </w:r>
    </w:p>
    <w:p>
      <w:pPr>
        <w:spacing w:after="0" w:line="5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solid waste services industry is highly competitive, has undergone a period of consolidation and requires substantial labor and capital resources. The markets in which we compete are served by, or are adjacent to markets served by, one or more of the large national or super regional solid waste companies, as well as numerous regional and local solid waste companies. Intense competition exists not only to provide services to customers, but also to acquire other businesses within each market. Some of our competitors have significantly greater financial and other resources than we do. From time to time, competitors may reduce the price of their services in an effort to expand market share or to win a competitively bid contract. These practices may require us to reduce the pricing of our services and may result in a loss of business or revenues.</w:t>
      </w:r>
    </w:p>
    <w:p>
      <w:pPr>
        <w:spacing w:after="0" w:line="79"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As is generally the case in our industry, municipal contracts are typically subject to periodic competitive bidding. We may not be the successful bidder to obtain or retain these contracts. If we are unable to compete with larger and better capitalized companies or replace municipal contracts lost through the competitive bidding process with comparable contracts or other revenue sources within a reasonable time period, our revenues would decrease and our operating results could be materially adversely affected.</w:t>
      </w:r>
    </w:p>
    <w:p>
      <w:pPr>
        <w:spacing w:after="0" w:line="7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our solid waste disposal markets, we also compete with operators of alternative disposal and recycling facilities and with counties, municipalities and solid waste districts that maintain their own solid waste collection, recycling and disposal operations. We also face increased competition from companies which seek to use parts of the waste stream as feedstock for renewable energy supplies. Public entities may have financial advantages because of their ability to charge user fees or similar charges, impose taxes and apply resulting revenues, access tax-exempt financing, transport waste to disposal sites outside of the northeastern markets, and, in some cases, utilize government subsidies.</w:t>
      </w:r>
    </w:p>
    <w:p>
      <w:pPr>
        <w:spacing w:after="0" w:line="79" w:lineRule="exact"/>
        <w:rPr>
          <w:sz w:val="20"/>
          <w:szCs w:val="20"/>
          <w:color w:val="auto"/>
        </w:rPr>
      </w:pPr>
    </w:p>
    <w:p>
      <w:pPr>
        <w:ind w:right="200"/>
        <w:spacing w:after="0" w:line="305" w:lineRule="auto"/>
        <w:rPr>
          <w:sz w:val="20"/>
          <w:szCs w:val="20"/>
          <w:color w:val="auto"/>
        </w:rPr>
      </w:pPr>
      <w:r>
        <w:rPr>
          <w:rFonts w:ascii="Times New Roman" w:cs="Times New Roman" w:eastAsia="Times New Roman" w:hAnsi="Times New Roman"/>
          <w:sz w:val="17"/>
          <w:szCs w:val="17"/>
          <w:color w:val="auto"/>
        </w:rPr>
        <w:t>In addition, we may be impacted by the development and commercialization of disruptive technologies that may materially change how waste management services are provided. If we are unable to gain access to these technologies or to compete effectively against them, our financial results may suffer.</w:t>
      </w:r>
    </w:p>
    <w:p>
      <w:pPr>
        <w:spacing w:after="0" w:line="137" w:lineRule="exact"/>
        <w:rPr>
          <w:sz w:val="20"/>
          <w:szCs w:val="20"/>
          <w:color w:val="auto"/>
        </w:rPr>
      </w:pPr>
    </w:p>
    <w:p>
      <w:pPr>
        <w:jc w:val="both"/>
        <w:ind w:right="3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focuses on complementing or expanding our business through the acquisition of companies or assets, or the development of new operations. However, we may be unable to complete these transactions and, if executed, these transactions may not improve our business or may pose significant risks and could have a negative effect on our operations.</w:t>
      </w:r>
    </w:p>
    <w:p>
      <w:pPr>
        <w:spacing w:after="0" w:line="6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growth strategy includes engaging in acquisitions or developing operations or assets with the goal of complementing or expanding our business. We have made, and we may continue to make in the future, acquisitions to densify existing operations, expand service areas and grow services for our customers. These acquisitions may include “tuck-in” acquisitions within our existing markets, acquisitions of assets that are adjacent to or outside of our existing markets, or larger, more strategic acquisitions. In addition, from time to time we may acquire businesses that are complementary to our core business strategy. We may not be able to identify suitable acquisition candidates, and if we identify suitable acquisition candidates, we may be unable to successfully negotiate the acquisition at a price or on terms and conditions acceptable to us. Furthermore, we may be unable to obtain the necessary regulatory approvals to complete potential acquisitions.</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ability to achieve the benefits from acquired businesses, including cost savings and operating efficiencies, depends in part on our ability to successfully integrate the operations of such acquired businesses with our operations. The integration of acquired businesses and other assets may require significant management time and resources that would otherwise be available for the ongoing management of our existing operations. Any operations, properties or facilities that we acquire may be subject to unknown liabilities, such as undisclosed environmental contamination, or other environmental liabilities, including off-site disposal liability for which we would have no recourse, or only limited recourse, to the former owners of such operations or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properties. As a result, if claims for liabilities were asserted against us based upon ownership of an acquired property, we might be required to pay significant sums to settle it, which could adversely affect our financial results and cash flows. For information regarding our business acquisitions, see Note 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p>
    <w:p>
      <w:pPr>
        <w:spacing w:after="0" w:line="17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waste industry is subject to extensive government regulations, including environmental laws and regulations, and we incur substantial costs to comply with such laws and regulations. Failure to comply with environmental or other laws and regulations, as well as enforcement actions and litigation arising from an actual or perceived breach of such laws and regulations, could subject us to fines, penalties, and judgments, and impose limits on our ability to operate and expand.</w:t>
      </w:r>
    </w:p>
    <w:p>
      <w:pPr>
        <w:spacing w:after="0" w:line="7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We are subject to potential liability and restrictions under environmental laws and regulations, including potential liability and restrictions arising from or relating to the transportation, handling, recycling, generation, treatment, storage and disposal of wastes, the presence, release, discharge or emission of pollutants, and the investigation, remediation and monitoring of impacts to soil, surface water, groundwater and other environmental media including natural resources, as a result of the actual or alleged presence, release, discharge or emission of hazardous substances, pollutants or contaminants on, at, under or migrating from our properties, or in connection with our operations. The waste management industry has been and will continue to be subject to regulation, including permitting and related financial assurance requirements, as well as attempts to further regulate the industry, including efforts to regulate and limit the emission of greenhouse gases to ameliorate the effect of climate change. Our solid waste operations are subject to a wide range of federal, state and, in some cases, local environmental, odor and noise and land use restrictions. If we are not able to comply with the requirements that apply to a particular facility or if we operate in violation of the terms and conditions of, or without the necessary approvals or permits, we could be subject to administrative or civil, and possibly criminal, fines and penalties, and we may be required to spend substantial capital to bring an operation into compliance, to temporarily or permanently discontinue activities, and/or take corrective actions, possibly including removal of landfilled materials. Those costs or actions could be significant to us and affect our results of operations, cash flows, and available capital. In addition, the potential for increased regulation of PFAS and other emerging contaminants could lead to increased compliance and remediation costs, or litigation risks, which could adversely impact our financial condition and results of operations. Future regulation changes may also require us to modify, supplement, or replace equipment or facilities at a substantial cost.</w:t>
      </w:r>
    </w:p>
    <w:p>
      <w:pPr>
        <w:spacing w:after="0" w:line="7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Environmental and land use laws and regulations also affect our ability to expand and, in the case of our solid waste operations, may dictate those geographic areas from which we must, or, from which we may not, accept solid waste. Those laws and regulations may limit the overall size and daily solid waste volume that may be accepted by a solid waste operation. If we are not able to expand or otherwise operate one or more of our facilities because of limits imposed under such laws, we may be required to increase our utilization of disposal facilities owned by third-parties, which could reduce our revenues and/or operating margins.</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historically grown through acquisitions and expect to make additional acquisitions in the future. We have tried and will continue to try to evaluate and limit environmental risks and liabilities presented by businesses to be acquired prior to the acquisition. It is possible that some liabilities may prove to be more difficult or costly to identify or address than we anticipate. It is also possible that government officials responsible for enforcing environmental laws and regulations may believe an issue is more serious than we expect, or that we will fail to identify or fully appreciate an existing liability before we become responsible for addressing it. Some of the legal sanctions to which we could become subject could cause the suspension or revocation of a permit, prevent us from, or delay us in, obtaining or renewing permits to operate or expand our facilities, or harm our reputation.</w:t>
      </w:r>
    </w:p>
    <w:p>
      <w:pPr>
        <w:spacing w:after="0" w:line="79"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In addition to the costs of complying with environmental laws and regulations, we incur costs in connection with environmental proceedings and litigation brought against us by government agencies and private parties. We are, and may be in the future, a defendant in lawsuits brought by parties alleging environmental damage, including natural resource damage, personal injury, and/or property damage or impairment, or seeking to impose civil penalties or injunctive relief or overturn or prevent the issuance of an operating permit or authorization, all of which may result in us incurring significant liabilities.</w:t>
      </w:r>
    </w:p>
    <w:p>
      <w:pPr>
        <w:spacing w:after="0" w:line="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conduct of our businesses is also subject to various other laws and regulations administered by federal, state and local governmental agencies, including tax laws, employment laws, privacy laws and competition laws, among others. New laws, regulations or governmental policy and their related interpretations, or changes in any of the foregoing, including taxes or other limitations on our services, may alter the environment in which we do business.</w:t>
      </w:r>
    </w:p>
    <w:p>
      <w:pPr>
        <w:spacing w:after="0" w:line="6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certain jurisdictions, we are subject to compliance with specific obligations under competition laws due to our competitive position in those jurisdictions. Failure to comply with these obligations could subject us to enforcement actions or financial penalties which could have a material adverse effect on our business.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PFAS and other emerging contaminants may lead to increased compliance and remediation costs and litigation risks, which could adversely impact our financial condition and results of operations.</w:t>
      </w:r>
    </w:p>
    <w:p>
      <w:pPr>
        <w:spacing w:after="0" w:line="5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regulatory environment for PFAS is rapidly evolving, with increasing demands for enhanced environmental monitoring programs and advanced treatment technologies to mitigate PFAS contamination. Risks to the Company related to PFAS include regulatory risks, including the proposed designation by the EPA of PFAS as hazardous substances, which could create Superfund liabilities under CERCLA for all downstream recipients of PFAS, including passive receivers such as our landfills, the establishment of federal and state drinking water standards and surface water criteria which set low thresholds for impacts to drinking water and surface water, the risk that states in which we operate will require stringent monitoring of PFAS at our landfills, the risk of material increases in landfill leachate treatment costs due to mandatory pre-treatment or otherwise, the risk that existing remedial sites will become more complex and that closed landfills will be under enhanced regulatory scrutiny, the risk that biosolids management will be impacted by restrictions on end uses and the risk that that pre-existing land application sites will be determined to contain PFAS. Any such liability is likely to be uninsurable, with no coverage likely under our pollution or product liability policies.</w:t>
      </w:r>
    </w:p>
    <w:p>
      <w:pPr>
        <w:spacing w:after="0" w:line="183"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5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We are required to obtain government permits to operate our facilities, including all of our landfills. There is no guarantee that we will be able to obtain the requisite permits and, even if we could, that any permit (and any existing permits we currently hold) will be renewed or modified as needed to fit our business needs. Localities where we operate generally seek to regulate some or all landfill and transfer station operations, including siting and expansion of operations. The laws and regulations adopted by municipalities in which our landfills and transfer stations are located may limit or prohibit the expansion of a landfill or transfer station, as well as the amount of solid waste that we can accept at the landfill or transfer station on a daily, quarterly or annual basis, and any effort to acquire or expand landfills and transfer stations, which typically involves a significant amount of time and expense. In addition, state laws applicable to certain of our landfills require that the state determine whether acceptance at the landfill of waste not generated within the state provides a substantial public benefit. In addition, the potential for increased regulation of PFAS and other emerging contaminants could also lead to increased financial impacts such as additional capping requirements, increased closure/post-closure care costs and obligations, enhanced leachate treatment requirements, waste disposal limits, and transport limitations.</w:t>
      </w:r>
    </w:p>
    <w:p>
      <w:pPr>
        <w:spacing w:after="0" w:line="8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 xml:space="preserve">Despite our best efforts, we may not be successful in obtaining new landfill or transfer station sites or expanding the permitted capacity of any of our current landfills and transfer stations. If we are unable to develop additional disposal and transfer station capacity, our ability to achieve economies of scale from the internalization of our waste stream will be limited. If we fail to receive new landfill permits or renew existing permits, we may incur landfill asset impairment and other charges associated with accelerated closure.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 for disclosure about legal matters impacting our permitting efforts. Given our current expected run rate and remaining available capacity at our NCES Landfill in Bethlehem, New Hampshire, we may consume all remaining permitted capacity at our NCES Landfill during the fiscal year ending December 31, 2027 ("fiscal year 2027"). Based on currently available information, we believe that it is unlikely that the landfill under development by us in Dalton, New Hampshire will be fully permitted, constructed and operational by the end of fiscal year 2027.</w:t>
      </w:r>
    </w:p>
    <w:p>
      <w:pPr>
        <w:spacing w:after="0" w:line="18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Fluctuations in commodity prices and diminished markets for recyclable materials that we sell to customers may adversely affect our results of operations and cash flows.</w:t>
      </w:r>
    </w:p>
    <w:p>
      <w:pPr>
        <w:spacing w:after="0" w:line="5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Our processing business involves the purchase and sale of recyclable materials, some of which are priced on a commodity basis. Our results of operations and cash flows may be adversely affected by falling purchase or resale prices or market requirements for recyclable materials. The resale and purchase prices of, and market demand for, recyclable materials are subject to changes in economic conditions and numerous other factors beyond our control, which may result in decreased demand of recyclable materials and lower commodity prices. Global and domestic factors such as recycling commodity inventory levels, inflation, consumer spending and economic activity levels may result in lower recycling commodity prices. The recycling commodity markets continue to see ongoing price volatility. Significant price fluctuations may adversely affect our results of operations and cash flows in the form of higher operating costs or lower revenues. Although many of our recycling contracts require the respective municipalities to absorb some of the impact of declining commodity prices, these contracts have had the impact of significantly increasing the costs to municipalities for continuing to offer recycling services to their customers. In the event that the costs of such services become excessive, such municipalities could discontinue their recycling programs altogether, which could materially affect our financial results. See Item 7A. "</w:t>
      </w:r>
      <w:r>
        <w:rPr>
          <w:rFonts w:ascii="Times New Roman" w:cs="Times New Roman" w:eastAsia="Times New Roman" w:hAnsi="Times New Roman"/>
          <w:sz w:val="18"/>
          <w:szCs w:val="18"/>
          <w:i w:val="1"/>
          <w:iCs w:val="1"/>
          <w:color w:val="auto"/>
        </w:rPr>
        <w:t>Quantitative and Qualitative Disclosure About Market Risk</w:t>
      </w:r>
      <w:r>
        <w:rPr>
          <w:rFonts w:ascii="Times New Roman" w:cs="Times New Roman" w:eastAsia="Times New Roman" w:hAnsi="Times New Roman"/>
          <w:sz w:val="18"/>
          <w:szCs w:val="18"/>
          <w:color w:val="auto"/>
        </w:rPr>
        <w:t>" of this Annual Report on Form 10-K for further discussion over the impacts of commodity prices on our operations.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upgrading our technology infrastructure and there can be no assurance that our efforts will be completed on the projected timetable or that our investment will result in the expected gains.</w:t>
      </w:r>
    </w:p>
    <w:p>
      <w:pPr>
        <w:spacing w:after="0" w:line="5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Upgrades to our technology infrastructure are ongoing and include a comprehensive lead to cash solution, on-board computers, dynamic route optimization, procurement optimization, cybersecurity initiatives, and other systems that we believe will improve our internal processes and the productivity of our employees. These upgrades are complex and there can be no assurance that they will result in expected productivity gains and operating cost reductions on our anticipated timeline, if at all. In addition, if we are not able to maintain the security of our data, confidential information about us or our customers or suppliers could be inadvertently disclosed, subjecting us to possible expenses and other liabilities as well as adversely impacting customer and other third-party relationships. If we are unable to benefit from new technologies, we may be at a competitive disadvantage to other companies in the waste management industry, in which case our operating results could suffer.</w:t>
      </w:r>
    </w:p>
    <w:p>
      <w:pPr>
        <w:spacing w:after="0" w:line="18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in our information technology systems or cybersecurity incidents could negatively impact our business and our relationships with customers, adversely affecting our financial results and exposing us to litigation risk.</w:t>
      </w:r>
    </w:p>
    <w:p>
      <w:pPr>
        <w:spacing w:after="0" w:line="5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use computer technology, including computer and information networks, in substantially all aspects of our business operations. We also use mobile devices, social networking and other online activities to connect with our customers and for our employees to be able to process transactions and provide information that we feel is necessary to manage our business. Our information technology systems may be susceptible to damage, disruptions or shutdowns due to power outages, hardware failures, telecommunication failures, employee malfeasance, user errors, catastrophes or other unforeseen events. If we were to experience a prolonged disruption in the information technology systems that involve our internal communications or our interactions with our customers, it could result in the loss of sales and customers and significant incremental costs, which could adversely affect our business. In addition, the use of our information technology systems give rise to cybersecurity risks, including security breach, computer viruses, sabotage or espionage, ransomware attacks,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us and our business partners. We also rely on a Payment Card Industry compliant third party to protect our customers’ credit card information. Further, as we pursue our strategy to grow through acquisitions and to pursue new initiatives that improve our operations and cost structure, we are also expanding and improving our information technologies, resulting in a larger technological presence and corresponding exposure to cybersecurity risk. If we fail to assess and identify cybersecurity risks associated with acquisitions and new initiatives, we may become increasingly vulnerable to such risks. Additionally, while we have implemented and continue to implement measures to prevent security breaches and cyber incidents, our preventive or detection measures and incident response efforts may not be entirely effective, especially as cybersecurity attacks continue to evolve and become more sophisticated, often are not recognized until launched against a target and may be difficult to detect for a long time. We are also exposed to cybersecurity risk with respect to data and other information that may be shared with third parties in connection with our business operations, if such third parties become subject to security breaches or other releases of information. In addition, outside parties may attempt to penetrate our systems or those of our vendors or fraudulently induce our employees or employees of our vendors to disclose sensitive information to gain access to our data.</w:t>
      </w:r>
    </w:p>
    <w:p>
      <w:pPr>
        <w:spacing w:after="0" w:line="8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If company, personal or otherwise protected information is improperly accessed, tampered with or distributed, we may face significant financial exposure, including incurring significant costs to remediate possible injury to the affected parties. We may also be subject to sanctions and civil or criminal penalties if we are found to be in violation of the privacy or security rules under laws protecting confidential information. If our established network of security controls, policy enforcement mechanisms, educational awareness programs and monitoring systems that we use to address these threats to technology fail,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litigation and liability and competitive disadvantage. While we have purchased insurance coverage for cybersecurity risks, there can be no assurance that any such coverage would be adequate to cover potential liability.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geographically concentrated and is therefore subject to regional economic downturns.</w:t>
      </w:r>
    </w:p>
    <w:p>
      <w:pPr>
        <w:spacing w:after="0" w:line="11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Our operations and customers are concentrated principally in New England, New York, Pennsylvania and other Mid-Atlantic states. Therefore, our business, financial condition and results of operations are susceptible to regional economic downturns and other regional factors, including state regulations and budget constraints and severe weather conditions. In addition, as we seek to expand in our existing markets, opportunities for growth within this region will become more limited and the geographic concentration of our business will increase.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may be negatively affected if we inadequately accrue for final capping, closure and post-closure costs or by the timing of these costs for our waste disposal facilities.</w:t>
      </w:r>
    </w:p>
    <w:p>
      <w:pPr>
        <w:spacing w:after="0" w:line="5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material financial obligations relating to final capping, closure and post-closure costs of our existing owned or operated landfills and will have material financial obligations with respect to any disposal facilities that we may own or operate in the future. Once the permitted capacity of a particular landfill is reached and additional capacity is not authorized, or a determination is made to cease operations at a landfill due to other considerations, the landfill must be closed and capped, and we must begin post-closure maintenance. We establish accruals for the estimated costs associated with such final capping, closure and post-closure obligations over the anticipated useful life of each landfill on a per ton basis. We have provided and expect that we will in the future provide accruals for financial obligations relating to final capping, closure and post-closure costs of our owned or operated landfills, generally for a term of 30 years after closure of a landfill. Our financial obligations for final capping, closure or post-closure costs could exceed the amounts accrued or amounts otherwise receivable pursuant to trust funds established for this purpose. Such a circumstance could result in significant unanticipated charges that would have an adverse effect on our business.</w:t>
      </w:r>
    </w:p>
    <w:p>
      <w:pPr>
        <w:spacing w:after="0" w:line="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the timing of any such final capping, closure or post-closure costs, which exceed established accruals, may further negatively affect our business. Since we will be unable to control the timing and amounts of such costs, we may be forced to delay investments or planned improvements in other parts of our business or we may be unable to meet applicable financial assurance requirements. Any of the foregoing would negatively affect our business and results of operations.</w:t>
      </w:r>
    </w:p>
    <w:p>
      <w:pPr>
        <w:spacing w:after="0" w:line="72" w:lineRule="exact"/>
        <w:rPr>
          <w:sz w:val="20"/>
          <w:szCs w:val="20"/>
          <w:color w:val="auto"/>
        </w:rPr>
      </w:pPr>
    </w:p>
    <w:p>
      <w:pPr>
        <w:ind w:right="600"/>
        <w:spacing w:after="0" w:line="308" w:lineRule="auto"/>
        <w:rPr>
          <w:sz w:val="20"/>
          <w:szCs w:val="20"/>
          <w:color w:val="auto"/>
        </w:rPr>
      </w:pPr>
      <w:r>
        <w:rPr>
          <w:rFonts w:ascii="Times New Roman" w:cs="Times New Roman" w:eastAsia="Times New Roman" w:hAnsi="Times New Roman"/>
          <w:sz w:val="17"/>
          <w:szCs w:val="17"/>
          <w:color w:val="auto"/>
        </w:rPr>
        <w:t xml:space="preserve">For information regarding our final capping, closure and post-closure obligations, see Note 10, </w:t>
      </w:r>
      <w:r>
        <w:rPr>
          <w:rFonts w:ascii="Times New Roman" w:cs="Times New Roman" w:eastAsia="Times New Roman" w:hAnsi="Times New Roman"/>
          <w:sz w:val="17"/>
          <w:szCs w:val="17"/>
          <w:i w:val="1"/>
          <w:iCs w:val="1"/>
          <w:color w:val="auto"/>
        </w:rPr>
        <w:t>Final Capping, Closure and Post-Closure Costs</w:t>
      </w:r>
      <w:r>
        <w:rPr>
          <w:rFonts w:ascii="Times New Roman" w:cs="Times New Roman" w:eastAsia="Times New Roman" w:hAnsi="Times New Roman"/>
          <w:sz w:val="17"/>
          <w:szCs w:val="17"/>
          <w:color w:val="auto"/>
        </w:rPr>
        <w:t xml:space="preserve"> to our consolidated financial statements included under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of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and self-insurance reserves may be inadequate to cover all significant risk exposures.</w:t>
      </w:r>
    </w:p>
    <w:p>
      <w:pPr>
        <w:spacing w:after="0" w:line="11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 xml:space="preserve">The provision of resource management services, including the operation of landfills, a substantial fleet of trucks and other waste-related assets, involves risks. These risks include, among others, the risk of truck accidents, equipment defects, malfunctions and failures, improper use of dangerous equipment, the release of hazardous substances, fire and explosion, any of which could result in environmental liability, personal injury, loss of life, business interruption or property damage or destruction. We carry a range of insurance policies intended to protect our assets and operations, including general liability insurance, property damage and environmental risk insurance. While we endeavor to purchase insurance coverage appropriate to our risk assessment, and seek to minimize our exposure to these risks through maintenance, training and compliance programs, we are unable to predict with certainty the frequency, nature or magnitude of claims for direct or consequential damages, and as a result our insurance program may not fully cover us for losses we may incur. In addition, as a result of a number of catastrophic weather and other events in the United States, insurance companies have incurred substantial losses and accordingly in many cases they have substantially reduced the nature and amount of insurance coverage available to the market, have broadened exclusions, and/or have substantially increased the cost of such coverage. It is likely that the tight insurance markets will continue into the foreseeable future. A partially or completely uninsured claim against us (including liabilities associated with cleanup or remediation at our facilities), if successful and of sufficient magnitude, could have a material adverse effect on our business, financial condition and results of operations. Any future difficulty in obtaining insurance could also impair our ability to secure future contracts, which may be conditioned upon the availability of adequate insurance coverage. In addition, claims associated with risks we have retained under our self-insurance programs may exceed our recorded reserves, which could negatively impact future earnings. See Note 3, </w:t>
      </w:r>
      <w:r>
        <w:rPr>
          <w:rFonts w:ascii="Times New Roman" w:cs="Times New Roman" w:eastAsia="Times New Roman" w:hAnsi="Times New Roman"/>
          <w:sz w:val="17"/>
          <w:szCs w:val="17"/>
          <w:i w:val="1"/>
          <w:iCs w:val="1"/>
          <w:color w:val="auto"/>
        </w:rPr>
        <w:t>Summary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Significant Accounting Policies </w:t>
      </w:r>
      <w:r>
        <w:rPr>
          <w:rFonts w:ascii="Times New Roman" w:cs="Times New Roman" w:eastAsia="Times New Roman" w:hAnsi="Times New Roman"/>
          <w:sz w:val="17"/>
          <w:szCs w:val="17"/>
          <w:color w:val="auto"/>
        </w:rPr>
        <w:t>to our consolidated financial statements included under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Report on Form 10-K for disclosure about our self-insurance liabilities and related costs.</w:t>
      </w:r>
    </w:p>
    <w:p>
      <w:pPr>
        <w:spacing w:after="0" w:line="172" w:lineRule="exact"/>
        <w:rPr>
          <w:sz w:val="20"/>
          <w:szCs w:val="20"/>
          <w:color w:val="auto"/>
        </w:rPr>
      </w:pPr>
    </w:p>
    <w:p>
      <w:pPr>
        <w:ind w:right="6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could be precluded from entering into contracts or obtaining or maintaining permits or certain contracts if we are unable to obtain third-party financial assurance to secure our contractual obligations.</w:t>
      </w:r>
    </w:p>
    <w:p>
      <w:pPr>
        <w:spacing w:after="0" w:line="5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Public solid waste collection, recycling and disposal contracts, and obligations associated with landfill closure and post-closure, typically require performance or surety bonds, letters of credit or other means of financial assurance to secure our contractual performance. We currently obtain performance and surety bonds from Evergreen National Indemnity Company, in which we hold a 19.9% equity interest. If we are unable to obtain the necessary financial assurance in sufficient amounts or at acceptable rates, we could be precluded from entering into additional municipal contracts or from obtaining or retaining landfill management contracts or operating permits.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write-off or impair capitalized costs or intangible assets in the future or we may incur restructuring costs or other charges, each of which could harm our earnings.</w:t>
      </w:r>
    </w:p>
    <w:p>
      <w:pPr>
        <w:spacing w:after="0" w:line="5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In accordance with generally accepted accounting principles in the United States, we capitalize certain expenditures and advances relating to our acquisitions, landfills, cost method investments and development projects. In addition, we have considerable unamortized assets, including goodwill. From time to time in future periods, we may be required to incur a charge against earnings in an amount equal to any unamortized capitalized expenditures and advances, net of any portion thereof that we estimate will be recoverable, through sale or otherwise, relating to: (1) any operation or other asset that is being sold, permanently shut down or impaired or has not generated or is not expected to generate sufficient cash flow; (2) any landfill or development project, or growth oriented investment that is not expected to be successfully completed or generate a sufficient return on investment; and (3) any goodwill or other intangible assets that are determined to be impaired.</w:t>
      </w:r>
    </w:p>
    <w:p>
      <w:pPr>
        <w:spacing w:after="0" w:line="8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In response to such charges and costs and other market factors, we may be required to implement restructuring plans in an effort to reduce the size and cost of our operations and to better match our resources with our market opportunities. As a result of such actions, we would expect to incur restructuring expenses and accounting charges which may be material. Several factors could cause a restructuring to adversely affect our business, financial condition and results of operations, including potential disruption of our operations, the development of our landfill capacity and recycling technologies and other aspects of our business. Employee morale and productivity could also suffer and result in unintended employee attrition. Any restructuring would require substantial management time and attention and may divert management from other important work. Moreover, we could encounter delays in executing any restructuring plans, which could cause further disruption and additional unanticipated expense.</w:t>
      </w:r>
    </w:p>
    <w:p>
      <w:pPr>
        <w:spacing w:after="0" w:line="183"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revenues and our operating income experience seasonal fluctuations, which could adversely affect our operational results in certain quarters and cause our results to fluctuate.</w:t>
      </w:r>
    </w:p>
    <w:p>
      <w:pPr>
        <w:spacing w:after="0" w:line="5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transfer and disposal revenues have historically been higher in the late spring, summer and early fall months, which when combined with operating and other fixed costs that remain constant throughout the fiscal year, results in seasonal fluctuations in our operating performance. This seasonality reflects the lower volume of solid waste during the late fall, winter and early spring months primarily because the volume of waste relating to C&amp;D activities decreases substantially during the winter months in the eastern United States where we are geographically located.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Adverse weather conditions, including those brought about by climate change, may limit our operations and increase the costs of collection and disposal.</w:t>
      </w:r>
    </w:p>
    <w:p>
      <w:pPr>
        <w:spacing w:after="0" w:line="1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collection and landfill operations could be adversely impacted by extended periods of inclement weather, or by increased severity of weather, including as a result of climate change. Adverse weather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Efforts by labor unions to organize our employees could divert management attention and increase our operating expenses.</w:t>
      </w:r>
    </w:p>
    <w:p>
      <w:pPr>
        <w:spacing w:after="0" w:line="11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Certain groups of our employees have chosen to be represented by unions, and we have negotiated collective bargaining agreements with these groups. The negotiation of collective bargaining agreements could divert management attention and result in increased operating expenses and lower net income (or increased net loss). If we are unable to negotiate acceptable collective bargaining agreements, we may be subject to union-initiated work stoppages, including strikes. Depending on the type and duration of any labor disruptions, our revenues could decrease and our operating expenses could increase, which could adversely affect our financial condition, results of operations and cash flows. As of January 31, 2024, approximately 4% of our employees were represented by unions.</w:t>
      </w:r>
    </w:p>
    <w:p>
      <w:pPr>
        <w:spacing w:after="0" w:line="181"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enterprise risk management process may not be effective in mitigating the risks to which we are subject, or in reducing the potential for losses in connection with such risks.</w:t>
      </w:r>
    </w:p>
    <w:p>
      <w:pPr>
        <w:spacing w:after="0" w:line="5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enterprise risk management framework is designed to minimize or mitigate the risks to which we are subject, as well as any losses stemming from such risks. Although we seek to identify, measure, monitor, report, and control our exposure to such risks, and employ a broad and diversified set of risk monitoring and mitigation techniques in the process, those techniques are inherently limited in their ability to anticipate the existence or development of risks that are currently unknown and unanticipated. The ineffectiveness of our enterprise risk management framework in mitigating the impact of known risks or the emergence of previously unknown or unanticipated risks may result in our incurring losses in the future that could adversely impact our financial condition and results of operations.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7"/>
          <w:szCs w:val="17"/>
          <w:b w:val="1"/>
          <w:bCs w:val="1"/>
          <w:i w:val="1"/>
          <w:iCs w:val="1"/>
          <w:color w:val="auto"/>
        </w:rPr>
        <w:t>We may be adversely affected by market responses to our environmental, social and governance ("ESG") practices and may not be effective in mitigating the risks associated with ESG expectations and emerging ESG regulations, or in reducing the potential for losses in connection with such risks.</w:t>
      </w:r>
    </w:p>
    <w:p>
      <w:pPr>
        <w:spacing w:after="0" w:line="3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We are subject to risks related to our ESG activities and disclosures that may adversely affect our market outlook, brand and reputation, and financial performance, which may impact our ability to achieve our long-term business objectives. Our ESG practices are designed to bring our actions and impacts into alignment with broader societal goals and environmental limits. Although we have developed a framework and perform a reporting initiative to identify, measure, monitor, report, and control our ESG practices and related exposure to ESG expectations and regulations, we may not achieve our sustainability goals and commitments, or we may improperly report on our progress toward achieving our sustainability goals and commitments, which could result in negative publicity that could affect our brand and reputation, and accordingly, adversely impact our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21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debt and have the ability to incur additional debt. The principal and interest payment obligations of such debt may restrict our future operations.</w:t>
      </w:r>
    </w:p>
    <w:p>
      <w:pPr>
        <w:spacing w:after="0" w:line="5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As of December 31, 2023, we had $1,054.5 million of outstanding principal indebtedness (excluding $27.7 million of outstanding letters of credit issued under our $350.0 million term loan A facility, $300 million revolving line of credit facility with a $75.0 million sublimit for letters of credit, and $430.0 million aggregate principal amount of term loan A facility (collectively, the "Credit Facility")). This amount of indebtedness and our debt service requirements may limit our financial flexibility to access additional capital and make capital expenditures and other investments in our business, to withstand economic downturns and interest rate increases, to plan for or react to changes in our business and our industry, and to comply with the financial and other covenants included in the Credit Facility. We may also be subject to higher interest expense based on how we perform against financial and other covenants. Additionally, if we do not comply with financial and other covenants, we may be required to take actions such as reducing or delaying capital expenditures, selling assets, restructuring or refinancing all or part of our existing Credit Facility or seeking additional equity capital.</w:t>
      </w:r>
    </w:p>
    <w:p>
      <w:pPr>
        <w:spacing w:after="0" w:line="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ability to satisfy our obligations and to reduce our total debt depends on our future operating performance and on economic, financial, competitive and other factors, many of which are beyond our control. If we are unable to service or refinance our debt, we may be required to divert funds that would otherwise be invested in growing our business operations or sell selected assets. 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conditions in the debt capital markets. As of December 31, 2023, we had $272.3 million of unused commitments remaining under the Credit Facility, subject to customary borrowing conditions, and approximately $220.9 million in cash and cash equivalents available for any future payment obligations.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are unable to repay debt to our lenders or are otherwise in default under any provision governing our outstanding debt obligations, our secured lenders could proceed against us and against the collateral securing that debt.</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1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Holders of our Class A common stock are entitled to one vote per share, and holders of our Class B common stock are entitled to ten votes per share. The lower voting power of the Class A common stock may negatively affect the attractiveness of our Class A common stock to investors and, as a result, its market value.</w:t>
      </w:r>
    </w:p>
    <w:p>
      <w:pPr>
        <w:spacing w:after="0" w:line="6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We have two classes of common stock: Class A common stock, which is entitled to one vote per share, and Class B common stock, which is entitled to ten votes per share. All of the outstanding Class B common stock are beneficially owned by John W. Casella, our Chairman and Chief Executive Officer; certain trusts for the benefit of Mr. John Casella and his spouse; Douglas R. Casella, a member of our Board of Directors who is Mr. John Casella's brother; and certain trusts for the benefit of Mr. Douglas Casella and his spouse. Except for the election of one of our directors and in certain limited circumstances required by applicable law, holders of Class A common stock and Class B common stock vote together as a single class on all matters to be voted on by our stockholders. As of January 31, 2024, an aggregate of 988,200 shares of our Class B common stock, representing 9,882,000 votes, were outstanding. Based on the number of shares of common stock outstanding as of January 31, 2024, the shares of our Class A common stock and Class B common stock beneficially owned by John W. Casella and Douglas R. Casella represented approximately 15.0% of the aggregate voting power of our stockholders. Consequently, John W. Casella and Douglas R. Casella are able to substantially influence all matters for stockholder consideration and constitute, and are expected to continue to constitute, a significant portion of the shares entitled to vote on all matters requiring approval by our stockholders. The difference in the voting power of our Class A common stock and Class B common stock could diminish the market value of our Class A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certain processes for assessing, identifying and managing cybersecurity risks, which are built into our information technology function and are designed to help protect our information assets and operations from internal and external cyber threats, protect employee and customer information from unauthorized access or attack, as well as secure our networks and systems. Such processes are periodically assessed against the National Institute of Standards and Technology cybersecurity framework and include physical, procedural and technical safeguards, response plans, regular tests on our systems, incident simulations and routine review of our policies and procedures to identify risks and refine our practices.</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engage external parties to supplement our internal capabilities and to assess our cyber maturity and readiness on a periodic basis. This includes being party to a managed services agreement with an external party for incident response; engaging an external party for comprehensive cybersecurity assessment, opportunity prioritization, initiative road mapping and cyber project delivery; and engaging additional external parties to assist with critical cyber-related infrastructure such as firewall maintenance and upgrade initiatives. While utilizing third-party service providers presents risk, we assess all third-party service providers for their qualifications before engaging them and monitor such providers throughout the term of the engagement in order to help protect us from any additional vulnerabilities.</w:t>
      </w:r>
    </w:p>
    <w:p>
      <w:pPr>
        <w:spacing w:after="0" w:line="7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do not believe that there are currently any known risks from cybersecurity threats that are reasonably likely to materially affect us or our business strategy, results of operations or financial condition.</w:t>
      </w:r>
    </w:p>
    <w:p>
      <w:pPr>
        <w:spacing w:after="0" w:line="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Audit Committee of our Board of Directors ("Audit Committee") provides direct oversight over cybersecurity risk and acts in an advisory capacity to our management team, primarily, as it relates to cybersecurity, our Chief Information Officer ("CIO"), and provides updates to the Board of Directors regarding such oversight. The Audit Committee receives quarterly updates from management regarding cybersecurity matters, and is notified between such updates regarding significant new cybersecurity threats or incidents.</w:t>
      </w:r>
    </w:p>
    <w:p>
      <w:pPr>
        <w:spacing w:after="0" w:line="7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CIO leads the operational oversight of our company-wide cybersecurity strategy, policy, standards and processes and works across relevant departments to assess and help prepare us and our employees to address cybersecurity risks. This includes the utilization of a security operations center which deploys overlapping layers of security technology, monitoring, and staff for incident response. Should an incident arise, we, led by our CIO, follow a documented incident response plan, which includes activating retained third-party incident response specialists. The CIO’s cybersecurity expertise is derived from over 30 years of experience in information technology, consulting, and technology transformation through ever-progressing leadership roles.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an effort to deter and detect cyber threats, we provide key employees, with various cybersecurity trainings that cover timely and relevant topics, and educate employees on the importance of reporting all incidents immediately. We also use technology-based tools to mitigate cybersecurity risks and to bolster our employee-based cybersecurity programs.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headquarters is located at 25 Greens Hill Lane, Rutland, Vermont 05701, where we currently lease approximately 12,000 square feet of office space.</w:t>
      </w:r>
    </w:p>
    <w:p>
      <w:pPr>
        <w:spacing w:after="0" w:line="1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principal property and equipment consists of land, landfills, finance lease right-of-use assets, buildings, machinery and equipment, rolling stock and containers. At January 31, 2024, we operated eight subtitle D landfills, four of which we own and four of which we lease; one landfill permitted to accept C&amp;D materials that we own; 71 transfer stations, 40 of which we own, 11 of which we lease and 20 of which we operate under a contract; 64 solid waste collection facilities, 41 of which we own, 22 of which we lease and one of which we operate under a contract; 29 recycling processing facilities, 16 of which we own, 10 of which we lease and three of which we operate under a contract; three landfill gas-to-energy facilities that we own; and 34 corporate office and other administrative facilities, 15 of which we own and 19 of which we lease (See "Operational Overview"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of this Annual Report on Form 10-K for property information by operating segment and location). We believe that our property and equipment are adequately maintained and sufficient for our current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 xml:space="preserve">The information required by this Item is provided in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over Certain Environmental Matters Involving Governmental Authorities with Possible Sanctions of $1,000,000 or More</w:t>
      </w:r>
    </w:p>
    <w:p>
      <w:pPr>
        <w:spacing w:after="0" w:line="1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Item 103 of the Securities and Exchange Commission's Regulation S-K requires disclosure of certain environmental matters when a governmental authority is a party to the proceedings and the proceedings involve potential monetary sanctions unless we reasonably believe the monetary sanctions will not equal or exceed a specified threshold which we determine is reasonably designed to result in disclosure of any such proceeding that is material to our business or financial condition. Pursuant to Item 103, we have determined such disclosure threshold to be $1,000,000. We have no matters to disclose in accordance with that requirement.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8"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Class A common stock trades on the Nasdaq Global Select Market (“Nasdaq Stock Market”) under the symbol CWST. There is no established trading market for our Class B common stock. As of January 31, 2024, there were approximately 700 holders of record of our Class A common stock and two holders of record of our Class B common stock.</w:t>
      </w:r>
    </w:p>
    <w:p>
      <w:pPr>
        <w:spacing w:after="0" w:line="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purposes of calculating the aggregate market value of the shares of common stock held by non-affiliates, as shown on the cover page of this Annual Report on Form 10-K, we have assumed that all the outstanding shares of Class A common stock were held by non-affiliates except for the shares beneficially held by directors and executive officers and funds represented by them.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4"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No dividends have ever been declared or paid on our common stock and we do not anticipate paying any cash dividends on our common stock in the foreseeable future.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Item 201(d) of Regulation S-K is included in Part III of this Annual Report on Form 10-K.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“filed” with the Securities and Exchange Commission, nor shall such information be incorporated by reference into any future filing under the Securities Act of 1933 or the Securities Exchange Act of 1934, each as amended, except to the extent that we specifically incorporate it by reference into such filing.</w:t>
      </w:r>
    </w:p>
    <w:p>
      <w:pPr>
        <w:spacing w:after="0" w:line="6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stock performance graph below compares the percentage change in cumulative stockholder return on our Class A common stock for the period from December 31, 2018 through December 31, 2023, with the cumulative total return on the Russell 2000 Index and Peer Group. The stock performance graph assumes the investment on December 31, 2018 of $100.00 in our Class A common stock at the closing price on such date, in the Russell 2000 Index and the Peer Group, and that dividends are reinvested. No dividends have been declared or paid on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461645</wp:posOffset>
            </wp:positionV>
            <wp:extent cx="5775325" cy="4795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75325" cy="479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3"/>
        </w:trPr>
        <w:tc>
          <w:tcPr>
            <w:tcW w:w="39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Casella Waste Systems, Inc.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299.96</w:t>
            </w:r>
          </w:p>
        </w:tc>
      </w:tr>
      <w:tr>
        <w:trPr>
          <w:trHeight w:val="22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Russell 2000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160.85</w:t>
            </w:r>
          </w:p>
        </w:tc>
      </w:tr>
      <w:tr>
        <w:trPr>
          <w:trHeight w:val="22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220.13</w:t>
            </w:r>
          </w:p>
        </w:tc>
      </w:tr>
    </w:tbl>
    <w:p>
      <w:pPr>
        <w:spacing w:after="0" w:line="200" w:lineRule="exact"/>
        <w:rPr>
          <w:sz w:val="20"/>
          <w:szCs w:val="20"/>
          <w:color w:val="auto"/>
        </w:rPr>
      </w:pPr>
    </w:p>
    <w:p>
      <w:pPr>
        <w:spacing w:after="0" w:line="229" w:lineRule="exact"/>
        <w:rPr>
          <w:sz w:val="20"/>
          <w:szCs w:val="20"/>
          <w:color w:val="auto"/>
        </w:rPr>
      </w:pPr>
    </w:p>
    <w:p>
      <w:pPr>
        <w:ind w:left="480" w:hanging="314"/>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Peer Group is comprised of GFL Environmental, Inc., Waste Connections Inc., Waste Management, Inc. and Republic Services,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4"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7"/>
          <w:szCs w:val="17"/>
          <w:color w:val="auto"/>
        </w:rPr>
        <w:t>The following discussion of our financial condition and results of operations should be read in conjunction with the consolidated financial statements and notes thereto, and other financial information, included elsewhere in this Annual Report on Form 10-K. This discussion contains forward-looking statements and involves numerous risks and uncertainties. Our actual results may differ materially from those contained in any forward-looking statements.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Discussion and analysis of our financial condition and results of operations for the fiscal year ended December 31, 2022 ("fiscal year 2022") compared to our financial condition and results of operations for the fiscal year ended December 31, 2021 is included under the heading Item 7.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w:t>
      </w:r>
      <w:r>
        <w:rPr>
          <w:rFonts w:ascii="Times New Roman" w:cs="Times New Roman" w:eastAsia="Times New Roman" w:hAnsi="Times New Roman"/>
          <w:sz w:val="18"/>
          <w:szCs w:val="18"/>
          <w:color w:val="auto"/>
        </w:rPr>
        <w:t>” in our Annual Report on Form 10-K for the fiscal year ended December 31, 2022 as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Securities and Exchange Commission on February 17,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Casella Waste Systems, Inc., a Delaware corporation, and its wholly-owned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spacing w:after="0" w:line="6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provide integrated solid waste services in nine states: Vermont, New Hampshire, New York, Massachusetts, Connecticut, Maine, Pennsylvania, Delaware and Maryland with our headquarters located in Rutland, Vermont. On June 30, 2023, we acquired the equity interests of four wholly owned subsidiaries of GFL Environmental Inc. ("GFL Subsidiaries"), which are the basis of our newly formed regional operating segment, the Mid-Atlantic region, that expanded our integrated solid waste services to the states of Delaware and Maryland, ("GFL Acquisition"). Operations under the Mid-Atlantic region commenced on July 1, 2023.</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77"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8"/>
          <w:szCs w:val="18"/>
          <w:color w:val="auto"/>
        </w:rPr>
        <w:t xml:space="preserve">For financial information concerning our reportable operating segments and additional disclosure over the GFL Acquisition refer to “Item 8.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and Supplementary Data</w:t>
      </w:r>
      <w:r>
        <w:rPr>
          <w:rFonts w:ascii="Times New Roman" w:cs="Times New Roman" w:eastAsia="Times New Roman" w:hAnsi="Times New Roman"/>
          <w:sz w:val="18"/>
          <w:szCs w:val="18"/>
          <w:color w:val="auto"/>
        </w:rPr>
        <w:t>” of this Annual Report on Form 10-K.</w:t>
      </w:r>
    </w:p>
    <w:p>
      <w:pPr>
        <w:spacing w:after="0" w:line="56"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As of January 31, 2024, we owned and/or operated 64 solid waste collection operations, 71 transfer stations, 29 recycling and processing facilities, eight Subtitle D landfills, three landfill gas-to-energy facilities and one landfill permitted to accept construction and demolition materials.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Divestitures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made in the past, and we expect to make in the future, acquisitions to densify existing operations, expand service areas, and grow services for our customers. These acquisitions may include “tuck-in” acquisitions within our existing markets, assets that are adjacent to or outside of our existing markets, or larger, more strategic acquisitions. In addition, from time to time, we may acquire businesses that are complementary to our core business strategy. We face competition for acquisition targets, particularly the larger and more meaningful targets, but we believe that our strong relationships and reputation help to offset this factor.</w:t>
      </w:r>
    </w:p>
    <w:p>
      <w:pPr>
        <w:spacing w:after="0" w:line="7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We have a business development team that identifies acquisition candidates, categorizes the opportunity by strategic fit and financial synergies, establishes contact with the appropriate representative of the acquisition candidate and gathers further information on the acquisition candidate.</w:t>
      </w:r>
    </w:p>
    <w:p>
      <w:pPr>
        <w:spacing w:after="0" w:line="5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In the fiscal year ended December 31, 2023 ("fiscal year 2023"), we acquired seven businesses: the GFL Subsidiaries, which include solid waste collection, transfer and recycling operations in Pennsylvania, Maryland and Delaware; the assets of Consolidated Waste Services, LLC and its affiliates (dba Twin Bridges), which was completed on September 1, 2023 and consists of a collection, transfer and recycling business in the greater Albany, New York area (the "Twin Bridges Acquisition"); and five additional solid waste collection businesses that provide collection, transfer and recycling services. Our total consideration for acquisitions completed in fiscal year 2023 was $846.6 million, including $846.7 in cash, $2.7 million in holdbacks and additional consideration owed to sellers, partially offset by $(2.8) million of open working capital settlements due from sellers.</w:t>
      </w:r>
    </w:p>
    <w:p>
      <w:pPr>
        <w:spacing w:after="0" w:line="7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In the fiscal year 2022, we acquired fourteen businesses, primarily related to our solid waste collection, transfer, recycling and transportation operations, for total consideration of $82.7 million, including $76.6 million in cash, $1.3 million in non-cash consideration and $4.8 million in holdbacks to sellers.</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1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From time to time, we may sell or divest certain investments or other components of our business. These divestitures may be undertaken for a number of reasons, including: to generate proceeds to pay down debt; as a result of a determination that the specified asset will provide inadequate returns to us or that the asset no longer serves a strategic purpose in connection with our business; or as a result of a determination that the asset may be more valuable to a third-party. We will continue to look to divest certain activities and investments that no longer enhance or complement our core business if the right opportunity presents itself.</w:t>
      </w: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We manage our solid waste operations, which include a full range of solid waste services, on a geographic basis through three regional operating segments, which we designate as the Eastern, Western and Mid-Atlantic regions. The Mid-Atlantic region, which was formed as a result of the GFL Acquisition on June 30, 2023, commenced operations on July 1, 2023. Revenues associated with our solid waste operations are derived mainly from fees charged to customers for solid waste collection and disposal services, including landfill, transfer station and transportation services, landfill gas-to-energy services, and processing services in the eastern United States.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at certain of our landfill facilities. We manage our resource renewal operations through the Resource Solutions operating segment, which includes processing services and non-processing services, which we previously referred to as our Customer Solutions business, but now refer to as our National Accounts business. Revenues from processing services are derived from customers in the form of processing fees, tipping fees, commodity sales, primarily comprised of newspaper, corrugated containers, plastics, ferrous and aluminum, and organic materials such as our earthlife® soils products including fertilizers, composts and mulches.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revenue attributable to services provided (dollars in millions and as a percentage of total revenues) for the following periods: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80" w:type="dxa"/>
            <w:vAlign w:val="bottom"/>
            <w:gridSpan w:val="6"/>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vMerge w:val="restart"/>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4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2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6"/>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Solid waste operations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2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332"/>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4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8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8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9"/>
        </w:trPr>
        <w:tc>
          <w:tcPr>
            <w:tcW w:w="3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Resource Solutions operations</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Solid waste revenues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 in solid waste revenues (dollars in millions and as percentage growth of solid waste revenues) follows:</w:t>
      </w:r>
    </w:p>
    <w:p>
      <w:pPr>
        <w:spacing w:after="0" w:line="2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Period-to-Period Change For</w:t>
      </w: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Fiscal Year 2023 vs Fiscal Year 2022</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8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6"/>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1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Solid waste revenues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23.8 %</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items impacting the change in our solid waste revenues during fiscal year 2023 are summarized below:</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right="220" w:hanging="315"/>
        <w:spacing w:after="0" w:line="27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increased due to (i) $42.9 million, or 7.9%, from favorable collection pricing and (ii) $15.7 million, or 6.9%, from favorable disposal pricing associated with our landfills, transfer stations and, to a lesser extent, transportation services.</w:t>
      </w:r>
    </w:p>
    <w:p>
      <w:pPr>
        <w:spacing w:after="0" w:line="4" w:lineRule="exact"/>
        <w:rPr>
          <w:rFonts w:ascii="Times New Roman" w:cs="Times New Roman" w:eastAsia="Times New Roman" w:hAnsi="Times New Roman"/>
          <w:sz w:val="18"/>
          <w:szCs w:val="18"/>
          <w:color w:val="auto"/>
        </w:rPr>
      </w:pPr>
    </w:p>
    <w:p>
      <w:pPr>
        <w:ind w:left="640" w:right="20" w:hanging="315"/>
        <w:spacing w:after="0" w:line="253"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decreased due to (i) $(10.9) million from lower collection volumes associated with slowing economic activity, primarily in the roll-off business, higher customer churn due to increased pricing and fees charged to additional customers, particularly in our Western region, and, to a lesser extent, purposeful shedding of less profitable customers and (ii) $(4.3) million from lower disposal volumes, primarily lower landfill volumes related to slowing economic activity; partially offset by additional disposal volumes in our Western region related to flooding from a severe weather event in the summer; partially offset by $0.5 million from higher processing volumes.</w:t>
      </w:r>
    </w:p>
    <w:p>
      <w:pPr>
        <w:spacing w:after="0" w:line="25" w:lineRule="exact"/>
        <w:rPr>
          <w:rFonts w:ascii="Times New Roman" w:cs="Times New Roman" w:eastAsia="Times New Roman" w:hAnsi="Times New Roman"/>
          <w:sz w:val="18"/>
          <w:szCs w:val="18"/>
          <w:color w:val="auto"/>
        </w:rPr>
      </w:pPr>
    </w:p>
    <w:p>
      <w:pPr>
        <w:ind w:left="640" w:right="20" w:hanging="315"/>
        <w:spacing w:after="0" w:line="25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Surcharge and other fees increased primarily due to (i) new fees related to legacy fuel and environmental cost recovery programs associated with the GFL Acquisition and (ii) higher sustainability recycling adjustment fees ("SRA Fee(s)") revenues as a result of lower recycled commodity prices and a higher customer participation rate; partially offset by lower energy and environmental fees ("E&amp;E Fee(s)") revenues associated with our fuel cost recovery program as a result of lower diesel fuel prices, partially offset by a higher customer participation rate. See Item 7A. “</w:t>
      </w:r>
      <w:r>
        <w:rPr>
          <w:rFonts w:ascii="Times New Roman" w:cs="Times New Roman" w:eastAsia="Times New Roman" w:hAnsi="Times New Roman"/>
          <w:sz w:val="18"/>
          <w:szCs w:val="18"/>
          <w:i w:val="1"/>
          <w:iCs w:val="1"/>
          <w:color w:val="auto"/>
        </w:rPr>
        <w:t>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Qualitative Disclosures about Market Risk</w:t>
      </w:r>
      <w:r>
        <w:rPr>
          <w:rFonts w:ascii="Times New Roman" w:cs="Times New Roman" w:eastAsia="Times New Roman" w:hAnsi="Times New Roman"/>
          <w:sz w:val="18"/>
          <w:szCs w:val="18"/>
          <w:color w:val="auto"/>
        </w:rPr>
        <w:t>” included in this Annual Report on Form 10-K for additional information regarding our E&amp;E Fee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SRA Fee;</w:t>
      </w:r>
    </w:p>
    <w:p>
      <w:pPr>
        <w:spacing w:after="0" w:line="25" w:lineRule="exact"/>
        <w:rPr>
          <w:rFonts w:ascii="Times New Roman" w:cs="Times New Roman" w:eastAsia="Times New Roman" w:hAnsi="Times New Roman"/>
          <w:sz w:val="18"/>
          <w:szCs w:val="18"/>
          <w:color w:val="auto"/>
        </w:rPr>
      </w:pPr>
    </w:p>
    <w:p>
      <w:pPr>
        <w:ind w:left="640" w:right="360" w:hanging="315"/>
        <w:spacing w:after="0" w:line="27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 and volume decreased primarily due to (i) unfavorable commodity and energy pricing and (ii) lower energy volumes; partially offset by higher commodity processing volumes; and</w:t>
      </w:r>
    </w:p>
    <w:p>
      <w:pPr>
        <w:spacing w:after="0" w:line="4" w:lineRule="exact"/>
        <w:rPr>
          <w:rFonts w:ascii="Times New Roman" w:cs="Times New Roman" w:eastAsia="Times New Roman" w:hAnsi="Times New Roman"/>
          <w:sz w:val="18"/>
          <w:szCs w:val="18"/>
          <w:color w:val="auto"/>
        </w:rPr>
      </w:pPr>
    </w:p>
    <w:p>
      <w:pPr>
        <w:ind w:left="640" w:right="160" w:hanging="315"/>
        <w:spacing w:after="0" w:line="27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increased due to (i) the partial year impact of the seven acquisitions completed in fiscal year 2023, including the GFL Acquisition and Twin Bridges Acquisition, as described above, and (ii) the rollover impact of the twelve acquisitions completed in fiscal year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 Solutions revenues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below for discussion over the period-to-period change in Resource Solutions revenues.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6"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18"/>
          <w:szCs w:val="18"/>
          <w:color w:val="auto"/>
        </w:rPr>
        <w:t>A summary of our cost of operations, general and administration and depreciation and amortization expenses is as follows (dollars in millions and as a percentage of total revenues):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340" w:type="dxa"/>
            <w:vAlign w:val="bottom"/>
            <w:gridSpan w:val="4"/>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Fiscal Years Ended December 31,</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restart"/>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8"/>
        </w:trPr>
        <w:tc>
          <w:tcPr>
            <w:tcW w:w="3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832.0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723.1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2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155.8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tcPr>
          <w:p>
            <w:pPr>
              <w:spacing w:after="0"/>
              <w:rPr>
                <w:sz w:val="19"/>
                <w:szCs w:val="19"/>
                <w:color w:val="auto"/>
              </w:rPr>
            </w:pPr>
          </w:p>
        </w:tc>
        <w:tc>
          <w:tcPr>
            <w:tcW w:w="5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133.4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170.7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126.4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Operations</w:t>
      </w:r>
    </w:p>
    <w:p>
      <w:pPr>
        <w:spacing w:after="0" w:line="11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Cost of operations includes: (i) direct costs, which consist of the costs of purchased materials and third-party transportation and disposal costs, including third-party tipping fees; (ii) direct labor costs, which include salaries, wages, incentive compensation and related benefit costs such as health and welfare benefits and workers compensation; (iii) direct operational costs, which include landfill operating costs such as accretion expense related to final capping, closure and post-closure obligations, leachate treatment and disposal costs and depletion of landfill operating lease obligations, vehicle insurance costs, host community fees and royalties; (iv) fuel costs used by our vehicles and in conducting our operations; (v) maintenance and repair costs relating to our vehicles, equipment and containers; and (vi) other operational costs including facility costs.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major components of our cost of operations is as follows (dollars in millions and as a percentage of total revenues):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0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Fiscal Years Ended December 31,</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3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5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labor costs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operational costs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and repair costs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6"/>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operational costs</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65.8 %</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presented by other companies.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items impacting the change in our cost of operations during fiscal year 2023 are summarized below:</w:t>
      </w:r>
    </w:p>
    <w:p>
      <w:pPr>
        <w:spacing w:after="0" w:line="59" w:lineRule="exact"/>
        <w:rPr>
          <w:sz w:val="20"/>
          <w:szCs w:val="20"/>
          <w:color w:val="auto"/>
        </w:rPr>
      </w:pPr>
    </w:p>
    <w:p>
      <w:pPr>
        <w:ind w:left="440" w:hanging="314"/>
        <w:spacing w:after="0" w:line="256"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increased in aggregate dollars due primarily to (i) acquisitions and (ii) higher third-party disposal rates and hauling charges reflecting inflationary pressures; partially offset in dollars, and more than offset as a percentage of revenues, by (i) lower purchased material costs in our Resource Solutions operating segment and (ii) lower hauling and transportation costs on lower base business disposal volumes in our Eastern region operating segment, which operates with a higher level of direct costs as a percentage of revenue.</w:t>
      </w:r>
    </w:p>
    <w:p>
      <w:pPr>
        <w:spacing w:after="0" w:line="21" w:lineRule="exact"/>
        <w:rPr>
          <w:rFonts w:ascii="Times New Roman" w:cs="Times New Roman" w:eastAsia="Times New Roman" w:hAnsi="Times New Roman"/>
          <w:sz w:val="18"/>
          <w:szCs w:val="18"/>
          <w:color w:val="auto"/>
        </w:rPr>
      </w:pPr>
    </w:p>
    <w:p>
      <w:pPr>
        <w:ind w:left="440" w:right="440" w:hanging="314"/>
        <w:spacing w:after="0" w:line="261"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labor costs increased due primarily to (i) acquisitions, with an increase as a percentage of revenues associated with acquired business mix, including more labor intensive rear-load operations, and (ii) higher wages and benefit costs reflecting inflationary pressures; partially offset by (a) improved routing efficiencies and (b) lower outside labor costs.</w:t>
      </w:r>
    </w:p>
    <w:p>
      <w:pPr>
        <w:spacing w:after="0" w:line="16" w:lineRule="exact"/>
        <w:rPr>
          <w:rFonts w:ascii="Times New Roman" w:cs="Times New Roman" w:eastAsia="Times New Roman" w:hAnsi="Times New Roman"/>
          <w:sz w:val="18"/>
          <w:szCs w:val="18"/>
          <w:color w:val="auto"/>
        </w:rPr>
      </w:pPr>
    </w:p>
    <w:p>
      <w:pPr>
        <w:ind w:left="440" w:right="60" w:hanging="314"/>
        <w:spacing w:after="0" w:line="256"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operational costs increased in aggregate dollars due to (i) acquisitions, (ii) higher accretion expense associated with changes in the timing and cost estimates of our closure, post-closure, and capping obligations, (iii) higher host community and royalty fees, primarily in our Western region, (iv) higher leachate disposal costs, and (v) general cost inflation; partially offset in dollars, and more than offset as a percentage of revenues, by lower other landfill operating costs related to lower volumes.</w:t>
      </w:r>
    </w:p>
    <w:p>
      <w:pPr>
        <w:spacing w:after="0" w:line="21" w:lineRule="exact"/>
        <w:rPr>
          <w:rFonts w:ascii="Times New Roman" w:cs="Times New Roman" w:eastAsia="Times New Roman" w:hAnsi="Times New Roman"/>
          <w:sz w:val="18"/>
          <w:szCs w:val="18"/>
          <w:color w:val="auto"/>
        </w:rPr>
      </w:pPr>
    </w:p>
    <w:p>
      <w:pPr>
        <w:ind w:left="440" w:right="20" w:hanging="314"/>
        <w:spacing w:after="0" w:line="261"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costs increased in aggregate dollars due to acquisitions, partially offset in dollars, and more than offset as a percentage of revenues, by lower diesel fuel prices and lower fuel consumption related to lower base business solid waste volumes. See Item 7A.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Market Risk</w:t>
      </w:r>
      <w:r>
        <w:rPr>
          <w:rFonts w:ascii="Times New Roman" w:cs="Times New Roman" w:eastAsia="Times New Roman" w:hAnsi="Times New Roman"/>
          <w:sz w:val="18"/>
          <w:szCs w:val="18"/>
          <w:color w:val="auto"/>
        </w:rPr>
        <w:t>" of this Annual Report on Form 10-K for additional information regarding our fuel costs.</w:t>
      </w:r>
    </w:p>
    <w:p>
      <w:pPr>
        <w:spacing w:after="0" w:line="16" w:lineRule="exact"/>
        <w:rPr>
          <w:rFonts w:ascii="Times New Roman" w:cs="Times New Roman" w:eastAsia="Times New Roman" w:hAnsi="Times New Roman"/>
          <w:sz w:val="18"/>
          <w:szCs w:val="18"/>
          <w:color w:val="auto"/>
        </w:rPr>
      </w:pPr>
    </w:p>
    <w:p>
      <w:pPr>
        <w:ind w:left="440" w:right="360" w:hanging="314"/>
        <w:spacing w:after="0" w:line="275"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repair costs increased due to (i) acquisitions, (ii) higher personnel and parts costs reflecting inflationary pressures, and (iii) higher vehicle maintenance costs driven by delays in the delivery of fleet replacements.</w:t>
      </w:r>
    </w:p>
    <w:p>
      <w:pPr>
        <w:spacing w:after="0" w:line="4" w:lineRule="exact"/>
        <w:rPr>
          <w:rFonts w:ascii="Times New Roman" w:cs="Times New Roman" w:eastAsia="Times New Roman" w:hAnsi="Times New Roman"/>
          <w:sz w:val="18"/>
          <w:szCs w:val="18"/>
          <w:color w:val="auto"/>
        </w:rPr>
      </w:pPr>
    </w:p>
    <w:p>
      <w:pPr>
        <w:ind w:left="440" w:right="140" w:hanging="314"/>
        <w:spacing w:after="0" w:line="261"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costs increased due to (i) acquisitions, (ii) higher spend associated with supporting acquisition-related growth, (iii) increased facility insurance costs, and (iv) general cost inflation; partially offset by a gain on resolution of acquisition-related contingent consideration associated with the reversal of a contingency for a transfer station permit expansion in our Western region that is no longer deemed viable.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Administration</w:t>
      </w:r>
    </w:p>
    <w:p>
      <w:pPr>
        <w:spacing w:after="0" w:line="114"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7"/>
          <w:szCs w:val="17"/>
          <w:color w:val="auto"/>
        </w:rPr>
        <w:t>General and administration expense includes: (i) labor costs, which consist of salaries, wages, incentive compensation and related benefit costs such as health and welfare benefits and workers compensation costs related to management, clerical and administrative functions; (ii) professional service fees; (iii) provision for expected credit losses; and (iv) other overhead costs including those associated with marketing, sales force and community relations efforts.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major components of our general and administration expenses is as follows (dollars in millions and as a percentage of total revenues):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0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Fiscal Years Ended December 31,</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restart"/>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3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5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costs</w:t>
            </w: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6"/>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presented by other companies.</w:t>
      </w:r>
    </w:p>
    <w:p>
      <w:pPr>
        <w:spacing w:after="0" w:line="11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increased in fiscal year 2023 primarily due to (i) higher costs related to acquisitions, the establishment of the Mid-Atlantic region, and support of the company’s growth and acquisition strategy, including labor costs, professional fees and other costs, (ii) inflation of salary, wage and benefit costs, (iii) higher equity compensation costs, (iv) higher property taxes, and (v) higher sponsorship and advertising related costs; partially offset by lower accrued incentive compensation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4"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based on the economic benefit provided, or using the sum of years digits or straight-line methods over the definitive terms of the related agreements.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major components of depreciation and amortization expense (dollars in millions and as a percentage of total revenues)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60" w:type="dxa"/>
            <w:vAlign w:val="bottom"/>
            <w:gridSpan w:val="6"/>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amortization expense</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amortization expense</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9"/>
        </w:trPr>
        <w:tc>
          <w:tcPr>
            <w:tcW w:w="3760" w:type="dxa"/>
            <w:vAlign w:val="bottom"/>
          </w:tcPr>
          <w:p>
            <w:pPr>
              <w:spacing w:after="0"/>
              <w:rPr>
                <w:sz w:val="19"/>
                <w:szCs w:val="19"/>
                <w:color w:val="auto"/>
              </w:rPr>
            </w:pPr>
          </w:p>
        </w:tc>
        <w:tc>
          <w:tcPr>
            <w:tcW w:w="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in fiscal year 2023 primarily due to (i) acquisitions, including the impact of accelerated amortization schedules of certain intangibles, (ii) net investment in property and equipment in our existing operations, and (iii) higher landfill amortization expense related to changes in cost and other assumptions from the prior year periods, more than offsetting lower landfill volumes.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from Acquisition Activities</w:t>
      </w:r>
    </w:p>
    <w:p>
      <w:pPr>
        <w:spacing w:after="0" w:line="1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fiscal years 2023 and 2022, we recognized expenses of $15.0 million and $4.6 million, respectively, comprised primarily of legal, consulting and other similar costs associated with the due diligence, acquisition and integration of acquired businesses, including the GFL Acquisition and the Twin Bridges Acquisition, in fiscal year 2023, as well as select development projects. See Note 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 for disclosure regarding acquisition activity.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Settlement</w:t>
      </w:r>
    </w:p>
    <w:p>
      <w:pPr>
        <w:spacing w:after="0" w:line="101" w:lineRule="exact"/>
        <w:rPr>
          <w:sz w:val="20"/>
          <w:szCs w:val="20"/>
          <w:color w:val="auto"/>
        </w:rPr>
      </w:pPr>
    </w:p>
    <w:p>
      <w:pPr>
        <w:jc w:val="both"/>
        <w:ind w:right="120"/>
        <w:spacing w:after="0" w:line="245" w:lineRule="auto"/>
        <w:rPr>
          <w:sz w:val="20"/>
          <w:szCs w:val="20"/>
          <w:color w:val="auto"/>
        </w:rPr>
      </w:pPr>
      <w:r>
        <w:rPr>
          <w:rFonts w:ascii="Times New Roman" w:cs="Times New Roman" w:eastAsia="Times New Roman" w:hAnsi="Times New Roman"/>
          <w:sz w:val="18"/>
          <w:szCs w:val="18"/>
          <w:color w:val="auto"/>
        </w:rPr>
        <w:t>In fiscal year 2023, we accrued for a charge of $6.2 million in current liabilities due to reaching an agreement at a mediation held on June 20, 2023 with the collective class members of a class action lawsuit relating to certain claims under the Fair Labor Standards Act of 1938 as well as state wage and hours laws. The settlement agreement was executed July 24, 2023 and has received court approval.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Landfill Capping Charge - Veneer Failure</w:t>
      </w:r>
    </w:p>
    <w:p>
      <w:pPr>
        <w:spacing w:after="0" w:line="1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fiscal year 2023, we recorded a charge of $3.9 million consisting of both (i) the write-off of historical payments associated with capping work that has been deemed no longer viable due to a veneer failure and (ii) the related operating expenses incurred to clean up the affected capping material at a Subtitle D landfill we operate located in Seneca, New York. Engineering analysis is currently underway to determine root causes and responsibility for the event.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Southbridge Landfill Closure Charge, Net</w:t>
      </w:r>
    </w:p>
    <w:p>
      <w:pPr>
        <w:spacing w:after="0" w:line="11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the fiscal year ended December 31, 2017, we initiated the plan to cease operations of our landfill located in Southbridge, Massachusetts ("Southbridge Landfill") and later closed it in November 2018 when Southbridge Landfill reached its final capacity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Accordingly, in fiscal years 2023 and 2022, we recorded charges associated with the closure of our Southbridge Landfill (in millions) as follows:</w:t>
      </w:r>
    </w:p>
    <w:p>
      <w:pPr>
        <w:spacing w:after="0" w:line="2"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Legal and transaction costs </w:t>
            </w:r>
            <w:r>
              <w:rPr>
                <w:rFonts w:ascii="Times New Roman" w:cs="Times New Roman" w:eastAsia="Times New Roman" w:hAnsi="Times New Roman"/>
                <w:sz w:val="14"/>
                <w:szCs w:val="14"/>
                <w:color w:val="auto"/>
              </w:rPr>
              <w:t>(1)</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Landfill closure project charge </w:t>
            </w:r>
            <w:r>
              <w:rPr>
                <w:rFonts w:ascii="Times New Roman" w:cs="Times New Roman" w:eastAsia="Times New Roman" w:hAnsi="Times New Roman"/>
                <w:sz w:val="14"/>
                <w:szCs w:val="14"/>
                <w:color w:val="auto"/>
              </w:rPr>
              <w:t>(2)</w:t>
            </w: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Southbridge Landfill closure charge, net</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left="480" w:hanging="314"/>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legal costs as well as other transaction costs associated with various matters as part of the Southbridge Landfill closure.</w:t>
      </w:r>
    </w:p>
    <w:p>
      <w:pPr>
        <w:spacing w:after="0" w:line="56" w:lineRule="exact"/>
        <w:rPr>
          <w:rFonts w:ascii="Times New Roman" w:cs="Times New Roman" w:eastAsia="Times New Roman" w:hAnsi="Times New Roman"/>
          <w:sz w:val="18"/>
          <w:szCs w:val="18"/>
          <w:color w:val="auto"/>
        </w:rPr>
      </w:pPr>
    </w:p>
    <w:p>
      <w:pPr>
        <w:ind w:left="480" w:right="60" w:hanging="314"/>
        <w:spacing w:after="0" w:line="262" w:lineRule="auto"/>
        <w:tabs>
          <w:tab w:leader="none" w:pos="4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recorded a landfill closure project charge associated with revised costs under the closure plan at Southbridge Landfill. See Note 10, </w:t>
      </w:r>
      <w:r>
        <w:rPr>
          <w:rFonts w:ascii="Times New Roman" w:cs="Times New Roman" w:eastAsia="Times New Roman" w:hAnsi="Times New Roman"/>
          <w:sz w:val="18"/>
          <w:szCs w:val="18"/>
          <w:i w:val="1"/>
          <w:iCs w:val="1"/>
          <w:color w:val="auto"/>
        </w:rPr>
        <w:t>Final Capping,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Closure and Post-Closure Costs, </w:t>
      </w:r>
      <w:r>
        <w:rPr>
          <w:rFonts w:ascii="Times New Roman" w:cs="Times New Roman" w:eastAsia="Times New Roman" w:hAnsi="Times New Roman"/>
          <w:sz w:val="18"/>
          <w:szCs w:val="18"/>
          <w:color w:val="auto"/>
        </w:rPr>
        <w:t>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Annual Report on Form 10-K for disclosure regarding our landfill final capping, closure and post-closure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Remediation Charge</w:t>
      </w:r>
    </w:p>
    <w:p>
      <w:pPr>
        <w:spacing w:after="0" w:line="1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fiscal year 2022, we recorded an environmental remediation charge of $0.8 million associated with the investigation of potential remediation at an inactive waste disposal site that adjoins one of our landfills.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 for further disclosure over environmental remediation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interest expense, net increased $13.8 million in fiscal year 2023 due primarily to (i) entering into a $430.0 million aggregate principal amount term loan A facility (“2023 Term Loan Facility”) to fund the GFL Acquisition, (ii) the amortization of transaction, legal, and other similar debt issuance costs incurred associated with bridge financing activities related to the GFL Acquisition and the Twin Bridges Acquisition, (iii) rising interest rates, and (iv) the issuance of $35.0 million aggregate principal amount of Vermont Economic Development Authority Solid Waste Disposal Long-Term Revenue Bonds Series 2022A-1 (“Vermont Bonds 2022A-1”) in June 2022 and $35.0 million aggregate principal amount of New York State Environmental Facilities Corporation Solid Waste Disposal Revenue Bonds Series 2020R-2 (“New York Bonds 2020R-2”) in August 2023; partially offset by (i) higher interest income associated with the timing of financing activities resulting in a higher average cash balance and (ii) higher interest income rates.</w:t>
      </w:r>
    </w:p>
    <w:p>
      <w:pPr>
        <w:spacing w:after="0" w:line="7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xml:space="preserve">For additional disclosure regarding interest expense, see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Supplementary Data</w:t>
      </w:r>
      <w:r>
        <w:rPr>
          <w:rFonts w:ascii="Times New Roman" w:cs="Times New Roman" w:eastAsia="Times New Roman" w:hAnsi="Times New Roman"/>
          <w:sz w:val="18"/>
          <w:szCs w:val="18"/>
          <w:color w:val="auto"/>
        </w:rPr>
        <w:t>" of this Annual Report on Form 10-K.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Termination of Bridge Financing</w:t>
      </w:r>
    </w:p>
    <w:p>
      <w:pPr>
        <w:spacing w:after="0" w:line="11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fiscal year 2023, we wrote-off the unamortized debt issuance costs and recognized a loss from termination of bridge financing upon the extinguishment of both a secured bridge financing agreement in connection with the GFL Acquisition of $3.7 million, and an unsecured bridge financing agreement in connection with the Twin Bridges Acquisition of $4.5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4"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18"/>
          <w:szCs w:val="18"/>
          <w:color w:val="auto"/>
        </w:rPr>
        <w:t>Our provision for income taxes was $11.6 million in fiscal year 2023 and $21.9 million in fiscal year 2022. For fiscal year 2023, the provision for income taxes includes $4.4 million of current income taxes and $7.2 million of deferred income taxes. The provision for income taxes in fiscal year 2022 included $5.4 million of current income taxes and $16.5 million of deferred income taxes. The effective rate for the fiscal year 2023 is 31.4% and is computed based on the statutory rate of 21% adjusted primarily for state taxes and nondeductible officer compensation.</w:t>
      </w:r>
    </w:p>
    <w:p>
      <w:pPr>
        <w:spacing w:after="0" w:line="74"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On December 22, 2017, the Tax Cuts and Jobs Act (the “TCJA”) was enacted. The TCJA significantly changed U.S. corporate income tax laws by, among other things, changing carryforward rules for net operating losses. Under the Internal Revenue Code, as amended by the TCJA, federal net operating loss carryforwards generated before the 2018 tax year continue to be carried forward for 20 years and are able to fully offset taxable income (“pre-2018 net operating losses”). Federal net operating losses generated following the 2017 tax year are carried forward indefinitely, but generally may only offset up to 80% of taxable income earned in a tax year (“post-2017 net operating losses”).</w:t>
      </w:r>
    </w:p>
    <w:p>
      <w:pPr>
        <w:spacing w:after="0" w:line="79"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Depending on bonus depreciation and other elections made on the 2023 tax return when filed, we project to carry $7.2 million of pre-2018 net operating losses and $125.7 million of post-2017 net operating losses into the 2024 tax year.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TCJA added limitations on the deductibility of interest expense that became more restrictive beginning in tax year 2022 and limits the</w:t>
      </w:r>
    </w:p>
    <w:p>
      <w:pPr>
        <w:spacing w:after="0" w:line="4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deductibility of some of our interest expense in tax year 2023. Depending on elections made on the 2023 return when filed, we expect $25.1 million of interest expense to be disallowed. Any interest expense disallowed may be carried forward indefinitely and deducted in later years subject to said interest limitation.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We report selected information about our reportable operating segments in a manner consistent with that used for internal management reporting. We classify our solid waste operations on a geographic basis through regional operating segments, our Eastern, Western and Mid-Atlantic regions. The Mid-Atlantic region, which was formed as a result of the GFL Acquisition on June 30, 2023, commenced operations on July 1, 2023. Revenues associated with our solid waste operations are derived mainly from solid waste collection and disposal services, including landfill, transfer station and transportation services, landfill gas-to-energy services, and processing services in the 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comprised of processing services and services provided by our National Accounts business. Revenues from processing services are derived from customers in the form of processing fees, tipping fees, commodity sales, and organic material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Corporate Entities results reflect those costs not allocated to our reportable operating segments.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revenues by reportable operating segment (in millions)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300" w:type="dxa"/>
            <w:vAlign w:val="bottom"/>
          </w:tcPr>
          <w:p>
            <w:pPr>
              <w:spacing w:after="0"/>
              <w:rPr>
                <w:sz w:val="16"/>
                <w:szCs w:val="16"/>
                <w:color w:val="auto"/>
              </w:rPr>
            </w:pPr>
          </w:p>
        </w:tc>
        <w:tc>
          <w:tcPr>
            <w:tcW w:w="1140" w:type="dxa"/>
            <w:vAlign w:val="bottom"/>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26"/>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income (loss) by operating segment (in millions)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Eastern Region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 in solid waste revenues (dollars in millions and as percentage growth of solid waste revenues)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310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Period-to-Period Change For</w:t>
            </w:r>
          </w:p>
        </w:tc>
      </w:tr>
      <w:tr>
        <w:trPr>
          <w:trHeight w:val="193"/>
        </w:trPr>
        <w:tc>
          <w:tcPr>
            <w:tcW w:w="814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Fiscal Year 2023 vs Fiscal Year 2022</w:t>
            </w:r>
          </w:p>
        </w:tc>
      </w:tr>
      <w:tr>
        <w:trPr>
          <w:trHeight w:val="193"/>
        </w:trPr>
        <w:tc>
          <w:tcPr>
            <w:tcW w:w="8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0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19"/>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Solid waste revenues</w:t>
            </w:r>
          </w:p>
        </w:tc>
        <w:tc>
          <w:tcPr>
            <w:tcW w:w="100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0"/>
        </w:trPr>
        <w:tc>
          <w:tcPr>
            <w:tcW w:w="8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Revenue increased in fiscal year 2023 as compared to the prior year, primarily driven by (i) favorable collection pricing of $22.5 million, or 9.6%, (ii) favorable disposal pricing of $8.2 million, or 8.3%, (iii) the contribution from acquisitions, (iv) higher surcharges and fees, and (v) higher processing volume of $0.6 million; partially offset by (a) lower disposal volume of $(8.0) million, or (8.1)%, due to slowing economic activity and landfill customer and material mix, as well as (b) lower collection volume of $(1.3) million, or (0.5)%.</w:t>
      </w:r>
    </w:p>
    <w:p>
      <w:pPr>
        <w:spacing w:after="0" w:line="74"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Operating income increased in fiscal year 2023 by $10.6 million as compared to the prior year. The year-over-year increase was driven by revenue growth, described above, as well as intercompany revenues, and lower costs associated with lower base business disposal and collection volumes and improved routing efficiencies; partially offset by (i) higher costs associated with the acquired businesses, (ii) general cost inflation, including for disposal, labor, and maintenance costs, (iii) higher landfill amortization expense resulting from changes in cost and other assumptions from the prior year, and (iv) the legal settlement charge. See further discussion about the legal settlement charge above 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Western Region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 in solid waste revenues (dollars in millions and as percentage growth of solid waste revenues)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310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Period-to-Period Change For</w:t>
            </w:r>
          </w:p>
        </w:tc>
      </w:tr>
      <w:tr>
        <w:trPr>
          <w:trHeight w:val="192"/>
        </w:trPr>
        <w:tc>
          <w:tcPr>
            <w:tcW w:w="814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Fiscal Year 2023 vs Fiscal Year 2022</w:t>
            </w:r>
          </w:p>
        </w:tc>
      </w:tr>
      <w:tr>
        <w:trPr>
          <w:trHeight w:val="192"/>
        </w:trPr>
        <w:tc>
          <w:tcPr>
            <w:tcW w:w="8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0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19"/>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Solid waste revenues</w:t>
            </w:r>
          </w:p>
        </w:tc>
        <w:tc>
          <w:tcPr>
            <w:tcW w:w="100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0"/>
        </w:trPr>
        <w:tc>
          <w:tcPr>
            <w:tcW w:w="8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Revenue increased in fiscal year 2023 as compared to the prior year, primarily driven by (i) the contribution from acquisitions, (ii) favorable collection pricing of $20.4 million, or 6.7%, (iii) favorable disposal pricing of $7.5 million, or 5.8%, (iv) higher disposal volume of $3.7 million, or 2.9%, driven in large part by the flooding caused by severe weather in the summer, and (v)</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higher surcharges and fees; partially offset by lower collection volume of $(9.7) million, or (3.1)%, due to slowing economic activity, customer churn, and to a lesser extent, purposeful shedding of less profitable customers.</w:t>
      </w:r>
    </w:p>
    <w:p>
      <w:pPr>
        <w:spacing w:after="0" w:line="5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Operating income declined in fiscal year 2023 by $(3.2) million as compared to the prior year. The year-over-year decline was due to (i) an increase in costs due to acquisitions, (ii) the legal settlement charge, (iii) the landfill capping charge - veneer failure, (iv) general cost inflation, including for disposal, labor, and maintenance costs, and (v) higher landfill amortization expense resulting from changes in cost and other assumptions from the prior year; partially offset by (a) revenue growth, described above, (b) intercompany revenues, (c) lower costs associated with lower base business collection volumes, (d) improved routing efficiencies, (e) a gain on resolution of acquisition-related contingent consideration associated with the reversal of a contingency for a transfer station permit expansion that is no longer deemed viable, and (f) the environmental remediation charge taking place in fiscal year 2022. See further discussion about the expense from acquisition activities, the legal settlement, the landfill capping charge - veneer failure, and the environmental remediation charge above 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Mid-Atlantic Region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 in solid waste revenues (dollars in millions and as percentage growth of solid waste revenues)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0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Period-to-Period Change For</w:t>
            </w:r>
          </w:p>
        </w:tc>
      </w:tr>
      <w:tr>
        <w:trPr>
          <w:trHeight w:val="192"/>
        </w:trPr>
        <w:tc>
          <w:tcPr>
            <w:tcW w:w="8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Fiscal Year 2023 vs Fiscal Year 2022</w:t>
            </w:r>
          </w:p>
        </w:tc>
      </w:tr>
      <w:tr>
        <w:trPr>
          <w:trHeight w:val="192"/>
        </w:trPr>
        <w:tc>
          <w:tcPr>
            <w:tcW w:w="8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6"/>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44"/>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Solid waste revenues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Collection and transfer station operations for our Mid-Atlantic region operating segment commenced on July 1, 2023 following the GFL Acquisition. The operating loss of $(5.8) million was impacted by $5.3 million of expense from acquisition activities, comprised of legal, consulting and integration costs related to the GFL Acquisition, as well as the impact of accelerated amortization schedules of certain acquired intangibles.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 Solutions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 in Resource Solutions revenues (dollars in millions and as percentage growth of solid waste revenues)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310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Period-to-Period Change For</w:t>
            </w:r>
          </w:p>
        </w:tc>
      </w:tr>
      <w:tr>
        <w:trPr>
          <w:trHeight w:val="193"/>
        </w:trPr>
        <w:tc>
          <w:tcPr>
            <w:tcW w:w="814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Fiscal Year 2023 vs Fiscal Year 2022</w:t>
            </w:r>
          </w:p>
        </w:tc>
      </w:tr>
      <w:tr>
        <w:trPr>
          <w:trHeight w:val="193"/>
        </w:trPr>
        <w:tc>
          <w:tcPr>
            <w:tcW w:w="8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6"/>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4"/>
        </w:trPr>
        <w:tc>
          <w:tcPr>
            <w:tcW w:w="8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Resource Solutions revenues</w:t>
            </w:r>
          </w:p>
        </w:tc>
        <w:tc>
          <w:tcPr>
            <w:tcW w:w="96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Revenue decreased in fiscal year 2023 as compared to the prior year, primarily driven by (i) the unfavorable impact of lower recycled commodity pricing on processing revenues of $(37.6) million, or (31.6)%, (ii) lower non-processing volumes of $(2.3) million, or (1.3)%, and (iii) lower non-processing surcharges and other fees; partially offset by (a) higher tipping fees and other processing pricing of $10.6 million, or 8.9%, (b) non-processing pricing of $8.1 million, or 4.5%, (c) higher processing volumes of $8.4 million, or 7.0% and (d) contribution from acquisitions.</w:t>
      </w:r>
    </w:p>
    <w:p>
      <w:pPr>
        <w:spacing w:after="0" w:line="7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Operating income declined in fiscal year 2023 by $(10.3) million as compared to the prior year, primarily driven by lower revenues, described above, as well as intercompany revenues, in combination with higher costs associated with (i) acquired businesses, (ii) the diversion of materials from our Boston, Massachusetts MRF, which underwent a retrofit during fiscal year 2023, and (iii) general cost inflation.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Entities</w:t>
      </w:r>
    </w:p>
    <w:p>
      <w:pPr>
        <w:spacing w:after="0" w:line="11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Corporate Entities operating loss reflects those costs not allocated to our reportable operating segments, which typically consists of depreciation and amortization expense. Operating deficit increased $(6.3) million from the prior year due to unallocated acquisition related expenses, comprised primarily of legal, consulting and other similar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continually monitor our actual and forecasted cash flows, our liquidity, and our capital requirements in order to properly manage our liquidity needs as we move forward based on the capital intensive nature of our business and our growth acquisition strategy. As of December 31, 2023, we had $272.3 million of undrawn capacity under our $300.0 million revolving credit facility ("Revolving Credit Facility") and $220.9 million of cash and equivalents to help meet our short-term and long-term liquidity needs. We expect existing cash and cash equivalents combined with available cash flows from operations and financing activities to continue to be sufficient to fund our operating activities and cash commitments for investing and financing activities for at least the next 12 months and thereafter for the foreseeable future.</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known current and long-term uses of cash include, among other possible demands: (i) acquisitions, (ii) capital expenditures and leases, (iii) repayments to service debt and other long-term obligations, and (iv) payments for final capping, closure and post-closure asset retirement obligations and environmental remediation liabilities. We have made in the past, and plan to make in the future, acquisitions to expand service areas, densify existing operations, and grow services for our customers. Future acquisitions may include larger acquisitions that may be inside or outside of our existing market, which could require additional financing either in the form of debt or equity.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cash and cash equivalents, restricted assets and debt balances, excluding any debt issuance costs, (in millions)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2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excluding cash and cash equivalents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assets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liabilities, excluding current maturities of debt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6"/>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current portion, excluding unamortized debt issuance costs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100" w:type="dxa"/>
            <w:vAlign w:val="bottom"/>
          </w:tcPr>
          <w:p>
            <w:pPr>
              <w:spacing w:after="0"/>
              <w:rPr>
                <w:sz w:val="20"/>
                <w:szCs w:val="20"/>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8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Current assets, excluding cash and cash equivalents, increased $69.1 million and current liabilities, excluding current maturities of debt, increased $74.5 in fiscal year 2023, resulting in a $(5.4) million decline in working capital, net (defined as current assets, excluding cash and cash equivalents, minus current liabilities, excluding current maturities of debt) from $(32.3) million as of December 31, 2022 to $(37.7) million as of December 31, 2023. We strive to maintain a negative working capital cycle driven by shorter days sales outstanding as compared to days payable outstanding in an effort to collect money at a faster rate than paying bills to facilitate business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increased $149.7 million in fiscal year 2023. A summary of cash flows (in millions)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3"/>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3"/>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w:t>
            </w:r>
          </w:p>
        </w:tc>
        <w:tc>
          <w:tcPr>
            <w:tcW w:w="100" w:type="dxa"/>
            <w:vAlign w:val="bottom"/>
          </w:tcPr>
          <w:p>
            <w:pPr>
              <w:spacing w:after="0"/>
              <w:rPr>
                <w:sz w:val="19"/>
                <w:szCs w:val="19"/>
                <w:color w:val="auto"/>
              </w:rPr>
            </w:pP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w:t>
            </w: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cash flows (in millions) follows:</w:t>
      </w:r>
    </w:p>
    <w:p>
      <w:pPr>
        <w:spacing w:after="0" w:line="39"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26"/>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accretion on landfill and environmental remediation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 on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6"/>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6"/>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Disposition of assets, other items and charges,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termination of bridge financing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Landfill capping charge - veneer failure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8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increased $15.8 million in fiscal year 2023 as compared to fiscal year 2022. This was the result of operational performance, partially offset by higher interest expense and an increase in the unfavorable cash flow impact associated with the changes in our assets and liabilities, net of effects of acquisitions and divestitures. For discussion of our operational performance in fiscal year 2023 as compared to fiscal year 2022, including discussions of our Loss from termination of bridge financing and Landfill capping charge - veneer failure,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included in this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investing cash flows (in millions) follows:</w:t>
      </w:r>
    </w:p>
    <w:p>
      <w:pPr>
        <w:spacing w:after="0" w:line="39"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cost method investment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investing cash flows follows:</w:t>
      </w:r>
    </w:p>
    <w:p>
      <w:pPr>
        <w:spacing w:after="0" w:line="110" w:lineRule="exact"/>
        <w:rPr>
          <w:sz w:val="20"/>
          <w:szCs w:val="20"/>
          <w:color w:val="auto"/>
        </w:rPr>
      </w:pPr>
    </w:p>
    <w:p>
      <w:pPr>
        <w:jc w:val="both"/>
        <w:ind w:right="320"/>
        <w:spacing w:after="0" w:line="257" w:lineRule="auto"/>
        <w:rPr>
          <w:sz w:val="20"/>
          <w:szCs w:val="20"/>
          <w:color w:val="auto"/>
        </w:rPr>
      </w:pPr>
      <w:r>
        <w:rPr>
          <w:rFonts w:ascii="Times New Roman" w:cs="Times New Roman" w:eastAsia="Times New Roman" w:hAnsi="Times New Roman"/>
          <w:sz w:val="18"/>
          <w:szCs w:val="18"/>
          <w:i w:val="1"/>
          <w:iCs w:val="1"/>
          <w:color w:val="auto"/>
        </w:rPr>
        <w:t>Acquisitions, net of cash acquired</w:t>
      </w:r>
      <w:r>
        <w:rPr>
          <w:rFonts w:ascii="Times New Roman" w:cs="Times New Roman" w:eastAsia="Times New Roman" w:hAnsi="Times New Roman"/>
          <w:sz w:val="18"/>
          <w:szCs w:val="18"/>
          <w:color w:val="auto"/>
        </w:rPr>
        <w:t>. In fiscal year 2023, we acquired seven businesses for total consideration of $846.6 million, including $846.7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paid $5.1 million in holdback payments on businesses previously acquired, as compared to fiscal year 2022 during which we acquired fourteen businesses for total consideration of $82.7 million, including $76.6 million in cash, and paid $1.6 million in holdback payments on businesses previously acquired.</w:t>
      </w:r>
    </w:p>
    <w:p>
      <w:pPr>
        <w:spacing w:after="0" w:line="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Capital expenditures were $24.0 million higher in fiscal year 2023 as compared to fiscal year 2022 primarily due to higher capital spend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(i) facility spend related to the retrofitting of our Boston, Massachusetts single-stream material recovery facility and the purchase of a transfer station that was formerly leased, (ii) development of rail side infrastructure at our Subtitle D landfill located in Mount Jewett, Pennsylvania, (iii) landfill development, (iv) acquisition activity, and (v) general inflation in capital costs; partially offset by timing of spend for vehicles, machinery, equipment and containers.</w:t>
      </w:r>
    </w:p>
    <w:p>
      <w:pPr>
        <w:spacing w:after="0" w:line="75"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Proceeds from sale of cost method investment. </w:t>
      </w:r>
      <w:r>
        <w:rPr>
          <w:rFonts w:ascii="Times New Roman" w:cs="Times New Roman" w:eastAsia="Times New Roman" w:hAnsi="Times New Roman"/>
          <w:sz w:val="18"/>
          <w:szCs w:val="18"/>
          <w:color w:val="auto"/>
        </w:rPr>
        <w:t>In fiscal year 2022, we received proceeds associated with the sale of our minority ownership interest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Vanguard Renewables.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financing cash flows (in millions) follows:</w:t>
      </w:r>
    </w:p>
    <w:p>
      <w:pPr>
        <w:spacing w:after="0" w:line="29"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ind w:left="9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 borrowings</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contingent consideration</w:t>
            </w:r>
          </w:p>
        </w:tc>
        <w:tc>
          <w:tcPr>
            <w:tcW w:w="9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share-based awards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2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the public offering of Class A Common Stock</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financing cash flows follows:</w:t>
      </w:r>
    </w:p>
    <w:p>
      <w:pPr>
        <w:spacing w:after="0" w:line="11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Debt activity</w:t>
      </w:r>
      <w:r>
        <w:rPr>
          <w:rFonts w:ascii="Times New Roman" w:cs="Times New Roman" w:eastAsia="Times New Roman" w:hAnsi="Times New Roman"/>
          <w:sz w:val="18"/>
          <w:szCs w:val="18"/>
          <w:color w:val="auto"/>
        </w:rPr>
        <w:t>. Net cash associated with debt activity increased $409.9 million in fiscal year 2023 compared to fiscal year 2022 due primarily to entering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$430.0 million aggregate principal amount 2023 Term Loan Facility in June 2023 and the issuance of $35.0 million aggregate principal amount of New York Bonds 2020R-2 in August 2023, partially offset by the issuance of $35.0 million aggregate principal amount of Vermont Bonds 2022A-1 in the prior year.</w:t>
      </w:r>
    </w:p>
    <w:p>
      <w:pPr>
        <w:spacing w:after="0" w:line="7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Payments of debt issuance costs. </w:t>
      </w:r>
      <w:r>
        <w:rPr>
          <w:rFonts w:ascii="Times New Roman" w:cs="Times New Roman" w:eastAsia="Times New Roman" w:hAnsi="Times New Roman"/>
          <w:sz w:val="18"/>
          <w:szCs w:val="18"/>
          <w:color w:val="auto"/>
        </w:rPr>
        <w:t>We paid $12.8 million of debt issuance costs in fiscal year 2023 related primarily to bridge financing activities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GFL Acquisition and the Twin Bridges Acquisition. We paid $1.2 million of debt issuance costs in fiscal year 2022 related to the issuance of Vermont Bonds 2022A-1.</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8"/>
          <w:szCs w:val="18"/>
          <w:i w:val="1"/>
          <w:iCs w:val="1"/>
          <w:color w:val="auto"/>
        </w:rPr>
        <w:t>Payment of contingent consideration</w:t>
      </w:r>
      <w:r>
        <w:rPr>
          <w:rFonts w:ascii="Times New Roman" w:cs="Times New Roman" w:eastAsia="Times New Roman" w:hAnsi="Times New Roman"/>
          <w:sz w:val="18"/>
          <w:szCs w:val="18"/>
          <w:color w:val="auto"/>
        </w:rPr>
        <w:t>. We paid $1.0 million of contingent consideration in fiscal year 2022 associated with an acquisition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a permit expansion application.</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Proceeds from the public offering of Class A Common Stock. </w:t>
      </w:r>
      <w:r>
        <w:rPr>
          <w:rFonts w:ascii="Times New Roman" w:cs="Times New Roman" w:eastAsia="Times New Roman" w:hAnsi="Times New Roman"/>
          <w:sz w:val="18"/>
          <w:szCs w:val="18"/>
          <w:color w:val="auto"/>
        </w:rPr>
        <w:t>On June 16, 2023, we completed a public offering of 6.1 million shares of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a public offering price of $85.50 per share. After deducting stock issuance costs, including underwriting discounts, commissions and offering expenses, the offering resulted in net proceeds of $496.2 million. The net proceeds from this offering were and are to be used to fund acquisition activity, including the GFL Acquisition and the Twin Bridges Acquisition, to pay certain costs associated with acquisition activities, and to repay borrowings and/or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6"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Long-Term Debt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February 2023, we entered into first and second amendments to our amended and restated credit agreement, dated as of December 22, 2021 (collectively with the third amendment and the Loan Joinder disclosed below, the "Amended and Restated Credit Agreement"). The first amendment provides, commencing in the fiscal year ending December 31, 2024, that the interest rate margin applied for drawn and undrawn amounts under the Amended and Restated Credit Agreement shall be separately adjusted based on our achievement of certain thresholds and targets on two sustainability related key performance indicator metrics during the prior fiscal year: (i) metric tons of solid waste materials reduced, reused or recycled through our direct operations or with third-parties in collaboration with customers; and (ii) our total recordable incident rate. The second amendment provides that loans under the Amended and Restated Credit Agreement shall bear interest, at our election, at term secured overnight financing rate ("Term SOFR"), including a secured overnight financing rate adjustment of 10 basis points, or at a base rate, in each case, plus or minus any sustainable rate adjustment plus an applicable interest rate margin based upon our consolidated net leverage ratio.</w:t>
      </w:r>
    </w:p>
    <w:p>
      <w:pPr>
        <w:spacing w:after="0" w:line="8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 xml:space="preserve">In April 2023, we entered into an equity purchase agreement pursuant to which we agreed to the GFL Acquisition. In connection with the GFL Acquisition, we entered into (i) a commitment letter to obtain short-term secured bridge financing of up to $375.0 million and (ii) the third amendment to the Amended and Restated Credit Agreement to, among other things, permit the draw down of the short-term secured bridge financing and authorize a delayed draw term loan facility to be executed with customary limited condition provisions. The short-term secured bridge financing was undrawn and subsequently terminated in May 2023 when we entered into the specified acquisition loan joinder, dated May 25, 2023 ("Loan Joinder"), which provided for a $430.0 million aggregate principal amount 2023 Term Loan Facility under the Amended and Restated Credit Agreement. In June 2023, we borrowed $430.0 million under the 2023 Term Loan Facility and paid certain fees and costs due and payable in connection therewith. Borrowings from the 2023 Term Loan Facility were used to fund, in conjunction with the net proceeds from the public offering of our Class A common stock completed on June 16, 2023, cash and cash equivalents and borrowings from our Revolving Credit Facility, the GFL Acquisition.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to our consolidated financial statements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 for further disclosure regarding the public offering.</w:t>
      </w:r>
    </w:p>
    <w:p>
      <w:pPr>
        <w:spacing w:after="0" w:line="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June 2023, we entered into an asset purchase agreement pursuant to which we agreed to the Twin Bridges Acquisition. In connection with the Twin Bridges Acquisition, we entered into a commitment letter to obtain short-term unsecured bridge financing of up to $200.0 million that was undrawn and subsequently terminated when we completed the public offering of our Class A common stock on June 16, 2023. Net proceeds from the public equity offering completed on June 16, 2023, together with cash and cash equivalents, were used to fund the Twin Bridges Acquisition.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to our consolidated financial statements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 for further disclosure regarding the public offering.</w:t>
      </w:r>
    </w:p>
    <w:p>
      <w:pPr>
        <w:spacing w:after="0" w:line="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As of December 31, 2023, we are party to the Amended and Restated Credit Agreement, which provides for a $350.0 million aggregate principal amount term loan A facility ("Term Loan Facility"), a $300.0 million Revolving Credit Facility, with a $75.0 million sublimit for letters of credit, and a $430.0 million 2023 Term Loan Facility (collectively, the "Credit Facility"). We have the right to request, at our discretion, an increase in the amount of loans under the Credit Facility by an aggregate amount of $125.0 million, subject to further increase based on the terms and conditions set forth in the Amended and Restated Credit Agreement. The Credit Facility has a 5-year term that matures in December 2026. The Credit Facility shall bear interest, at our election, at Term SOFR, including a secured overnight financing rate adjustment of 10 basis points, or at a base rate, in each case plus or minus any sustainable rate adjustment of up to positive or negative 4.0 basis points per annum, plus an applicable interest rate margin based upon our consolidated net leverage ratio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8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Base Rate Loans</w:t>
            </w:r>
          </w:p>
        </w:tc>
      </w:tr>
      <w:tr>
        <w:trPr>
          <w:trHeight w:val="24"/>
        </w:trPr>
        <w:tc>
          <w:tcPr>
            <w:tcW w:w="368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3960" w:type="dxa"/>
            <w:vAlign w:val="bottom"/>
            <w:shd w:val="clear" w:color="auto" w:fill="CCEEFF"/>
          </w:tcPr>
          <w:p>
            <w:pPr>
              <w:spacing w:after="0"/>
              <w:rPr>
                <w:sz w:val="19"/>
                <w:szCs w:val="19"/>
                <w:color w:val="auto"/>
              </w:rPr>
            </w:pP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1.125% to 2.125%</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0.125% to 1.125%</w:t>
            </w:r>
          </w:p>
        </w:tc>
      </w:tr>
      <w:tr>
        <w:trPr>
          <w:trHeight w:val="22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96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1.125% to 2.125%</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0.125% to 1.125%</w:t>
            </w:r>
          </w:p>
        </w:tc>
      </w:tr>
      <w:tr>
        <w:trPr>
          <w:trHeight w:val="22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Term Loan Facility</w:t>
            </w:r>
          </w:p>
        </w:tc>
        <w:tc>
          <w:tcPr>
            <w:tcW w:w="39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1.625% to 2.625%</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0.625% to 1.625%</w:t>
            </w:r>
          </w:p>
        </w:tc>
      </w:tr>
      <w:tr>
        <w:trPr>
          <w:trHeight w:val="852"/>
        </w:trPr>
        <w:tc>
          <w:tcPr>
            <w:tcW w:w="3680" w:type="dxa"/>
            <w:vAlign w:val="bottom"/>
          </w:tcPr>
          <w:p>
            <w:pPr>
              <w:spacing w:after="0"/>
              <w:rPr>
                <w:sz w:val="24"/>
                <w:szCs w:val="24"/>
                <w:color w:val="auto"/>
              </w:rPr>
            </w:pPr>
          </w:p>
        </w:tc>
        <w:tc>
          <w:tcPr>
            <w:tcW w:w="3960" w:type="dxa"/>
            <w:vAlign w:val="bottom"/>
          </w:tcPr>
          <w:p>
            <w:pPr>
              <w:jc w:val="right"/>
              <w:ind w:right="1831"/>
              <w:spacing w:after="0"/>
              <w:rPr>
                <w:sz w:val="20"/>
                <w:szCs w:val="20"/>
                <w:color w:val="auto"/>
              </w:rPr>
            </w:pPr>
            <w:r>
              <w:rPr>
                <w:rFonts w:ascii="Times New Roman" w:cs="Times New Roman" w:eastAsia="Times New Roman" w:hAnsi="Times New Roman"/>
                <w:sz w:val="18"/>
                <w:szCs w:val="18"/>
                <w:color w:val="auto"/>
              </w:rPr>
              <w:t>47</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2"/>
        </w:trPr>
        <w:tc>
          <w:tcPr>
            <w:tcW w:w="368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 commitment fee will be charged on undrawn amounts of our Revolving Credit Facility based upon our consolidated net leverage ratio in the range of 0.20% to 0.40% per annum, plus a sustainability adjustment of up to positive or negative 1.0 basis point per annum. The Amended and Restated Credit Agreement provides that Term SOFR is subject to a zero percent floor. We are also required to pay a fronting fee for each letter of credit of 0.25% per annum. Interest under the Amended and Restated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December 31, 2023, further advances were available under the Credit Facility in the amount of $272.3 million. The available amount is net of outstanding irrevocable letters of credit totaling $27.7 million, and as of December 31, 2023 no amount had been drawn.</w:t>
      </w:r>
    </w:p>
    <w:p>
      <w:pPr>
        <w:spacing w:after="0" w:line="8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Amended and Restated Credit Agreement requires us to maintain a minimum interest coverage ratio and a maximum consolidated net leverage ratio, to be measured at the end of each fiscal quarter. As of December 31, 2023, we were in compliance with all financial covenants contained in the Amended and Restated Credit Agreement as follows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Credit Facility Covenant</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December</w:t>
            </w:r>
          </w:p>
        </w:tc>
        <w:tc>
          <w:tcPr>
            <w:tcW w:w="22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Covenant Requirements at</w:t>
            </w:r>
          </w:p>
        </w:tc>
        <w:tc>
          <w:tcPr>
            <w:tcW w:w="0" w:type="dxa"/>
            <w:vAlign w:val="bottom"/>
          </w:tcPr>
          <w:p>
            <w:pPr>
              <w:spacing w:after="0"/>
              <w:rPr>
                <w:sz w:val="1"/>
                <w:szCs w:val="1"/>
                <w:color w:val="auto"/>
              </w:rPr>
            </w:pPr>
          </w:p>
        </w:tc>
      </w:tr>
      <w:tr>
        <w:trPr>
          <w:trHeight w:val="192"/>
        </w:trPr>
        <w:tc>
          <w:tcPr>
            <w:tcW w:w="6960" w:type="dxa"/>
            <w:vAlign w:val="bottom"/>
            <w:gridSpan w:val="2"/>
            <w:vMerge w:val="continue"/>
          </w:tcPr>
          <w:p>
            <w:pPr>
              <w:spacing w:after="0"/>
              <w:rPr>
                <w:sz w:val="16"/>
                <w:szCs w:val="16"/>
                <w:color w:val="auto"/>
              </w:rPr>
            </w:pPr>
          </w:p>
        </w:tc>
        <w:tc>
          <w:tcPr>
            <w:tcW w:w="184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20" w:type="dxa"/>
            <w:vAlign w:val="bottom"/>
          </w:tcPr>
          <w:p>
            <w:pPr>
              <w:spacing w:after="0"/>
              <w:rPr>
                <w:sz w:val="16"/>
                <w:szCs w:val="16"/>
                <w:color w:val="auto"/>
              </w:rPr>
            </w:pPr>
          </w:p>
        </w:tc>
        <w:tc>
          <w:tcPr>
            <w:tcW w:w="22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8"/>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Maximum consolidated net leverage ratio </w:t>
            </w: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20"/>
                <w:szCs w:val="20"/>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2"/>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Minimum interest coverage ratio</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480" w:right="180" w:hanging="314"/>
        <w:spacing w:after="0" w:line="267" w:lineRule="auto"/>
        <w:tabs>
          <w:tab w:leader="none" w:pos="472"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The maximum consolidated net leverage ratio is calculated as consolidated funded debt, net of up to $100.0 million of unencumbered cash and cash equivalents in excess of $2.0 million (calculated at $954.5 million as of December 31, 2023, or $1,054.5 million of consolidated funded debt less $100.0 million total of unencumbered cash and cash equivalents), divided by consolidated EBITDA. Consolidated EBITDA is based on operating results for the twelve months preceding the measurement date of December 31, 2023. Consolidated funded debt, net and consolidated EBITDA as defined by the Amended and Restated Credit Agreement ("Consolidated EBITDA") are non-GAAP financial measures that should not be considered an alternative to any measure of financial performance calculated and presented in accordance with generally accepted accounting principles in the United States ("GAAP"). A reconciliation of net cash provided by operating activities to Consolidated EBITDA is as follows (in millions):</w:t>
      </w:r>
    </w:p>
    <w:tbl>
      <w:tblPr>
        <w:tblLayout w:type="fixed"/>
        <w:tblInd w:w="480" w:type="dxa"/>
        <w:tblCellMar>
          <w:top w:w="0" w:type="dxa"/>
          <w:left w:w="0" w:type="dxa"/>
          <w:bottom w:w="0" w:type="dxa"/>
          <w:right w:w="0" w:type="dxa"/>
        </w:tblCellMar>
      </w:tblPr>
      <w:tr>
        <w:trPr>
          <w:trHeight w:val="147"/>
        </w:trPr>
        <w:tc>
          <w:tcPr>
            <w:tcW w:w="8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jc w:val="right"/>
              <w:ind w:right="154"/>
              <w:spacing w:after="0" w:line="147" w:lineRule="exact"/>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2"/>
        </w:trPr>
        <w:tc>
          <w:tcPr>
            <w:tcW w:w="8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r>
      <w:tr>
        <w:trPr>
          <w:trHeight w:val="22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divestitures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termination of bridge financing</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expense</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capping charge - veneer failure</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of assets, other items and charges, net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less amortization of debt issuance costs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 net of deferred income taxes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Adjustments as allowed by the Amended and Restated Credit Agreement </w:t>
            </w:r>
            <w:r>
              <w:rPr>
                <w:rFonts w:ascii="Times New Roman" w:cs="Times New Roman" w:eastAsia="Times New Roman" w:hAnsi="Times New Roman"/>
                <w:sz w:val="14"/>
                <w:szCs w:val="14"/>
                <w:color w:val="auto"/>
              </w:rPr>
              <w:t>(1)</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44"/>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80" w:right="840" w:hanging="314"/>
        <w:spacing w:after="0" w:line="275" w:lineRule="auto"/>
        <w:tabs>
          <w:tab w:leader="none" w:pos="47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Adjustments as allowed by the Amended and Restated Credit Agreement includes the estimated annual pro-forma impact of acquisitions on consolidated EBITDA.</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financial covenants, the Amended and Restated Credit Agreement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As of December 31, 2023, we were in compliance with all covenants contained in the Amended and Restated Credit Agreement.</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Tax-Exempt Financings and Other Debt</w:t>
      </w:r>
    </w:p>
    <w:p>
      <w:pPr>
        <w:spacing w:after="0" w:line="11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2023, we had outstanding $232.0 million aggregate principal amount of tax-exempt bonds, $53.1 million aggregate principal amount of finance leases and $0.2 million aggregate principal amount of notes payable. See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 for disclosure regarding our debt.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following table sets forth a summary of our significant contractual cash obligations (in thousands) as of December 31, 2023. These obligations are reflected in our consolidated balance sheet and include obligations with scheduled maturities, as well as significant obligations pertaining to accrued environmental remediation liabilities and final capping, closure and post-closure asset retirement obligations at our landfills. Accordingly, this table is not meant to represent a forecast of our total cash expenditures for any of the periods presented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Less than</w:t>
            </w:r>
          </w:p>
        </w:tc>
        <w:tc>
          <w:tcPr>
            <w:tcW w:w="24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320" w:type="dxa"/>
            <w:vAlign w:val="bottom"/>
          </w:tcPr>
          <w:p>
            <w:pPr>
              <w:spacing w:after="0"/>
              <w:rPr>
                <w:sz w:val="13"/>
                <w:szCs w:val="13"/>
                <w:color w:val="auto"/>
              </w:rPr>
            </w:pP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790,743</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214,491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1,054,546</w:t>
            </w: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Interest obligations </w:t>
            </w:r>
            <w:r>
              <w:rPr>
                <w:rFonts w:ascii="Times New Roman" w:cs="Times New Roman" w:eastAsia="Times New Roman" w:hAnsi="Times New Roman"/>
                <w:sz w:val="14"/>
                <w:szCs w:val="14"/>
                <w:color w:val="auto"/>
              </w:rPr>
              <w:t>(1)</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321,854</w:t>
            </w:r>
          </w:p>
        </w:tc>
        <w:tc>
          <w:tcPr>
            <w:tcW w:w="0" w:type="dxa"/>
            <w:vAlign w:val="bottom"/>
          </w:tcPr>
          <w:p>
            <w:pPr>
              <w:spacing w:after="0"/>
              <w:rPr>
                <w:sz w:val="1"/>
                <w:szCs w:val="1"/>
                <w:color w:val="auto"/>
              </w:rPr>
            </w:pPr>
          </w:p>
        </w:tc>
      </w:tr>
      <w:tr>
        <w:trPr>
          <w:trHeight w:val="22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Non-cancellable operating leases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41,990</w:t>
            </w:r>
          </w:p>
        </w:tc>
        <w:tc>
          <w:tcPr>
            <w:tcW w:w="0" w:type="dxa"/>
            <w:vAlign w:val="bottom"/>
          </w:tcPr>
          <w:p>
            <w:pPr>
              <w:spacing w:after="0"/>
              <w:rPr>
                <w:sz w:val="1"/>
                <w:szCs w:val="1"/>
                <w:color w:val="auto"/>
              </w:rPr>
            </w:pPr>
          </w:p>
        </w:tc>
      </w:tr>
      <w:tr>
        <w:trPr>
          <w:trHeight w:val="22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operating lease contracts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53,430</w:t>
            </w:r>
          </w:p>
        </w:tc>
        <w:tc>
          <w:tcPr>
            <w:tcW w:w="0" w:type="dxa"/>
            <w:vAlign w:val="bottom"/>
          </w:tcPr>
          <w:p>
            <w:pPr>
              <w:spacing w:after="0"/>
              <w:rPr>
                <w:sz w:val="1"/>
                <w:szCs w:val="1"/>
                <w:color w:val="auto"/>
              </w:rPr>
            </w:pPr>
          </w:p>
        </w:tc>
      </w:tr>
      <w:tr>
        <w:trPr>
          <w:trHeight w:val="22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contributions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2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remediation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0" w:type="dxa"/>
            <w:vAlign w:val="bottom"/>
          </w:tcPr>
          <w:p>
            <w:pPr>
              <w:spacing w:after="0"/>
              <w:rPr>
                <w:sz w:val="1"/>
                <w:szCs w:val="1"/>
                <w:color w:val="auto"/>
              </w:rPr>
            </w:pPr>
          </w:p>
        </w:tc>
      </w:tr>
      <w:tr>
        <w:trPr>
          <w:trHeight w:val="22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Final capping, closure and post-closure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317,428</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contractual cash obligations </w:t>
            </w:r>
            <w:r>
              <w:rPr>
                <w:rFonts w:ascii="Times New Roman" w:cs="Times New Roman" w:eastAsia="Times New Roman" w:hAnsi="Times New Roman"/>
                <w:sz w:val="14"/>
                <w:szCs w:val="14"/>
                <w:color w:val="auto"/>
              </w:rPr>
              <w:t>(2)</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129,004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970,329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92,878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1,797,559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ind w:left="480" w:right="460" w:hanging="314"/>
        <w:spacing w:after="0" w:line="275" w:lineRule="auto"/>
        <w:tabs>
          <w:tab w:leader="none" w:pos="4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debt balances as of December 31, 2023. Interest obligations related to variable rate debt were calculated using variable rates in effect at December 31, 2023.</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cash obligations do not include accounts payable or accrued liabilities, which will be paid in the fiscal year ending December 31, 2024.</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have no contractual obligations related to unrecognized tax benefits at December 31, 2023. For further description regarding contractual obligations, see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Note 10, </w:t>
      </w:r>
      <w:r>
        <w:rPr>
          <w:rFonts w:ascii="Times New Roman" w:cs="Times New Roman" w:eastAsia="Times New Roman" w:hAnsi="Times New Roman"/>
          <w:sz w:val="18"/>
          <w:szCs w:val="18"/>
          <w:i w:val="1"/>
          <w:iCs w:val="1"/>
          <w:color w:val="auto"/>
        </w:rPr>
        <w:t>Final Capping, Closure and Post-Closure Costs,</w:t>
      </w:r>
      <w:r>
        <w:rPr>
          <w:rFonts w:ascii="Times New Roman" w:cs="Times New Roman" w:eastAsia="Times New Roman" w:hAnsi="Times New Roman"/>
          <w:sz w:val="18"/>
          <w:szCs w:val="18"/>
          <w:color w:val="auto"/>
        </w:rPr>
        <w:t xml:space="preserve">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Note 16, </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Benefit Plans </w:t>
      </w:r>
      <w:r>
        <w:rPr>
          <w:rFonts w:ascii="Times New Roman" w:cs="Times New Roman" w:eastAsia="Times New Roman" w:hAnsi="Times New Roman"/>
          <w:sz w:val="18"/>
          <w:szCs w:val="18"/>
          <w:color w:val="auto"/>
        </w:rPr>
        <w:t>to our consolidated financial statements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 xml:space="preserve">Inflationary increases in costs, including current inflationary pressures associated primarily with labor, certain other cost categories, and capital items, have materially affected, and may continue to materially affect, our operating margins and cash flows. While inflation negatively impacted operating results and margins during fiscal year 2023 and fiscal year 2022, we believe that our flexible pricing structures and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our fuel cost recovery programs, primarily the energy component of our E&amp;E Fee, which is designed to recover escalating fuel price fluctuations above a periodically reset floor. Despite these programs, competitive factors may require us to absorb at least a portion of these cost increases. See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of this Annual Report on Form 10-K for additional information regarding our fuel cost recovery programs. Additionally, management’s estimates associated with inflation have had, and will continue to have, an impact on our accounting for landfill and environmental remediation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Regional Economic Conditions</w:t>
      </w:r>
    </w:p>
    <w:p>
      <w:pPr>
        <w:spacing w:after="0" w:line="11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Our business is primarily located in the eastern United States. Therefore, our business, financial condition and operational results are susceptible to downturns in the general economy in this geographic region and other factors affecting the region, such as state regulations, labor availability and severe weather conditions. We are unable to forecast or determine the timing and/or the future impact of a sustained economic slowdown or other factors affecting the region.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11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Our consolidated financial statements have been prepared in accordance with GAAP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However, even under optimal circumstances, estimates routinely require adjustments based on changing assumptions and circumstances, or new or better information becoming available. Accordingly, actual results may differ from these estimates under different assumptions and circumstances.</w:t>
      </w:r>
    </w:p>
    <w:p>
      <w:pPr>
        <w:spacing w:after="0" w:line="6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The following is a list of accounting policies that we believe are the most critical in understanding our consolidated financial position, results of operations and cash flows and that may require management to make subjective or complex judgments about matters that are inherently uncertain. Our significant accounting policies are more fully discussed in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our consolidated financial statements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Landfill Accounting</w:t>
      </w:r>
    </w:p>
    <w:p>
      <w:pPr>
        <w:spacing w:after="0" w:line="114"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Landfill Development Costs. </w:t>
      </w:r>
      <w:r>
        <w:rPr>
          <w:rFonts w:ascii="Times New Roman" w:cs="Times New Roman" w:eastAsia="Times New Roman" w:hAnsi="Times New Roman"/>
          <w:sz w:val="18"/>
          <w:szCs w:val="18"/>
          <w:color w:val="auto"/>
        </w:rPr>
        <w:t>We estimate the total cost to develop each of our landfill sites to its remaining permitted and expansion capacity (see landfill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costs discussed within the “</w:t>
      </w: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 xml:space="preserve">” accounting policy more fully discussed in Note 3,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of our consolidated financial statements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w:t>
      </w:r>
    </w:p>
    <w:p>
      <w:pPr>
        <w:spacing w:after="0" w:line="8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 The average amortization rate per ton for our landfills during fiscal year 2023 and 2022 was $7.23 and $7.03, respectively.</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7"/>
          <w:szCs w:val="17"/>
          <w:i w:val="1"/>
          <w:iCs w:val="1"/>
          <w:color w:val="auto"/>
        </w:rPr>
        <w:t xml:space="preserve">Final Capping, Closure and Post-Closure Costs. </w:t>
      </w:r>
      <w:r>
        <w:rPr>
          <w:rFonts w:ascii="Times New Roman" w:cs="Times New Roman" w:eastAsia="Times New Roman" w:hAnsi="Times New Roman"/>
          <w:sz w:val="17"/>
          <w:szCs w:val="17"/>
          <w:color w:val="auto"/>
        </w:rPr>
        <w:t>The cost estimates for final capping, closure and post-closure activities at landfills for which we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responsibility are estimated based on our interpretations of current requirements and proposed or anticipated regulatory changes. Our investment in final capping, closure and post-closure activities is focused on meeting these regulations, therefore, reducing emissions of air pollutants from our landfills.</w:t>
      </w:r>
    </w:p>
    <w:p>
      <w:pPr>
        <w:spacing w:after="0" w:line="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estimate additional costs based on the amount a third-party would charge us to perform such activities even when we expect to perform these activities internally. We estimate the airspace to be consumed related to each final capping event and the timing of construction related to each final capping event and of closure and post-closure activities. Because landfill final capping, closure and post-closure obligations are measured at estimated fair value using present value techniques, changes in the estimated timing of construction of future landfill final capping and closure and post-closure activities would have an effect on these liabilities, related assets and results of operations.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Final capping activities include the installation of liners, drainage, compacted soil layers and topsoil over areas of a landfill where total 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spacing w:after="0" w:line="7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Closure and post-closure costs represent future estimated costs related to monitoring and maintenance of a solid waste 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airspace. See Note 10, </w:t>
      </w:r>
      <w:r>
        <w:rPr>
          <w:rFonts w:ascii="Times New Roman" w:cs="Times New Roman" w:eastAsia="Times New Roman" w:hAnsi="Times New Roman"/>
          <w:sz w:val="18"/>
          <w:szCs w:val="18"/>
          <w:i w:val="1"/>
          <w:iCs w:val="1"/>
          <w:color w:val="auto"/>
        </w:rPr>
        <w:t>Final Capping, Closure and Post-Closure Costs</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 for further disclosure about final capping, closure and post-closure asset retirement costs, including revisions in estimates.</w:t>
      </w:r>
    </w:p>
    <w:p>
      <w:pPr>
        <w:spacing w:after="0" w:line="7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Remaining Permitted Airspace. </w:t>
      </w:r>
      <w:r>
        <w:rPr>
          <w:rFonts w:ascii="Times New Roman" w:cs="Times New Roman" w:eastAsia="Times New Roman" w:hAnsi="Times New Roman"/>
          <w:sz w:val="18"/>
          <w:szCs w:val="18"/>
          <w:color w:val="auto"/>
        </w:rPr>
        <w:t>Our engineers, in consultation with third-party engineering consultants and surveyors, are responsible for determining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permitted airspace at our landfills. The remaining permitted airspace is determined by an annual survey, which is then used to compare the existing landfill topography to the expected final landfill topography.</w:t>
      </w:r>
    </w:p>
    <w:p>
      <w:pPr>
        <w:spacing w:after="0" w:line="67" w:lineRule="exact"/>
        <w:rPr>
          <w:sz w:val="20"/>
          <w:szCs w:val="20"/>
          <w:color w:val="auto"/>
        </w:rPr>
      </w:pPr>
    </w:p>
    <w:p>
      <w:pPr>
        <w:ind w:right="76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Expansion Airspace. </w:t>
      </w:r>
      <w:r>
        <w:rPr>
          <w:rFonts w:ascii="Times New Roman" w:cs="Times New Roman" w:eastAsia="Times New Roman" w:hAnsi="Times New Roman"/>
          <w:sz w:val="18"/>
          <w:szCs w:val="18"/>
          <w:color w:val="auto"/>
        </w:rPr>
        <w:t>We currently include unpermitted expansion airspace in our estimate of remaining permitted and expansion airspace in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To be considered expansion airspace all of the following criteria must be met:</w:t>
      </w:r>
    </w:p>
    <w:p>
      <w:pPr>
        <w:spacing w:after="0" w:line="56" w:lineRule="exact"/>
        <w:rPr>
          <w:sz w:val="20"/>
          <w:szCs w:val="20"/>
          <w:color w:val="auto"/>
        </w:rPr>
      </w:pPr>
    </w:p>
    <w:p>
      <w:pPr>
        <w:ind w:left="480" w:hanging="314"/>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control the land on which the expansion is sought;</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technical siting criteria have been met or a variance has been obtained or is reasonably expected to be obtained;</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identified any legal or political impediments which we believe will not be resolved in our favor;</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actively working on obtaining any necessary permits and we expect that all required permits will be received; and</w:t>
      </w:r>
    </w:p>
    <w:p>
      <w:pPr>
        <w:spacing w:after="0" w:line="58" w:lineRule="exact"/>
        <w:rPr>
          <w:rFonts w:ascii="Times New Roman" w:cs="Times New Roman" w:eastAsia="Times New Roman" w:hAnsi="Times New Roman"/>
          <w:sz w:val="18"/>
          <w:szCs w:val="18"/>
          <w:color w:val="auto"/>
        </w:rPr>
      </w:pPr>
    </w:p>
    <w:p>
      <w:pPr>
        <w:ind w:left="480" w:right="140" w:hanging="314"/>
        <w:spacing w:after="0" w:line="275" w:lineRule="auto"/>
        <w:tabs>
          <w:tab w:leader="none" w:pos="4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has approved the project based on a review of the engineering design and determination that the financial return profile meets our investment criteria.</w:t>
      </w:r>
    </w:p>
    <w:p>
      <w:pPr>
        <w:spacing w:after="0" w:line="5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 See Part I.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of this Annual Report on Form 10-K for more disclosure about permitted and permittable capacity at our landfills.</w:t>
      </w:r>
    </w:p>
    <w:p>
      <w:pPr>
        <w:spacing w:after="0" w:line="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Remediation Liabilities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recorded environmental remediation liabilities representing our estimate of the most likely outcome of the matters for which we have determined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a liability is probable. These liabilities include potentially responsible party investigations, settlements, certain legal and consultant fees, as well as costs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associated with site investigation and clean up, such as materials and incremental internal costs directly related to the remedy. We provide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associated with environmental remediation obligations when such amounts are probable and can be reasonably estimated. We estimate costs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remediate sites where it is probable that a liability has been incurred based on site-specific facts and circumstances. Estimates of the cost for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likely remedy are developed using third-party environmental engineers or other service providers. Where we believe that both the amount of a particular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environmental remediation liability and timing of payments are reliably determinable, we inflate the cost in current dollars until the expected time of payment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discount the cost to present value.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under Item 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 for further disclosure about environmental remediation liabilities,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revisions in estimates, to the extent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 for Credit Losses</w:t>
      </w:r>
    </w:p>
    <w:p>
      <w:pPr>
        <w:spacing w:after="0" w:line="1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Accounts receivable represent receivables from customers for collection, transfer, recycling, disposal and other services. Our accounts receivable are recorded when billed or when related revenue is earned, if earlier, and represent claims against third-parties that will be settled in cash. The carrying value of our accounts receivable, net of allowance for credit losses represents its estimated net realizable value. Estimates are used in determining our allowance for credit losses based on, among other things, our historical loss trends, the age of outstanding accounts receivable, and current and expected economic conditions. Additions charged to expense in fiscal year 2023 consider the current economic conditions and the potential impact to our customers’ ability to pay for services that we have provided. Our reserve is evaluated and revised on a monthly basis. Past due accounts receivable are written off when deemed to be uncollectible. See Note 6, </w:t>
      </w:r>
      <w:r>
        <w:rPr>
          <w:rFonts w:ascii="Times New Roman" w:cs="Times New Roman" w:eastAsia="Times New Roman" w:hAnsi="Times New Roman"/>
          <w:sz w:val="18"/>
          <w:szCs w:val="18"/>
          <w:i w:val="1"/>
          <w:iCs w:val="1"/>
          <w:color w:val="auto"/>
        </w:rPr>
        <w:t>Accounts Receivable, Net of Allowance for Credit Losses</w:t>
      </w:r>
      <w:r>
        <w:rPr>
          <w:rFonts w:ascii="Times New Roman" w:cs="Times New Roman" w:eastAsia="Times New Roman" w:hAnsi="Times New Roman"/>
          <w:sz w:val="18"/>
          <w:szCs w:val="18"/>
          <w:color w:val="auto"/>
        </w:rPr>
        <w:t xml:space="preserve"> to our consolidated financial statements under Item 8.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and Supplementary Data</w:t>
      </w:r>
      <w:r>
        <w:rPr>
          <w:rFonts w:ascii="Times New Roman" w:cs="Times New Roman" w:eastAsia="Times New Roman" w:hAnsi="Times New Roman"/>
          <w:sz w:val="18"/>
          <w:szCs w:val="18"/>
          <w:color w:val="auto"/>
        </w:rPr>
        <w:t>" of this Annual Report on Form 10-K for further disclosure about changes to the allowance for credit losses.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Intangibles</w:t>
      </w:r>
    </w:p>
    <w:p>
      <w:pPr>
        <w:spacing w:after="0" w:line="11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testing for goodwill impairment, we estimate the fair value of each reporting unit, which we have determined to be our geographic operating segments and our Resource Solutions operating segment and compare the fair value with the carrying value of the net assets of each reporting unit. If the fair value is less than its carrying value, then we would recognize an impairment charge for the amount by which the carrying amount exceeds the reporting unit's fair value, noting that the amount is not to exceed the total amount of goodwill allocated to that reporting unit.</w:t>
      </w:r>
    </w:p>
    <w:p>
      <w:pPr>
        <w:spacing w:after="0" w:line="7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elected to perform a quantitative analysis as part of our annual goodwill impairment test for fiscal year 2023. As of October 1, 2023, our Eastern, Western, Mid-Atlantic and Resource Solutions reporting units indicated that the fair value of each reporting unit exceeded its carrying amount, including goodwill. In the case the fair value of our Eastern, Western, and Resource Solutions reporting units exceeded its carrying value by in excess of 30%. In the case of our Mid-Atlantic reporting unit, the fair value of the reporting unit exceeded its carrying value by approximately 10% due to the proximity of the acquisition date. We incurred no impairment of goodwill as a result of our annual goodwill impairment tests in fiscal years 2023 or 2022. However, there can be no assurance that goodwill will not be impaired at any time in the future.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140"/>
        <w:spacing w:after="0" w:line="253" w:lineRule="auto"/>
        <w:rPr>
          <w:sz w:val="20"/>
          <w:szCs w:val="20"/>
          <w:color w:val="auto"/>
        </w:rPr>
      </w:pPr>
      <w:r>
        <w:rPr>
          <w:rFonts w:ascii="Times New Roman" w:cs="Times New Roman" w:eastAsia="Times New Roman" w:hAnsi="Times New Roman"/>
          <w:sz w:val="18"/>
          <w:szCs w:val="18"/>
          <w:color w:val="auto"/>
        </w:rPr>
        <w:t xml:space="preserve">Intangible assets consist primarily of covenants not-to-compete, customer relationships and trade names. Intangible assets are recorded at fair value and are amortized based on the economic benefit provided or using the sum of years digits or straight-line methods over their estimated useful lives. Covenants not-to-compete, customer relationships, and trade names are typically amortized over a term of no more than 10 years. See Note 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Note 9,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 for further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Recovery of Long-Lived Assets</w:t>
      </w:r>
    </w:p>
    <w:p>
      <w:pPr>
        <w:spacing w:after="0" w:line="11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We continually assess whether events or changes in circumstances have occurred that may warrant revision of the estimated useful lives of our long-lived assets (other than goodwill) or whether the remaining balances of those assets should be evaluated for possible impairment. Long-lived assets include, for example, capitalized landfill costs, property and equipment, identifiable intangible assets, and operating lease right-of-use assets. Events or changes in circumstances that may indicate that an asset may be impaired include the following:</w:t>
      </w:r>
    </w:p>
    <w:p>
      <w:pPr>
        <w:spacing w:after="0" w:line="21" w:lineRule="exact"/>
        <w:rPr>
          <w:sz w:val="20"/>
          <w:szCs w:val="20"/>
          <w:color w:val="auto"/>
        </w:rPr>
      </w:pPr>
    </w:p>
    <w:p>
      <w:pPr>
        <w:ind w:left="480" w:hanging="314"/>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market price of an asset or asset group;</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the extent or manner in which an asset or asset group is being used or in its physical condition;</w:t>
      </w:r>
    </w:p>
    <w:p>
      <w:pPr>
        <w:spacing w:after="0" w:line="58" w:lineRule="exact"/>
        <w:rPr>
          <w:rFonts w:ascii="Times New Roman" w:cs="Times New Roman" w:eastAsia="Times New Roman" w:hAnsi="Times New Roman"/>
          <w:sz w:val="18"/>
          <w:szCs w:val="18"/>
          <w:color w:val="auto"/>
        </w:rPr>
      </w:pPr>
    </w:p>
    <w:p>
      <w:pPr>
        <w:ind w:left="480" w:right="20" w:hanging="314"/>
        <w:spacing w:after="0" w:line="275" w:lineRule="auto"/>
        <w:tabs>
          <w:tab w:leader="none" w:pos="4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of an asset or asset group, including an adverse action or assessment by a regulator;</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accumulation of costs significantly in excess of the amount originally expected for the acquisition or construction of a long-lived asset;</w:t>
      </w:r>
    </w:p>
    <w:p>
      <w:pPr>
        <w:spacing w:after="0" w:line="58" w:lineRule="exact"/>
        <w:rPr>
          <w:rFonts w:ascii="Times New Roman" w:cs="Times New Roman" w:eastAsia="Times New Roman" w:hAnsi="Times New Roman"/>
          <w:sz w:val="18"/>
          <w:szCs w:val="18"/>
          <w:color w:val="auto"/>
        </w:rPr>
      </w:pPr>
    </w:p>
    <w:p>
      <w:pPr>
        <w:ind w:left="480" w:right="420" w:hanging="314"/>
        <w:spacing w:after="0" w:line="275" w:lineRule="auto"/>
        <w:tabs>
          <w:tab w:leader="none" w:pos="4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4" w:lineRule="exact"/>
        <w:rPr>
          <w:rFonts w:ascii="Times New Roman" w:cs="Times New Roman" w:eastAsia="Times New Roman" w:hAnsi="Times New Roman"/>
          <w:sz w:val="18"/>
          <w:szCs w:val="18"/>
          <w:color w:val="auto"/>
        </w:rPr>
      </w:pPr>
    </w:p>
    <w:p>
      <w:pPr>
        <w:ind w:left="480" w:hanging="314"/>
        <w:spacing w:after="0" w:line="275" w:lineRule="auto"/>
        <w:tabs>
          <w:tab w:leader="none" w:pos="4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expectation that, more likely than not, a long-lived asset or asset group will be sold or otherwise disposed of significantly before the end of its previously estimated useful life; or</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goodwill at a reporting unit.</w:t>
      </w:r>
    </w:p>
    <w:p>
      <w:pPr>
        <w:spacing w:after="0" w:line="11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spacing w:after="0" w:line="74"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spacing w:after="0" w:line="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 We incurred no impairment of long-lived assets in fiscal years 2023 or 2022. However, there can be no assurance that long-lived assets will not be impaired at any time in the future.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 and Related Costs</w:t>
      </w:r>
    </w:p>
    <w:p>
      <w:pPr>
        <w:spacing w:after="0" w:line="11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We are self-insured for vehicles and workers’ compensation with reinsurance coverage limiting our maximum exposure. In fiscal year 2023, our maximum exposure per individual event under the workers’ compensation plan was $1.25 million. In fiscal year 2023, our minimum and maximum exposure per individual event under the automobile plan were up to $1.75 million and $3.88 million, respectively. The liability for unpaid claims and associated expenses, including incurred but not reported losses, is determined by management with the assistance of a third-party actuary and reflected in our consolidated balance sheets as an accrued liability. We use a third-party to track and evaluate actual claims experience for consistency with the data used in the annual actuarial valuation. The actuarial-determined liability is calculated based on historical data, which considers both the frequency and settlement amount of claims. Our estimated accruals for these liabilities could be significantly different than our ultimate obligations if variables such as the frequency or severity of future events differ significantly from our assumptions. Our self-insurance reserves totaled $22.4 million and $22.2 million as of December 31, 2023 and December 31, 2022, respectively. Our estimated accruals for these liabilities could be significantly different than our ultimate obligations if variables such as the frequency or severity of future events differ significantly from our assumptions.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spacing w:after="0" w:line="83"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We account for income tax uncertainties according to guidance on the recognition, derecognition and measurement of potential tax benefits associated with tax positions. We recognize interest and penalties relating to income tax matters as a component of income tax expense.</w:t>
      </w:r>
    </w:p>
    <w:p>
      <w:pPr>
        <w:spacing w:after="0" w:line="56"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 xml:space="preserve">See Note 17,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 for further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1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 xml:space="preserve">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disclosure about loss contingencies, as applicable. Contingent liabilities accounted for under purchase accounting are recorded at their fair values. These fair values may be different from the values we would have otherwise recorded, had the contingent liability not been assumed as part of an acquisition of a business. See Note 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to our consolidated financial statements included under Item 8. "</w:t>
      </w:r>
      <w:r>
        <w:rPr>
          <w:rFonts w:ascii="Times New Roman" w:cs="Times New Roman" w:eastAsia="Times New Roman" w:hAnsi="Times New Roman"/>
          <w:sz w:val="18"/>
          <w:szCs w:val="18"/>
          <w:i w:val="1"/>
          <w:iCs w:val="1"/>
          <w:color w:val="auto"/>
        </w:rPr>
        <w:t>Financial Statement and Supplementary Data</w:t>
      </w:r>
      <w:r>
        <w:rPr>
          <w:rFonts w:ascii="Times New Roman" w:cs="Times New Roman" w:eastAsia="Times New Roman" w:hAnsi="Times New Roman"/>
          <w:sz w:val="18"/>
          <w:szCs w:val="18"/>
          <w:color w:val="auto"/>
        </w:rPr>
        <w: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for disclosure about contingent consideration accounted for under purchase accounting.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share-based compensation cost is measured at the grant date, based on the estimated fair value of the award, and is recognized as expense-in general and administration expense over the employee’s requisite service period. For purposes of calculating stock-based compensation expense, forfeitures are accounted for as they occur. Our equity awards granted generally consist of stock options, restricted stock awards, restricted stock units and market-based performance stock units.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each stock option grant is estimated using a Black-Scholes option-pricing model. The fair value of restricted stock award and restricted stock unit grants is at a price equal to the fair market value of our Class A common stock at the date of grant. The fair value of market-based performance stock unit grants is valued using a Monte Carlo pricing model.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to our consolidated financial statements included under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 for further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12"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 xml:space="preserve">For a description of the new accounting standards that may affect us, see Note 2, </w:t>
      </w:r>
      <w:r>
        <w:rPr>
          <w:rFonts w:ascii="Times New Roman" w:cs="Times New Roman" w:eastAsia="Times New Roman" w:hAnsi="Times New Roman"/>
          <w:sz w:val="18"/>
          <w:szCs w:val="18"/>
          <w:i w:val="1"/>
          <w:iCs w:val="1"/>
          <w:color w:val="auto"/>
        </w:rPr>
        <w:t>Accounting Changes</w:t>
      </w:r>
      <w:r>
        <w:rPr>
          <w:rFonts w:ascii="Times New Roman" w:cs="Times New Roman" w:eastAsia="Times New Roman" w:hAnsi="Times New Roman"/>
          <w:sz w:val="18"/>
          <w:szCs w:val="18"/>
          <w:color w:val="auto"/>
        </w:rPr>
        <w:t xml:space="preserve"> to our consolidated financial statements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including changes in diesel fuel prices, interest rates and certain commodity prices. We have a variety of strategies to mitigate these market risks, including those discussed below.</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Price Risk</w:t>
      </w:r>
    </w:p>
    <w:p>
      <w:pPr>
        <w:spacing w:after="0" w:line="1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price and supply of fuel are unpredictable and fluctuate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and price escalations for fuel increase our operating expenses. We have fuel cost recovery programs, primarily the energy component of our E&amp;E Fee which is designed to offset some or all of the impact of diesel fuel price increases above a periodically reset floor and contemplates a minimum customer participation level to cover changes in our fuel costs. The energy component of the E&amp;E Fee floats on a monthly basis based upon changes in a published diesel fuel price index and is tied to a price escalation index with a look-back provision, which results in a timing lag in our ability to match the changes in the fuel cost component of the fee to diesel fuel price fluctuations during periods of rapid price changes. In certain circumstances, a substantial rise or drop in fuel costs could materially affect our revenue and costs of operations. However, a substantial rise or drop in fuel costs should not have a material impact on our results of operations. In addition, we are susceptible to increases in fuel surcharges from our vendors.</w:t>
      </w:r>
    </w:p>
    <w:p>
      <w:pPr>
        <w:spacing w:after="0" w:line="8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Based on our consumption levels in the last twelve months ended December 31, 2023, combined with our expected fuel consumption related to the GFL Acquisition, and after considering physically settled fuel contracts, we believe a $0.40 cent per gallon change in the price of diesel fuel would change our direct fuel costs by approximately $5.6 million per year. Offsetting these changes in direct fuel expense would be changes in the energy component of the E&amp;E Fees charged to our customers. Based on participation rates as of December 31, 2023 and considering the GFL Acquisition, we believe a $0.40 cent per gallon change in the price of diesel fuel would change the energy component of the E&amp;E Fee by approximately $5.3 million per year. In addition to direct fuel costs related to our consumption levels, we are also subject to fuel surcharge expense from third party transportation providers. Other operational costs and capital expenditures may also be impacted by fuel prices.</w:t>
      </w:r>
    </w:p>
    <w:p>
      <w:pPr>
        <w:spacing w:after="0" w:line="80" w:lineRule="exact"/>
        <w:rPr>
          <w:sz w:val="20"/>
          <w:szCs w:val="20"/>
          <w:color w:val="auto"/>
        </w:rPr>
      </w:pPr>
    </w:p>
    <w:p>
      <w:pPr>
        <w:ind w:right="1220"/>
        <w:spacing w:after="0" w:line="370" w:lineRule="auto"/>
        <w:rPr>
          <w:sz w:val="20"/>
          <w:szCs w:val="20"/>
          <w:color w:val="auto"/>
        </w:rPr>
      </w:pPr>
      <w:r>
        <w:rPr>
          <w:rFonts w:ascii="Times New Roman" w:cs="Times New Roman" w:eastAsia="Times New Roman" w:hAnsi="Times New Roman"/>
          <w:sz w:val="18"/>
          <w:szCs w:val="18"/>
          <w:color w:val="auto"/>
        </w:rPr>
        <w:t xml:space="preserve">Our fuel costs were $48.6 million in fiscal year 2023, or 3.8% of revenue, compared to $48.3 million in fiscal year 2022, or 4.4% of revenue. </w:t>
      </w:r>
      <w:r>
        <w:rPr>
          <w:rFonts w:ascii="Times New Roman" w:cs="Times New Roman" w:eastAsia="Times New Roman" w:hAnsi="Times New Roman"/>
          <w:sz w:val="18"/>
          <w:szCs w:val="18"/>
          <w:b w:val="1"/>
          <w:bCs w:val="1"/>
          <w:color w:val="auto"/>
        </w:rPr>
        <w:t>Commodity Price Risk</w:t>
      </w:r>
    </w:p>
    <w:p>
      <w:pPr>
        <w:ind w:right="80"/>
        <w:spacing w:after="0" w:line="249" w:lineRule="auto"/>
        <w:rPr>
          <w:sz w:val="20"/>
          <w:szCs w:val="20"/>
          <w:color w:val="auto"/>
        </w:rPr>
      </w:pPr>
      <w:r>
        <w:rPr>
          <w:rFonts w:ascii="Times New Roman" w:cs="Times New Roman" w:eastAsia="Times New Roman" w:hAnsi="Times New Roman"/>
          <w:sz w:val="18"/>
          <w:szCs w:val="18"/>
          <w:color w:val="auto"/>
        </w:rPr>
        <w:t>We market a variety of materials, including fibers such as old corrugated cardboard and old newsprint, plastics, glass, ferrous and aluminum metals. We may use a number of strategies to mitigate impacts from these recycled material commodity price fluctuations including: (1) charging collection customers a floating SRA fee to reduce recycling commodity risks; (2) providing in-bound MRF customers with a revenue share or indexed materials purchases in higher commodity price markets, or charging these same customers a processing cost or tipping fee per ton in lower commodity price markets; (3) selling recycled commodities to out-bound MRF customers through floor price or fixed price agreements; or (4)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December 31, 2023, we were not party to any commodity hedging agreements.</w:t>
      </w:r>
    </w:p>
    <w:p>
      <w:pPr>
        <w:spacing w:after="0" w:line="8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Should recycled material commodity prices change by $10 per ton, we estimate that our annual operating income margin would change by approximately $1.0 million annually.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to the notional amount of interest rate derivative agreements follows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Forward Starting</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94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26"/>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Commencements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Balance, December 31, 2022 </w:t>
            </w:r>
            <w:r>
              <w:rPr>
                <w:rFonts w:ascii="Times New Roman" w:cs="Times New Roman" w:eastAsia="Times New Roman" w:hAnsi="Times New Roman"/>
                <w:sz w:val="14"/>
                <w:szCs w:val="14"/>
                <w:color w:val="auto"/>
              </w:rPr>
              <w:t>(1)</w:t>
            </w:r>
          </w:p>
        </w:tc>
        <w:tc>
          <w:tcPr>
            <w:tcW w:w="9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26"/>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26"/>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Commencements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1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Balance, December 31, 2023 </w:t>
            </w:r>
            <w:r>
              <w:rPr>
                <w:rFonts w:ascii="Times New Roman" w:cs="Times New Roman" w:eastAsia="Times New Roman" w:hAnsi="Times New Roman"/>
                <w:sz w:val="14"/>
                <w:szCs w:val="14"/>
                <w:color w:val="auto"/>
              </w:rPr>
              <w:t>(2)</w:t>
            </w:r>
          </w:p>
        </w:tc>
        <w:tc>
          <w:tcPr>
            <w:tcW w:w="940" w:type="dxa"/>
            <w:vAlign w:val="bottom"/>
            <w:tcBorders>
              <w:top w:val="single" w:sz="8" w:color="auto"/>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w:t>
            </w: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640" w:right="180" w:hanging="634"/>
        <w:spacing w:after="0" w:line="275" w:lineRule="auto"/>
        <w:tabs>
          <w:tab w:leader="none" w:pos="6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mature between May 2023 and May 2028 and state that we receive interest based on 1-month LIBOR, restricted by a 0.0% floor in some instances, and pay interest at a weighted average rate of approximately 2.11%.</w:t>
      </w:r>
    </w:p>
    <w:p>
      <w:pPr>
        <w:spacing w:after="0" w:line="4" w:lineRule="exact"/>
        <w:rPr>
          <w:rFonts w:ascii="Times New Roman" w:cs="Times New Roman" w:eastAsia="Times New Roman" w:hAnsi="Times New Roman"/>
          <w:sz w:val="18"/>
          <w:szCs w:val="18"/>
          <w:color w:val="auto"/>
        </w:rPr>
      </w:pPr>
    </w:p>
    <w:p>
      <w:pPr>
        <w:ind w:left="640" w:right="140" w:hanging="634"/>
        <w:spacing w:after="0" w:line="275" w:lineRule="auto"/>
        <w:tabs>
          <w:tab w:leader="none" w:pos="6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mature between February 2026 and June 2028 and state that we receive interest based on Term SOFR, restricted by a 0.0% floor, and pay interest at a weighted average rate of approximately 3.60%.</w:t>
      </w:r>
    </w:p>
    <w:p>
      <w:pPr>
        <w:spacing w:after="0" w:line="58"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As of December 31, 2023, we have $285.3 million of fixed rate debt in addition to the $515.0 million fixed through our interest rate derivative agreements. We had interest rate risk relating to approximately $254.3 million of long-term debt as of December 31, 2023. The weighted average interest rate on the variable rate portion of long-term debt was approximately 7.4% at December 31, 2023. Should the average interest rate on the variable rate portion of long-term debt change by 100 basis points, we estimate that our annual interest expense would change by up to approximately $2.5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5"/>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49)</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24"/>
                <w:szCs w:val="24"/>
                <w:color w:val="auto"/>
              </w:rPr>
            </w:pPr>
          </w:p>
        </w:tc>
      </w:tr>
      <w:tr>
        <w:trPr>
          <w:trHeight w:val="206"/>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on Internal Control Over Financial Reporting (PCAOB ID: 49)</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7"/>
                <w:szCs w:val="17"/>
                <w:color w:val="auto"/>
              </w:rPr>
            </w:pPr>
          </w:p>
        </w:tc>
      </w:tr>
      <w:tr>
        <w:trPr>
          <w:trHeight w:val="206"/>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December 31, 2023 and December 31, 2022.</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7"/>
                <w:szCs w:val="17"/>
                <w:color w:val="auto"/>
              </w:rPr>
            </w:pPr>
          </w:p>
        </w:tc>
      </w:tr>
      <w:tr>
        <w:trPr>
          <w:trHeight w:val="206"/>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for the Fiscal Years Ended December 31, 2023, 2022 and 2021.</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7"/>
                <w:szCs w:val="17"/>
                <w:color w:val="auto"/>
              </w:rPr>
            </w:pPr>
          </w:p>
        </w:tc>
      </w:tr>
      <w:tr>
        <w:trPr>
          <w:trHeight w:val="206"/>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December 31, 2023, 2022 and 2021.</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7"/>
                <w:szCs w:val="17"/>
                <w:color w:val="auto"/>
              </w:rPr>
            </w:pPr>
          </w:p>
        </w:tc>
      </w:tr>
      <w:tr>
        <w:trPr>
          <w:trHeight w:val="206"/>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 of Stockholders’ Equity for the Fiscal Years Ended December 31, 2023, 2022 and 2021.</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17"/>
                <w:szCs w:val="17"/>
                <w:color w:val="auto"/>
              </w:rPr>
            </w:pPr>
          </w:p>
        </w:tc>
      </w:tr>
      <w:tr>
        <w:trPr>
          <w:trHeight w:val="206"/>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Fiscal Years Ended December 31, 2023, 2022 and 2021.</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tcPr>
          <w:p>
            <w:pPr>
              <w:spacing w:after="0"/>
              <w:rPr>
                <w:sz w:val="17"/>
                <w:szCs w:val="17"/>
                <w:color w:val="auto"/>
              </w:rPr>
            </w:pPr>
          </w:p>
        </w:tc>
      </w:tr>
      <w:tr>
        <w:trPr>
          <w:trHeight w:val="206"/>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17"/>
                <w:szCs w:val="17"/>
                <w:color w:val="auto"/>
              </w:rPr>
            </w:pPr>
          </w:p>
        </w:tc>
      </w:tr>
      <w:tr>
        <w:trPr>
          <w:trHeight w:val="872"/>
        </w:trPr>
        <w:tc>
          <w:tcPr>
            <w:tcW w:w="110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Casella Waste Systems, Inc.</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6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Casella Waste Systems, Inc. and its subsidiaries (the Company) as of December 31, 2023 and 2022, the related consolidated statements of operations, comprehensive income, stockholders' equity and cash flows for each of the three years in the period ended December 31, 2023, and the related notes to the consolidated financial statements (collectively,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7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issued by the Committee of Sponsoring Organizations of the Treadway Commission in 2013, and our report dated February 16, 2024 expressed an unqualified opinion on the effectiveness of the Company's internal control over financial reporting.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61"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5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Accounting</w:t>
      </w:r>
    </w:p>
    <w:p>
      <w:pPr>
        <w:spacing w:after="0" w:line="6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As described in Note 3 of the consolidated financial statements, the Company capitalizes landfill acquisition and development costs and charges those costs to expense on a units-of-consumption method as landfill airspace is consumed. In addition, the Company accrues an asset retirement obligation for estimated capping, closure and post-closure costs related to its landfills. As described in Note 7 of the consolidated financial statements, as of December 31, 2023, the Company’s landfill assets totaled $786.1 million, and the associated amortization expense for the year ended December 31, 2023 was $40.4 million. As described in Note 10 of the consolidated financial statements, as of December 31, 2023, the Company estimated its accrued capping, closure and post-closure costs at $130.9 million. The landfill asset amortization and accrued capping, closure and post-closure costs are based on estimates of future cash flows, which require significant assumptions and estimates about the future operations and retirement of each landfill. Management estimates the costs and timing of expected future cash flows based on various assumptions at each individual landfill including:</w:t>
      </w:r>
    </w:p>
    <w:p>
      <w:pPr>
        <w:spacing w:after="0" w:line="30" w:lineRule="exact"/>
        <w:rPr>
          <w:sz w:val="20"/>
          <w:szCs w:val="20"/>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landfill development costs, as well as costs associated with the final capping, closure and post closure activities.</w:t>
      </w:r>
    </w:p>
    <w:p>
      <w:pPr>
        <w:spacing w:after="0" w:line="58" w:lineRule="exact"/>
        <w:rPr>
          <w:rFonts w:ascii="Times New Roman" w:cs="Times New Roman" w:eastAsia="Times New Roman" w:hAnsi="Times New Roman"/>
          <w:sz w:val="18"/>
          <w:szCs w:val="18"/>
          <w:color w:val="auto"/>
        </w:rPr>
      </w:pPr>
    </w:p>
    <w:p>
      <w:pPr>
        <w:ind w:left="640" w:right="100" w:hanging="315"/>
        <w:spacing w:after="0" w:line="27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permitted and unpermitted expansion airspace, which is estimated by Company engineers, in consultation with third-party engineers and surveyors, who utilize annual aerial surveys.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right="240" w:hanging="315"/>
        <w:spacing w:after="0" w:line="27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Compaction factors, or airspace utilization factors , which are estimated using a process that considers the measured density obtained from annual aerial surveys.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 and the credit adjusted risk-free rate.</w:t>
      </w:r>
    </w:p>
    <w:p>
      <w:pPr>
        <w:spacing w:after="0" w:line="11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identified the Company’s landfill asset amortization expense and accrued capping, closure and post-closure costs as a critical audit matter because of the significant assumptions and judgments made by management. Auditing management’s assumptions and judgements involved a high degree of auditor judgment and increased audit effort due to the impact these assumptions have on the amounts recorded by the Company.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landfill asset amortization expense and accrued capping, closure and post-closure costs included the following, among others:</w:t>
      </w:r>
    </w:p>
    <w:p>
      <w:pPr>
        <w:spacing w:after="0" w:line="70" w:lineRule="exact"/>
        <w:rPr>
          <w:sz w:val="20"/>
          <w:szCs w:val="20"/>
          <w:color w:val="auto"/>
        </w:rPr>
      </w:pPr>
    </w:p>
    <w:p>
      <w:pPr>
        <w:ind w:left="640" w:right="160" w:hanging="315"/>
        <w:spacing w:after="0" w:line="282" w:lineRule="auto"/>
        <w:tabs>
          <w:tab w:leader="none" w:pos="6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an understanding of the relevant controls related to landfill asset amortization expense and accrued capping, closure and post-closure costs and tested such controls for design and operating effectiveness, including those over the determination of the appropriate credit adjusted risk-free and inflation rates, compaction factors, the amount and timing of expected future cash flows, and permitted and unpermitted airspace.</w:t>
      </w:r>
    </w:p>
    <w:p>
      <w:pPr>
        <w:spacing w:after="0" w:line="2" w:lineRule="exact"/>
        <w:rPr>
          <w:rFonts w:ascii="Times New Roman" w:cs="Times New Roman" w:eastAsia="Times New Roman" w:hAnsi="Times New Roman"/>
          <w:sz w:val="17"/>
          <w:szCs w:val="17"/>
          <w:color w:val="auto"/>
        </w:rPr>
      </w:pPr>
    </w:p>
    <w:p>
      <w:pPr>
        <w:ind w:left="640" w:right="180" w:hanging="315"/>
        <w:spacing w:after="0" w:line="26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internal and external data used by management in the future cost estimates for both the calculation of landfill asset amortization expense rates and capping, closure and post-closure activities, by evaluating the reasons for significant changes in assumptions from historical trends and determined whether the change from the historical trend was appropriate and identified in the proper period.</w:t>
      </w:r>
    </w:p>
    <w:p>
      <w:pPr>
        <w:spacing w:after="0" w:line="16" w:lineRule="exact"/>
        <w:rPr>
          <w:rFonts w:ascii="Times New Roman" w:cs="Times New Roman" w:eastAsia="Times New Roman" w:hAnsi="Times New Roman"/>
          <w:sz w:val="18"/>
          <w:szCs w:val="18"/>
          <w:color w:val="auto"/>
        </w:rPr>
      </w:pPr>
    </w:p>
    <w:p>
      <w:pPr>
        <w:ind w:left="640" w:right="100" w:hanging="315"/>
        <w:spacing w:after="0" w:line="26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confirmed the landfill topography drawings and results of aerial surveys directly with the third-party engineers. We agreed relevant data outputs from the topography drawings, such as permitted and unpermitted expansion airspace, to the relevant data inputs in management’s estimates of future cash flows.</w:t>
      </w:r>
    </w:p>
    <w:p>
      <w:pPr>
        <w:spacing w:after="0" w:line="16" w:lineRule="exact"/>
        <w:rPr>
          <w:rFonts w:ascii="Times New Roman" w:cs="Times New Roman" w:eastAsia="Times New Roman" w:hAnsi="Times New Roman"/>
          <w:sz w:val="18"/>
          <w:szCs w:val="18"/>
          <w:color w:val="auto"/>
        </w:rPr>
      </w:pPr>
    </w:p>
    <w:p>
      <w:pPr>
        <w:ind w:left="640" w:right="60" w:hanging="315"/>
        <w:spacing w:after="0" w:line="27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remaining permitted airspace to issued permits and evaluated management’s determination of unpermitted expansion airspace through a comparison of airspace and annual aerial surveys.</w:t>
      </w:r>
    </w:p>
    <w:p>
      <w:pPr>
        <w:spacing w:after="0" w:line="4" w:lineRule="exact"/>
        <w:rPr>
          <w:rFonts w:ascii="Times New Roman" w:cs="Times New Roman" w:eastAsia="Times New Roman" w:hAnsi="Times New Roman"/>
          <w:sz w:val="18"/>
          <w:szCs w:val="18"/>
          <w:color w:val="auto"/>
        </w:rPr>
      </w:pPr>
    </w:p>
    <w:p>
      <w:pPr>
        <w:ind w:left="640" w:right="100" w:hanging="315"/>
        <w:spacing w:after="0" w:line="27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the results of the compaction factors calculated by aerial surveys to the factors utilized by management in the estimates of future cash flows.</w:t>
      </w:r>
    </w:p>
    <w:p>
      <w:pPr>
        <w:spacing w:after="0" w:line="4" w:lineRule="exact"/>
        <w:rPr>
          <w:rFonts w:ascii="Times New Roman" w:cs="Times New Roman" w:eastAsia="Times New Roman" w:hAnsi="Times New Roman"/>
          <w:sz w:val="18"/>
          <w:szCs w:val="18"/>
          <w:color w:val="auto"/>
        </w:rPr>
      </w:pPr>
    </w:p>
    <w:p>
      <w:pPr>
        <w:ind w:left="640" w:right="480" w:hanging="315"/>
        <w:spacing w:after="0" w:line="27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appropriateness of the methodology used by management in developing the inflation rate, and we tested the completeness and accuracy of the underlying data utilized by management.</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methodology used by management in developing the credit adjusted risk-free rate and tested it by comparing the Company’s credit adjusted risk-free rate to an independent data source.</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qualifications, reputation, and objectivity of management’s third-party engineering specialists.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Certain Property and Equipment and Intangible Assets in Certain Business Combinations</w:t>
      </w:r>
    </w:p>
    <w:p>
      <w:pPr>
        <w:spacing w:after="0" w:line="6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As described in Note 5 of the consolidated financial statements, the Company completed the acquisition of seven businesses during the year ended December 31, 2023, for total consideration of $846.6 million. The Company accounted for these transactions under the acquisition method of accounting for business combinations. Accordingly, the purchase price was allocated, on a preliminary basis, to the assets acquired and liabilities assumed primarily based on their respective fair values, including identified property and equipment of $214.8 million and intangible assets of $180.6 million. Of the identified property and equipment and intangible assets acquired, the most significant included machinery and equipment of $177.9 million, customer relationship intangible assets of $145.4 million, and covenants not-to-compete intangible assets of $30.9 million. The Company estimated the fair value of these assets using a combination of cost, market, and income approaches, which required management to make significant estimates and assumptions.</w:t>
      </w:r>
    </w:p>
    <w:p>
      <w:pPr>
        <w:spacing w:after="0" w:line="80"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We identified the valuation of machinery and equipment, customer relationships, and covenants not-to-compete assets in certain business combinations completed by the Company during the year ended December 31, 2023 as a critical audit matter because of the significant estimates and assumptions management used in the fair value determination. Auditing management’s selection of the cost and market assumptions related to the valuation of the machinery and equipment assets, the forecasts of future revenue and expenses and the selection of the attrition and discount rates related to the valuation of the customer relationships, and the forecasts of future revenue and expenses, the probability of lost profits due to the probability of competition and discount rates related to the valuation of the covenants not-to-compete, required a high degree of auditor judgment and an increased audit effort, including the use of our valuation specialists, due to the impact these assumptions have on the estimates of fair value.</w:t>
      </w:r>
    </w:p>
    <w:p>
      <w:pPr>
        <w:spacing w:after="0" w:line="80" w:lineRule="exact"/>
        <w:rPr>
          <w:sz w:val="20"/>
          <w:szCs w:val="20"/>
          <w:color w:val="auto"/>
        </w:rPr>
      </w:pPr>
    </w:p>
    <w:p>
      <w:pPr>
        <w:ind w:right="920"/>
        <w:spacing w:after="0" w:line="275" w:lineRule="auto"/>
        <w:rPr>
          <w:sz w:val="20"/>
          <w:szCs w:val="20"/>
          <w:color w:val="auto"/>
        </w:rPr>
      </w:pPr>
      <w:r>
        <w:rPr>
          <w:rFonts w:ascii="Times New Roman" w:cs="Times New Roman" w:eastAsia="Times New Roman" w:hAnsi="Times New Roman"/>
          <w:sz w:val="18"/>
          <w:szCs w:val="18"/>
          <w:color w:val="auto"/>
        </w:rPr>
        <w:t>Our audit procedures that pertained to machinery and equipment, customer relationships, and covenants not-to-compete assets in certain business combinations, included the following, among others:</w:t>
      </w:r>
    </w:p>
    <w:p>
      <w:pPr>
        <w:spacing w:after="0" w:line="4" w:lineRule="exact"/>
        <w:rPr>
          <w:sz w:val="20"/>
          <w:szCs w:val="20"/>
          <w:color w:val="auto"/>
        </w:rPr>
      </w:pPr>
    </w:p>
    <w:p>
      <w:pPr>
        <w:ind w:left="640" w:right="320" w:hanging="315"/>
        <w:spacing w:after="0" w:line="26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relevant controls related to the valuation of these assets and tested such controls for design and operating effectiveness. This included management’s controls over the selection of the cost and market assumptions for the valuation of the machinery and equipment assets, the forecasts of future revenue and expenses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right="320"/>
        <w:spacing w:after="0" w:line="261" w:lineRule="auto"/>
        <w:rPr>
          <w:sz w:val="20"/>
          <w:szCs w:val="20"/>
          <w:color w:val="auto"/>
        </w:rPr>
      </w:pPr>
      <w:r>
        <w:rPr>
          <w:rFonts w:ascii="Times New Roman" w:cs="Times New Roman" w:eastAsia="Times New Roman" w:hAnsi="Times New Roman"/>
          <w:sz w:val="18"/>
          <w:szCs w:val="18"/>
          <w:color w:val="auto"/>
        </w:rPr>
        <w:t>the selection of the attrition rates and discount rates related to the valuation of the customer relationships, and the forecasts of future revenue and expenses, the probability of lost profits due to the probability of competition and discount rates related to the valuation of the covenants not-to-compete intangible assets.</w:t>
      </w:r>
    </w:p>
    <w:p>
      <w:pPr>
        <w:spacing w:after="0" w:line="16" w:lineRule="exact"/>
        <w:rPr>
          <w:sz w:val="20"/>
          <w:szCs w:val="20"/>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the purchase and sale agreements to understand and evaluate the terms of the acquisitions.</w:t>
      </w:r>
    </w:p>
    <w:p>
      <w:pPr>
        <w:spacing w:after="0" w:line="58" w:lineRule="exact"/>
        <w:rPr>
          <w:rFonts w:ascii="Times New Roman" w:cs="Times New Roman" w:eastAsia="Times New Roman" w:hAnsi="Times New Roman"/>
          <w:sz w:val="18"/>
          <w:szCs w:val="18"/>
          <w:color w:val="auto"/>
        </w:rPr>
      </w:pPr>
    </w:p>
    <w:p>
      <w:pPr>
        <w:ind w:left="640" w:right="36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selection of the cost and market values used in the valuation of the machinery and equipment assets by assessing of the nature, age and condition of the subject assets.</w:t>
      </w:r>
    </w:p>
    <w:p>
      <w:pPr>
        <w:spacing w:after="0" w:line="4" w:lineRule="exact"/>
        <w:rPr>
          <w:rFonts w:ascii="Times New Roman" w:cs="Times New Roman" w:eastAsia="Times New Roman" w:hAnsi="Times New Roman"/>
          <w:sz w:val="18"/>
          <w:szCs w:val="18"/>
          <w:color w:val="auto"/>
        </w:rPr>
      </w:pPr>
    </w:p>
    <w:p>
      <w:pPr>
        <w:ind w:left="640" w:right="50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forecasts of future revenue and expenses and the selection of attrition rates used in the valuation of the customer relationships by comparing the projections and rates to historical results.</w:t>
      </w:r>
    </w:p>
    <w:p>
      <w:pPr>
        <w:spacing w:after="0" w:line="4" w:lineRule="exact"/>
        <w:rPr>
          <w:rFonts w:ascii="Times New Roman" w:cs="Times New Roman" w:eastAsia="Times New Roman" w:hAnsi="Times New Roman"/>
          <w:sz w:val="18"/>
          <w:szCs w:val="18"/>
          <w:color w:val="auto"/>
        </w:rPr>
      </w:pPr>
    </w:p>
    <w:p>
      <w:pPr>
        <w:ind w:left="640" w:hanging="315"/>
        <w:spacing w:after="0" w:line="261"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forecasts of future revenue and expenses used in the valuation of the covenants not-to-compete by comparing the projections to historical results, and we evaluated the reasonableness of the probability of lost profits due to the probability of competition by gaining an understanding of the Company’s assumptions as well as comparing to industry benchmarks.</w:t>
      </w:r>
    </w:p>
    <w:p>
      <w:pPr>
        <w:spacing w:after="0" w:line="16" w:lineRule="exact"/>
        <w:rPr>
          <w:rFonts w:ascii="Times New Roman" w:cs="Times New Roman" w:eastAsia="Times New Roman" w:hAnsi="Times New Roman"/>
          <w:sz w:val="18"/>
          <w:szCs w:val="18"/>
          <w:color w:val="auto"/>
        </w:rPr>
      </w:pPr>
    </w:p>
    <w:p>
      <w:pPr>
        <w:ind w:left="640" w:right="32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underlying data used by management to estimate the fair value of the machinery and equipment assets, customer relationships, and covenants not-to-complete intangible assets for accuracy and completeness.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our valuation specialists to assist in the following procedures, among others:</w:t>
      </w:r>
    </w:p>
    <w:p>
      <w:pPr>
        <w:spacing w:after="0" w:line="58"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the valuation models and methods used by management and testing their mathematical accuracy.</w:t>
      </w:r>
    </w:p>
    <w:p>
      <w:pPr>
        <w:spacing w:after="0" w:line="58" w:lineRule="exact"/>
        <w:rPr>
          <w:rFonts w:ascii="Times New Roman" w:cs="Times New Roman" w:eastAsia="Times New Roman" w:hAnsi="Times New Roman"/>
          <w:sz w:val="18"/>
          <w:szCs w:val="18"/>
          <w:color w:val="auto"/>
        </w:rPr>
      </w:pPr>
    </w:p>
    <w:p>
      <w:pPr>
        <w:ind w:left="1280" w:right="200" w:hanging="316"/>
        <w:spacing w:after="0" w:line="275" w:lineRule="auto"/>
        <w:tabs>
          <w:tab w:leader="none" w:pos="127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Corroborated the market data used by management to estimate the fair value of the machinery and equipment by independently obtaining cost and market data from market sources and comparing it to the data used by management.</w:t>
      </w:r>
    </w:p>
    <w:p>
      <w:pPr>
        <w:spacing w:after="0" w:line="4" w:lineRule="exact"/>
        <w:rPr>
          <w:rFonts w:ascii="Times New Roman" w:cs="Times New Roman" w:eastAsia="Times New Roman" w:hAnsi="Times New Roman"/>
          <w:sz w:val="18"/>
          <w:szCs w:val="18"/>
          <w:color w:val="auto"/>
        </w:rPr>
      </w:pPr>
    </w:p>
    <w:p>
      <w:pPr>
        <w:ind w:left="1280" w:right="300" w:hanging="316"/>
        <w:spacing w:after="0" w:line="275" w:lineRule="auto"/>
        <w:tabs>
          <w:tab w:leader="none" w:pos="127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source information underlying the determination of the discount rates to publicly available market data and verifying the accuracy of the calculations.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rPr>
          <w:sz w:val="20"/>
          <w:szCs w:val="20"/>
          <w:color w:val="auto"/>
        </w:rPr>
      </w:pPr>
      <w:r>
        <w:rPr>
          <w:rFonts w:ascii="Times New Roman" w:cs="Times New Roman" w:eastAsia="Times New Roman" w:hAnsi="Times New Roman"/>
          <w:sz w:val="18"/>
          <w:szCs w:val="18"/>
          <w:color w:val="auto"/>
        </w:rPr>
        <w:t>February 16, 2024</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Casella Waste Systems,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spacing w:after="0" w:line="6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Casella Waste Systems, Inc.'s (the Company) internal control over financial reporting as of December 31, 2023, based on criteria established in Internal Control — Integrated Framework issued by the Committee of Sponsoring Organizations of the Treadway Commission in 2013. In our opinion, the Company maintained, in all material respects, effective internal control over financial reporting as of December 31, 2023, based on criteria established in Internal Control — Integrated Framework issued by the Committee of Sponsoring Organizations of the Treadway Commission in 2013.</w:t>
      </w:r>
    </w:p>
    <w:p>
      <w:pPr>
        <w:spacing w:after="0" w:line="74"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of the Company and our report dated February 16, 2024 expressed an unqualified opinion.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As discussed in Management’s Report on Internal Control Over Financial Reporting, management has excluded from its assessment of the effectiveness of internal control over financial reporting as of December 31, 2023: four wholly owned subsidiaries of GFL Environmental Inc. (GFL Subsidiaries), Consolidated Waste Services, LLC and its affiliates (dba Twin Bridges) (Twin Bridges); Taylor Garbage Services, Inc. and Southern Tier Recyclers, Inc. (collectively, Taylor); and Pinard Waste Systems Co., Inc.(dba Pinard Waste Systems) and Group Pinard, LLC (collectively, Pinard), because they were acquired by the Company during 2023 and have not yet been fully incorporated into the Company’s internal controls over financial reporting. We have also excluded GFL Subsidiaries, Twin Bridges, Taylor, and Pinard from our report of internal controls over financial reporting as of December 31, 2023. Collectively, the GFL Subsidiaries, Twin Bridges, Taylor, and Pinard represent total assets and revenues of approximately 34% and 10%, respectively, of the related consolidated financial statement amounts as of and for the year ended December 31, 2023.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6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rPr>
          <w:sz w:val="20"/>
          <w:szCs w:val="20"/>
          <w:color w:val="auto"/>
        </w:rPr>
      </w:pPr>
      <w:r>
        <w:rPr>
          <w:rFonts w:ascii="Times New Roman" w:cs="Times New Roman" w:eastAsia="Times New Roman" w:hAnsi="Times New Roman"/>
          <w:sz w:val="18"/>
          <w:szCs w:val="18"/>
          <w:color w:val="auto"/>
        </w:rPr>
        <w:t>February 16, 2024</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36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78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2"/>
        </w:trPr>
        <w:tc>
          <w:tcPr>
            <w:tcW w:w="788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71,152</w:t>
            </w:r>
          </w:p>
        </w:tc>
      </w:tr>
      <w:tr>
        <w:trPr>
          <w:trHeight w:val="226"/>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$4,066 and $3,016, respectively</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100,886</w:t>
            </w:r>
          </w:p>
        </w:tc>
      </w:tr>
      <w:tr>
        <w:trPr>
          <w:trHeight w:val="22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Refundable income taxes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15,182</w:t>
            </w:r>
          </w:p>
        </w:tc>
      </w:tr>
      <w:tr>
        <w:trPr>
          <w:trHeight w:val="22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w:t>
            </w:r>
          </w:p>
        </w:tc>
      </w:tr>
      <w:tr>
        <w:trPr>
          <w:trHeight w:val="226"/>
        </w:trPr>
        <w:tc>
          <w:tcPr>
            <w:tcW w:w="78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6,787</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207,479</w:t>
            </w:r>
          </w:p>
        </w:tc>
      </w:tr>
      <w:tr>
        <w:trPr>
          <w:trHeight w:val="181"/>
        </w:trPr>
        <w:tc>
          <w:tcPr>
            <w:tcW w:w="78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Property and equipment, net of accumulated depreciation and amortization of $1,167,541 and $1,064,756,</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1"/>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720,550</w:t>
            </w:r>
          </w:p>
        </w:tc>
      </w:tr>
      <w:tr>
        <w:trPr>
          <w:trHeight w:val="22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92,063</w:t>
            </w: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274,458</w:t>
            </w:r>
          </w:p>
        </w:tc>
      </w:tr>
      <w:tr>
        <w:trPr>
          <w:trHeight w:val="22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91,783</w:t>
            </w: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2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method investments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22,903</w:t>
            </w:r>
          </w:p>
        </w:tc>
      </w:tr>
      <w:tr>
        <w:trPr>
          <w:trHeight w:val="22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27,112</w:t>
            </w:r>
          </w:p>
        </w:tc>
      </w:tr>
      <w:tr>
        <w:trPr>
          <w:trHeight w:val="219"/>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2,535,470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1,449,215</w:t>
            </w:r>
          </w:p>
        </w:tc>
      </w:tr>
      <w:tr>
        <w:trPr>
          <w:trHeight w:val="20"/>
        </w:trPr>
        <w:tc>
          <w:tcPr>
            <w:tcW w:w="78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91"/>
        </w:trPr>
        <w:tc>
          <w:tcPr>
            <w:tcW w:w="9580" w:type="dxa"/>
            <w:vAlign w:val="bottom"/>
            <w:gridSpan w:val="4"/>
          </w:tcPr>
          <w:p>
            <w:pPr>
              <w:jc w:val="center"/>
              <w:ind w:left="1571"/>
              <w:spacing w:after="0"/>
              <w:rPr>
                <w:sz w:val="20"/>
                <w:szCs w:val="20"/>
                <w:color w:val="auto"/>
              </w:rPr>
            </w:pPr>
            <w:r>
              <w:rPr>
                <w:rFonts w:ascii="Times New Roman" w:cs="Times New Roman" w:eastAsia="Times New Roman" w:hAnsi="Times New Roman"/>
                <w:sz w:val="18"/>
                <w:szCs w:val="18"/>
                <w:color w:val="auto"/>
                <w:w w:val="98"/>
              </w:rPr>
              <w:t>The accompanying notes are an integral part of these consolidated financial statements.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3"/>
        </w:trPr>
        <w:tc>
          <w:tcPr>
            <w:tcW w:w="8120" w:type="dxa"/>
            <w:vAlign w:val="bottom"/>
            <w:gridSpan w:val="2"/>
          </w:tcPr>
          <w:p>
            <w:pPr>
              <w:jc w:val="center"/>
              <w:ind w:left="3031"/>
              <w:spacing w:after="0"/>
              <w:rPr>
                <w:sz w:val="20"/>
                <w:szCs w:val="20"/>
                <w:color w:val="auto"/>
              </w:rPr>
            </w:pPr>
            <w:r>
              <w:rPr>
                <w:rFonts w:ascii="Times New Roman" w:cs="Times New Roman" w:eastAsia="Times New Roman" w:hAnsi="Times New Roman"/>
                <w:sz w:val="18"/>
                <w:szCs w:val="18"/>
                <w:b w:val="1"/>
                <w:bCs w:val="1"/>
                <w:color w:val="auto"/>
                <w:w w:val="98"/>
              </w:rPr>
              <w:t>CASELLA WASTE SYSTEMS, INC. AND SUBSIDIARIES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3"/>
        </w:trPr>
        <w:tc>
          <w:tcPr>
            <w:tcW w:w="7880" w:type="dxa"/>
            <w:vAlign w:val="bottom"/>
          </w:tcPr>
          <w:p>
            <w:pPr>
              <w:jc w:val="center"/>
              <w:ind w:left="3271"/>
              <w:spacing w:after="0"/>
              <w:rPr>
                <w:sz w:val="20"/>
                <w:szCs w:val="20"/>
                <w:color w:val="auto"/>
              </w:rPr>
            </w:pPr>
            <w:r>
              <w:rPr>
                <w:rFonts w:ascii="Times New Roman" w:cs="Times New Roman" w:eastAsia="Times New Roman" w:hAnsi="Times New Roman"/>
                <w:sz w:val="18"/>
                <w:szCs w:val="18"/>
                <w:b w:val="1"/>
                <w:bCs w:val="1"/>
                <w:color w:val="auto"/>
                <w:w w:val="98"/>
              </w:rPr>
              <w:t>CONSOLIDATED BALANCE SHEETS (Continued)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7880" w:type="dxa"/>
            <w:vAlign w:val="bottom"/>
          </w:tcPr>
          <w:p>
            <w:pPr>
              <w:jc w:val="center"/>
              <w:ind w:left="3271"/>
              <w:spacing w:after="0"/>
              <w:rPr>
                <w:sz w:val="20"/>
                <w:szCs w:val="20"/>
                <w:color w:val="auto"/>
              </w:rPr>
            </w:pPr>
            <w:r>
              <w:rPr>
                <w:rFonts w:ascii="Times New Roman" w:cs="Times New Roman" w:eastAsia="Times New Roman" w:hAnsi="Times New Roman"/>
                <w:sz w:val="18"/>
                <w:szCs w:val="18"/>
                <w:b w:val="1"/>
                <w:bCs w:val="1"/>
                <w:color w:val="auto"/>
                <w:w w:val="98"/>
              </w:rPr>
              <w:t>(in thousands, except for share and per share data)</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3"/>
        </w:trPr>
        <w:tc>
          <w:tcPr>
            <w:tcW w:w="7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24"/>
                <w:szCs w:val="24"/>
                <w:color w:val="auto"/>
              </w:rPr>
            </w:pPr>
          </w:p>
        </w:tc>
        <w:tc>
          <w:tcPr>
            <w:tcW w:w="136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78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2"/>
        </w:trPr>
        <w:tc>
          <w:tcPr>
            <w:tcW w:w="78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w:t>
            </w:r>
          </w:p>
        </w:tc>
      </w:tr>
      <w:tr>
        <w:trPr>
          <w:trHeight w:val="226"/>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74,203</w:t>
            </w:r>
          </w:p>
        </w:tc>
      </w:tr>
      <w:tr>
        <w:trPr>
          <w:trHeight w:val="226"/>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23,556</w:t>
            </w:r>
          </w:p>
        </w:tc>
      </w:tr>
      <w:tr>
        <w:trPr>
          <w:trHeight w:val="22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r>
      <w:tr>
        <w:trPr>
          <w:trHeight w:val="226"/>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r>
      <w:tr>
        <w:trPr>
          <w:trHeight w:val="22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accrued capping, closure and post-closure costs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w:t>
            </w:r>
          </w:p>
        </w:tc>
      </w:tr>
      <w:tr>
        <w:trPr>
          <w:trHeight w:val="226"/>
        </w:trPr>
        <w:tc>
          <w:tcPr>
            <w:tcW w:w="78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46,237</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177,600</w:t>
            </w: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585,015</w:t>
            </w:r>
          </w:p>
        </w:tc>
      </w:tr>
      <w:tr>
        <w:trPr>
          <w:trHeight w:val="22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57,345</w:t>
            </w: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capping, closure and post-closure costs, less current portion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102,642</w:t>
            </w:r>
          </w:p>
        </w:tc>
      </w:tr>
      <w:tr>
        <w:trPr>
          <w:trHeight w:val="22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28,276</w:t>
            </w:r>
          </w:p>
        </w:tc>
      </w:tr>
      <w:tr>
        <w:trPr>
          <w:trHeight w:val="22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73"/>
        </w:trPr>
        <w:tc>
          <w:tcPr>
            <w:tcW w:w="7880" w:type="dxa"/>
            <w:vAlign w:val="bottom"/>
            <w:shd w:val="clear" w:color="auto" w:fill="CCEEFF"/>
          </w:tcPr>
          <w:p>
            <w:pPr>
              <w:ind w:left="660"/>
              <w:spacing w:after="0" w:line="173" w:lineRule="exact"/>
              <w:rPr>
                <w:sz w:val="20"/>
                <w:szCs w:val="20"/>
                <w:color w:val="auto"/>
              </w:rPr>
            </w:pPr>
            <w:r>
              <w:rPr>
                <w:rFonts w:ascii="Times New Roman" w:cs="Times New Roman" w:eastAsia="Times New Roman" w:hAnsi="Times New Roman"/>
                <w:sz w:val="18"/>
                <w:szCs w:val="18"/>
                <w:color w:val="auto"/>
              </w:rPr>
              <w:t>Class A common stock, $0.01 par value per share; 100,000,000 shares authorized; 57,007,000 and</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39"/>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50,704,000 shares issued and outstanding, respectively</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173"/>
        </w:trPr>
        <w:tc>
          <w:tcPr>
            <w:tcW w:w="7880" w:type="dxa"/>
            <w:vAlign w:val="bottom"/>
          </w:tcPr>
          <w:p>
            <w:pPr>
              <w:ind w:left="660"/>
              <w:spacing w:after="0" w:line="173" w:lineRule="exact"/>
              <w:rPr>
                <w:sz w:val="20"/>
                <w:szCs w:val="20"/>
                <w:color w:val="auto"/>
              </w:rPr>
            </w:pPr>
            <w:r>
              <w:rPr>
                <w:rFonts w:ascii="Times New Roman" w:cs="Times New Roman" w:eastAsia="Times New Roman" w:hAnsi="Times New Roman"/>
                <w:sz w:val="18"/>
                <w:szCs w:val="18"/>
                <w:color w:val="auto"/>
              </w:rPr>
              <w:t>Class B common stock, $0.01 par value per share; 1,000,000 shares authorized; 988,000 shares</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9"/>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issued and outstanding; 10 votes per share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661,761</w:t>
            </w:r>
          </w:p>
        </w:tc>
      </w:tr>
      <w:tr>
        <w:trPr>
          <w:trHeight w:val="226"/>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(171,920)</w:t>
            </w:r>
          </w:p>
        </w:tc>
      </w:tr>
      <w:tr>
        <w:trPr>
          <w:trHeight w:val="22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(loss) income,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r>
      <w:tr>
        <w:trPr>
          <w:trHeight w:val="21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1,021,791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497,900</w:t>
            </w:r>
          </w:p>
        </w:tc>
      </w:tr>
      <w:tr>
        <w:trPr>
          <w:trHeight w:val="244"/>
        </w:trPr>
        <w:tc>
          <w:tcPr>
            <w:tcW w:w="7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2,535,470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1,449,215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00"/>
          </w:cols>
          <w:pgMar w:left="320" w:top="116" w:right="379" w:bottom="4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6" w:right="379" w:bottom="415"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7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889,211</w:t>
            </w: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582,403</w:t>
            </w:r>
          </w:p>
        </w:tc>
        <w:tc>
          <w:tcPr>
            <w:tcW w:w="0" w:type="dxa"/>
            <w:vAlign w:val="bottom"/>
          </w:tcPr>
          <w:p>
            <w:pPr>
              <w:spacing w:after="0"/>
              <w:rPr>
                <w:sz w:val="1"/>
                <w:szCs w:val="1"/>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118,834</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103,590</w:t>
            </w:r>
          </w:p>
        </w:tc>
        <w:tc>
          <w:tcPr>
            <w:tcW w:w="0" w:type="dxa"/>
            <w:vAlign w:val="bottom"/>
          </w:tcPr>
          <w:p>
            <w:pPr>
              <w:spacing w:after="0"/>
              <w:rPr>
                <w:sz w:val="1"/>
                <w:szCs w:val="1"/>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 from acquisition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Legal settlement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2"/>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Landfill capping charge - veneer failure</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Southbridge Landfill closure charge,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Environmental remediation charge</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19"/>
        </w:trPr>
        <w:tc>
          <w:tcPr>
            <w:tcW w:w="70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1,184,115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811,551</w:t>
            </w:r>
          </w:p>
        </w:tc>
        <w:tc>
          <w:tcPr>
            <w:tcW w:w="0" w:type="dxa"/>
            <w:vAlign w:val="bottom"/>
          </w:tcPr>
          <w:p>
            <w:pPr>
              <w:spacing w:after="0"/>
              <w:rPr>
                <w:sz w:val="1"/>
                <w:szCs w:val="1"/>
                <w:color w:val="auto"/>
              </w:rPr>
            </w:pPr>
          </w:p>
        </w:tc>
      </w:tr>
      <w:tr>
        <w:trPr>
          <w:trHeight w:val="21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77,660</w:t>
            </w:r>
          </w:p>
        </w:tc>
        <w:tc>
          <w:tcPr>
            <w:tcW w:w="0" w:type="dxa"/>
            <w:vAlign w:val="bottom"/>
          </w:tcPr>
          <w:p>
            <w:pPr>
              <w:spacing w:after="0"/>
              <w:rPr>
                <w:sz w:val="1"/>
                <w:szCs w:val="1"/>
                <w:color w:val="auto"/>
              </w:rPr>
            </w:pPr>
          </w:p>
        </w:tc>
      </w:tr>
      <w:tr>
        <w:trPr>
          <w:trHeight w:val="20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0" w:type="dxa"/>
            <w:vAlign w:val="bottom"/>
          </w:tcPr>
          <w:p>
            <w:pPr>
              <w:spacing w:after="0"/>
              <w:rPr>
                <w:sz w:val="1"/>
                <w:szCs w:val="1"/>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termination of bridge financing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1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0" w:type="dxa"/>
            <w:vAlign w:val="bottom"/>
          </w:tcPr>
          <w:p>
            <w:pPr>
              <w:spacing w:after="0"/>
              <w:rPr>
                <w:sz w:val="1"/>
                <w:szCs w:val="1"/>
                <w:color w:val="auto"/>
              </w:rPr>
            </w:pP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58,046</w:t>
            </w:r>
          </w:p>
        </w:tc>
        <w:tc>
          <w:tcPr>
            <w:tcW w:w="0" w:type="dxa"/>
            <w:vAlign w:val="bottom"/>
          </w:tcPr>
          <w:p>
            <w:pPr>
              <w:spacing w:after="0"/>
              <w:rPr>
                <w:sz w:val="1"/>
                <w:szCs w:val="1"/>
                <w:color w:val="auto"/>
              </w:rPr>
            </w:pPr>
          </w:p>
        </w:tc>
      </w:tr>
      <w:tr>
        <w:trPr>
          <w:trHeight w:val="226"/>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16,946</w:t>
            </w:r>
          </w:p>
        </w:tc>
        <w:tc>
          <w:tcPr>
            <w:tcW w:w="0" w:type="dxa"/>
            <w:vAlign w:val="bottom"/>
          </w:tcPr>
          <w:p>
            <w:pPr>
              <w:spacing w:after="0"/>
              <w:rPr>
                <w:sz w:val="1"/>
                <w:szCs w:val="1"/>
                <w:color w:val="auto"/>
              </w:rPr>
            </w:pPr>
          </w:p>
        </w:tc>
      </w:tr>
      <w:tr>
        <w:trPr>
          <w:trHeight w:val="218"/>
        </w:trPr>
        <w:tc>
          <w:tcPr>
            <w:tcW w:w="7040" w:type="dxa"/>
            <w:vAlign w:val="bottom"/>
            <w:tcBorders>
              <w:bottom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25,399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53,079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1"/>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41,100</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7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0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1"/>
              <w:spacing w:after="0" w:line="19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4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51,515</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41,100</w:t>
            </w:r>
          </w:p>
        </w:tc>
      </w:tr>
      <w:tr>
        <w:trPr>
          <w:trHeight w:val="20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tax:</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Hedging activity: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6"/>
        </w:trPr>
        <w:tc>
          <w:tcPr>
            <w:tcW w:w="7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r>
      <w:tr>
        <w:trPr>
          <w:trHeight w:val="226"/>
        </w:trPr>
        <w:tc>
          <w:tcPr>
            <w:tcW w:w="7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 rate swap amounts reclassified into 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r>
      <w:tr>
        <w:trPr>
          <w:trHeight w:val="226"/>
        </w:trPr>
        <w:tc>
          <w:tcPr>
            <w:tcW w:w="70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Unrealized (loss) gain resulting from changes in fair value of derivative instruments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26"/>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Tax effect related to items of other comprehensive (loss)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r>
      <w:tr>
        <w:trPr>
          <w:trHeight w:val="21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65,724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47,514</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0" w:type="dxa"/>
            <w:vAlign w:val="bottom"/>
            <w:gridSpan w:val="10"/>
          </w:tcPr>
          <w:p>
            <w:pPr>
              <w:ind w:left="420"/>
              <w:spacing w:after="0"/>
              <w:rPr>
                <w:sz w:val="20"/>
                <w:szCs w:val="20"/>
                <w:color w:val="auto"/>
              </w:rPr>
            </w:pPr>
            <w:r>
              <w:rPr>
                <w:rFonts w:ascii="Times New Roman" w:cs="Times New Roman" w:eastAsia="Times New Roman" w:hAnsi="Times New Roman"/>
                <w:sz w:val="14"/>
                <w:szCs w:val="14"/>
                <w:b w:val="1"/>
                <w:bCs w:val="1"/>
                <w:color w:val="auto"/>
              </w:rPr>
              <w:t>Casella Waste Systems, Inc. Stockholders' Equity</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restart"/>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3"/>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9"/>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5"/>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700" w:type="dxa"/>
            <w:vAlign w:val="bottom"/>
            <w:gridSpan w:val="3"/>
          </w:tcPr>
          <w:p>
            <w:pPr>
              <w:jc w:val="right"/>
              <w:ind w:right="209"/>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 (</w:t>
            </w: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Loss) Income, Net</w:t>
            </w:r>
          </w:p>
        </w:tc>
        <w:tc>
          <w:tcPr>
            <w:tcW w:w="0" w:type="dxa"/>
            <w:vAlign w:val="bottom"/>
          </w:tcPr>
          <w:p>
            <w:pPr>
              <w:spacing w:after="0"/>
              <w:rPr>
                <w:sz w:val="1"/>
                <w:szCs w:val="1"/>
                <w:color w:val="auto"/>
              </w:rPr>
            </w:pPr>
          </w:p>
        </w:tc>
      </w:tr>
      <w:tr>
        <w:trPr>
          <w:trHeight w:val="100"/>
        </w:trPr>
        <w:tc>
          <w:tcPr>
            <w:tcW w:w="3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8"/>
                <w:szCs w:val="8"/>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1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of Tax</w:t>
            </w:r>
          </w:p>
        </w:tc>
        <w:tc>
          <w:tcPr>
            <w:tcW w:w="0" w:type="dxa"/>
            <w:vAlign w:val="bottom"/>
          </w:tcPr>
          <w:p>
            <w:pPr>
              <w:spacing w:after="0"/>
              <w:rPr>
                <w:sz w:val="1"/>
                <w:szCs w:val="1"/>
                <w:color w:val="auto"/>
              </w:rPr>
            </w:pPr>
          </w:p>
        </w:tc>
      </w:tr>
      <w:tr>
        <w:trPr>
          <w:trHeight w:val="198"/>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362,142</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10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639,247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(266,099)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(11,517)</w:t>
            </w:r>
          </w:p>
        </w:tc>
        <w:tc>
          <w:tcPr>
            <w:tcW w:w="0" w:type="dxa"/>
            <w:vAlign w:val="bottom"/>
          </w:tcPr>
          <w:p>
            <w:pPr>
              <w:spacing w:after="0"/>
              <w:rPr>
                <w:sz w:val="1"/>
                <w:szCs w:val="1"/>
                <w:color w:val="auto"/>
              </w:rPr>
            </w:pPr>
          </w:p>
        </w:tc>
      </w:tr>
      <w:tr>
        <w:trPr>
          <w:trHeight w:val="19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6,414</w:t>
            </w:r>
          </w:p>
        </w:tc>
        <w:tc>
          <w:tcPr>
            <w:tcW w:w="0" w:type="dxa"/>
            <w:vAlign w:val="bottom"/>
          </w:tcPr>
          <w:p>
            <w:pPr>
              <w:spacing w:after="0"/>
              <w:rPr>
                <w:sz w:val="1"/>
                <w:szCs w:val="1"/>
                <w:color w:val="auto"/>
              </w:rPr>
            </w:pPr>
          </w:p>
        </w:tc>
      </w:tr>
      <w:tr>
        <w:trPr>
          <w:trHeight w:val="18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422,457</w:t>
            </w: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50,423</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10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652,045</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(224,999)</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8,155</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53,079</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12,645</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12,645</w:t>
            </w:r>
          </w:p>
        </w:tc>
        <w:tc>
          <w:tcPr>
            <w:tcW w:w="0" w:type="dxa"/>
            <w:vAlign w:val="bottom"/>
          </w:tcPr>
          <w:p>
            <w:pPr>
              <w:spacing w:after="0"/>
              <w:rPr>
                <w:sz w:val="1"/>
                <w:szCs w:val="1"/>
                <w:color w:val="auto"/>
              </w:rPr>
            </w:pPr>
          </w:p>
        </w:tc>
      </w:tr>
      <w:tr>
        <w:trPr>
          <w:trHeight w:val="199"/>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497,900</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50,704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10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661,761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(171,920)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7,542</w:t>
            </w:r>
          </w:p>
        </w:tc>
        <w:tc>
          <w:tcPr>
            <w:tcW w:w="0" w:type="dxa"/>
            <w:vAlign w:val="bottom"/>
          </w:tcPr>
          <w:p>
            <w:pPr>
              <w:spacing w:after="0"/>
              <w:rPr>
                <w:sz w:val="1"/>
                <w:szCs w:val="1"/>
                <w:color w:val="auto"/>
              </w:rPr>
            </w:pPr>
          </w:p>
        </w:tc>
      </w:tr>
      <w:tr>
        <w:trPr>
          <w:trHeight w:val="137"/>
        </w:trPr>
        <w:tc>
          <w:tcPr>
            <w:tcW w:w="30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of Class A common stock - equity</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496,231</w:t>
            </w: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6,053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1"/>
                <w:szCs w:val="11"/>
                <w:color w:val="auto"/>
              </w:rPr>
            </w:pPr>
          </w:p>
        </w:tc>
        <w:tc>
          <w:tcPr>
            <w:tcW w:w="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496,170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net of stock issuance costs</w:t>
            </w: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9,084</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25,399</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(8,622)</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(8,622)</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1,021,791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1,168,812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25,399</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53,079</w:t>
            </w:r>
          </w:p>
        </w:tc>
        <w:tc>
          <w:tcPr>
            <w:tcW w:w="120" w:type="dxa"/>
            <w:vAlign w:val="bottom"/>
          </w:tcPr>
          <w:p>
            <w:pPr>
              <w:spacing w:after="0"/>
              <w:rPr>
                <w:sz w:val="18"/>
                <w:szCs w:val="18"/>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41,100</w:t>
            </w: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103,590</w:t>
            </w: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accretion on landfill and environmental remediation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7,324</w:t>
            </w:r>
          </w:p>
        </w:tc>
        <w:tc>
          <w:tcPr>
            <w:tcW w:w="0" w:type="dxa"/>
            <w:vAlign w:val="bottom"/>
          </w:tcPr>
          <w:p>
            <w:pPr>
              <w:spacing w:after="0"/>
              <w:rPr>
                <w:sz w:val="1"/>
                <w:szCs w:val="1"/>
                <w:color w:val="auto"/>
              </w:rPr>
            </w:pPr>
          </w:p>
        </w:tc>
      </w:tr>
      <w:tr>
        <w:trPr>
          <w:trHeight w:val="210"/>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11,551</w:t>
            </w:r>
          </w:p>
        </w:tc>
        <w:tc>
          <w:tcPr>
            <w:tcW w:w="0" w:type="dxa"/>
            <w:vAlign w:val="bottom"/>
          </w:tcPr>
          <w:p>
            <w:pPr>
              <w:spacing w:after="0"/>
              <w:rPr>
                <w:sz w:val="1"/>
                <w:szCs w:val="1"/>
                <w:color w:val="auto"/>
              </w:rPr>
            </w:pPr>
          </w:p>
        </w:tc>
      </w:tr>
      <w:tr>
        <w:trPr>
          <w:trHeight w:val="210"/>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right-of-use assets expense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13,827</w:t>
            </w: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Disposition of assets, other items and charges,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0" w:type="dxa"/>
            <w:vAlign w:val="bottom"/>
          </w:tcPr>
          <w:p>
            <w:pPr>
              <w:spacing w:after="0"/>
              <w:rPr>
                <w:sz w:val="1"/>
                <w:szCs w:val="1"/>
                <w:color w:val="auto"/>
              </w:rPr>
            </w:pPr>
          </w:p>
        </w:tc>
      </w:tr>
      <w:tr>
        <w:trPr>
          <w:trHeight w:val="226"/>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from termination of bridge financing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70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Landfill capping charge - veneer failure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1"/>
        </w:trPr>
        <w:tc>
          <w:tcPr>
            <w:tcW w:w="7040" w:type="dxa"/>
            <w:vAlign w:val="bottom"/>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15,073</w:t>
            </w: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 net of effects of acquisitions and divestitures: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(7,422)</w:t>
            </w: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Landfill operating lease contract expenditures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(5,655)</w:t>
            </w:r>
          </w:p>
        </w:tc>
        <w:tc>
          <w:tcPr>
            <w:tcW w:w="0" w:type="dxa"/>
            <w:vAlign w:val="bottom"/>
          </w:tcPr>
          <w:p>
            <w:pPr>
              <w:spacing w:after="0"/>
              <w:rPr>
                <w:sz w:val="1"/>
                <w:szCs w:val="1"/>
                <w:color w:val="auto"/>
              </w:rPr>
            </w:pPr>
          </w:p>
        </w:tc>
      </w:tr>
      <w:tr>
        <w:trPr>
          <w:trHeight w:val="210"/>
        </w:trPr>
        <w:tc>
          <w:tcPr>
            <w:tcW w:w="70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13,888</w:t>
            </w: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Prepaid expenses, inventories and other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w:t>
            </w:r>
          </w:p>
        </w:tc>
        <w:tc>
          <w:tcPr>
            <w:tcW w:w="0" w:type="dxa"/>
            <w:vAlign w:val="bottom"/>
          </w:tcPr>
          <w:p>
            <w:pPr>
              <w:spacing w:after="0"/>
              <w:rPr>
                <w:sz w:val="1"/>
                <w:szCs w:val="1"/>
                <w:color w:val="auto"/>
              </w:rPr>
            </w:pPr>
          </w:p>
        </w:tc>
      </w:tr>
      <w:tr>
        <w:trPr>
          <w:trHeight w:val="210"/>
        </w:trPr>
        <w:tc>
          <w:tcPr>
            <w:tcW w:w="70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Accrued expenses, contract liabilities and other liabilities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(7,539)</w:t>
            </w:r>
          </w:p>
        </w:tc>
        <w:tc>
          <w:tcPr>
            <w:tcW w:w="0" w:type="dxa"/>
            <w:vAlign w:val="bottom"/>
          </w:tcPr>
          <w:p>
            <w:pPr>
              <w:spacing w:after="0"/>
              <w:rPr>
                <w:sz w:val="1"/>
                <w:szCs w:val="1"/>
                <w:color w:val="auto"/>
              </w:rPr>
            </w:pPr>
          </w:p>
        </w:tc>
      </w:tr>
      <w:tr>
        <w:trPr>
          <w:trHeight w:val="20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233,092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217,314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182,737</w:t>
            </w:r>
          </w:p>
        </w:tc>
        <w:tc>
          <w:tcPr>
            <w:tcW w:w="0" w:type="dxa"/>
            <w:vAlign w:val="bottom"/>
          </w:tcPr>
          <w:p>
            <w:pPr>
              <w:spacing w:after="0"/>
              <w:rPr>
                <w:sz w:val="1"/>
                <w:szCs w:val="1"/>
                <w:color w:val="auto"/>
              </w:rPr>
            </w:pP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(851,839)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(170,647)</w:t>
            </w:r>
          </w:p>
        </w:tc>
        <w:tc>
          <w:tcPr>
            <w:tcW w:w="0" w:type="dxa"/>
            <w:vAlign w:val="bottom"/>
          </w:tcPr>
          <w:p>
            <w:pPr>
              <w:spacing w:after="0"/>
              <w:rPr>
                <w:sz w:val="1"/>
                <w:szCs w:val="1"/>
                <w:color w:val="auto"/>
              </w:rPr>
            </w:pPr>
          </w:p>
        </w:tc>
      </w:tr>
      <w:tr>
        <w:trPr>
          <w:trHeight w:val="210"/>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(123,295)</w:t>
            </w: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cost method investment</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0" w:type="dxa"/>
            <w:vAlign w:val="bottom"/>
          </w:tcPr>
          <w:p>
            <w:pPr>
              <w:spacing w:after="0"/>
              <w:rPr>
                <w:sz w:val="1"/>
                <w:szCs w:val="1"/>
                <w:color w:val="auto"/>
              </w:rPr>
            </w:pPr>
          </w:p>
        </w:tc>
      </w:tr>
      <w:tr>
        <w:trPr>
          <w:trHeight w:val="20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(1,005,636)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(206,920)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(293,154)</w:t>
            </w:r>
          </w:p>
        </w:tc>
        <w:tc>
          <w:tcPr>
            <w:tcW w:w="0" w:type="dxa"/>
            <w:vAlign w:val="bottom"/>
          </w:tcPr>
          <w:p>
            <w:pPr>
              <w:spacing w:after="0"/>
              <w:rPr>
                <w:sz w:val="1"/>
                <w:szCs w:val="1"/>
                <w:color w:val="auto"/>
              </w:rPr>
            </w:pP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debt borrowings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0" w:type="dxa"/>
            <w:vAlign w:val="bottom"/>
          </w:tcPr>
          <w:p>
            <w:pPr>
              <w:spacing w:after="0"/>
              <w:rPr>
                <w:sz w:val="1"/>
                <w:szCs w:val="1"/>
                <w:color w:val="auto"/>
              </w:rPr>
            </w:pPr>
          </w:p>
        </w:tc>
      </w:tr>
      <w:tr>
        <w:trPr>
          <w:trHeight w:val="210"/>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w:t>
            </w: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0" w:type="dxa"/>
            <w:vAlign w:val="bottom"/>
          </w:tcPr>
          <w:p>
            <w:pPr>
              <w:spacing w:after="0"/>
              <w:rPr>
                <w:sz w:val="1"/>
                <w:szCs w:val="1"/>
                <w:color w:val="auto"/>
              </w:rPr>
            </w:pPr>
          </w:p>
        </w:tc>
      </w:tr>
      <w:tr>
        <w:trPr>
          <w:trHeight w:val="210"/>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contingent consideration</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the exercise of share based awards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0"/>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the public offering of Class A Common Stock</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496,231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922,304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(10,116)</w:t>
            </w:r>
          </w:p>
        </w:tc>
        <w:tc>
          <w:tcPr>
            <w:tcW w:w="0" w:type="dxa"/>
            <w:vAlign w:val="bottom"/>
          </w:tcPr>
          <w:p>
            <w:pPr>
              <w:spacing w:after="0"/>
              <w:rPr>
                <w:sz w:val="1"/>
                <w:szCs w:val="1"/>
                <w:color w:val="auto"/>
              </w:rPr>
            </w:pPr>
          </w:p>
        </w:tc>
      </w:tr>
      <w:tr>
        <w:trPr>
          <w:trHeight w:val="204"/>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37,343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(120,533)</w:t>
            </w: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154,342</w:t>
            </w:r>
          </w:p>
        </w:tc>
        <w:tc>
          <w:tcPr>
            <w:tcW w:w="0" w:type="dxa"/>
            <w:vAlign w:val="bottom"/>
          </w:tcPr>
          <w:p>
            <w:pPr>
              <w:spacing w:after="0"/>
              <w:rPr>
                <w:sz w:val="1"/>
                <w:szCs w:val="1"/>
                <w:color w:val="auto"/>
              </w:rPr>
            </w:pPr>
          </w:p>
        </w:tc>
      </w:tr>
      <w:tr>
        <w:trPr>
          <w:trHeight w:val="204"/>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220,912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71,152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33,809</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0"/>
        </w:trPr>
        <w:tc>
          <w:tcPr>
            <w:tcW w:w="7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7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21,003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19,025</w:t>
            </w:r>
          </w:p>
        </w:tc>
      </w:tr>
      <w:tr>
        <w:trPr>
          <w:trHeight w:val="210"/>
        </w:trPr>
        <w:tc>
          <w:tcPr>
            <w:tcW w:w="7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Income tax payments, net</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10,109</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2,798</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1,438</w:t>
            </w:r>
          </w:p>
        </w:tc>
      </w:tr>
      <w:tr>
        <w:trPr>
          <w:trHeight w:val="21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8"/>
        </w:trPr>
        <w:tc>
          <w:tcPr>
            <w:tcW w:w="7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Non-current assets acquired through long-term financing obligations</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12,322</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11,919</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20,753</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00" w:lineRule="exact"/>
        <w:rPr>
          <w:sz w:val="20"/>
          <w:szCs w:val="20"/>
          <w:color w:val="auto"/>
        </w:rPr>
      </w:pPr>
    </w:p>
    <w:p>
      <w:pPr>
        <w:spacing w:after="0" w:line="237" w:lineRule="exact"/>
        <w:rPr>
          <w:sz w:val="20"/>
          <w:szCs w:val="20"/>
          <w:color w:val="auto"/>
        </w:rPr>
      </w:pPr>
    </w:p>
    <w:p>
      <w:pPr>
        <w:ind w:left="360" w:hanging="354"/>
        <w:spacing w:after="0"/>
        <w:tabs>
          <w:tab w:leader="none" w:pos="3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1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Casella Waste Systems, Inc. (“Parent”) and its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spacing w:after="0" w:line="6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 xml:space="preserve">We provide integrated solid waste services in nine states: Vermont, New Hampshire, New York, Massachusetts, Connecticut, Maine, Pennsylvania, Delaware and Maryland, with our headquarters located in Rutland, Vermont. On June 30, 2023, we acquired the equity interests of four wholly owned subsidiaries of GFL Environmental Inc. ("GFL Subsidiaries"), which are the basis of our newly formed regional operating segment, the Mid-Atlantic region, that expanded our integrated solid waste services into the states of Delaware and Maryland ("GFL Acquisition"). See Note 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for further disclosure. Operations under the Mid-Atlantic region commenced on July 1, 2023. The GFL Acquisition was funded from financing transactions (see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disclosure), the net proceeds from an equity offering completed June 16, 2023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further disclosure) and cash on hand.</w:t>
      </w:r>
    </w:p>
    <w:p>
      <w:pPr>
        <w:spacing w:after="0" w:line="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ACCOUNTING CHANGES</w:t>
      </w:r>
    </w:p>
    <w:p>
      <w:pPr>
        <w:spacing w:after="0" w:line="1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table provides a brief description of a recent Accounting Standards Update ("ASU") to the Accounting Standards Codification ("ASC") issued by the Financial Accounting Standards Board (“FASB”) that we adopted and is deemed to have a possible material impact on our consolidated financial statements based on current account balances and activity:</w:t>
      </w:r>
    </w:p>
    <w:p>
      <w:pPr>
        <w:sectPr>
          <w:pgSz w:w="11900" w:h="16838" w:orient="portrait"/>
          <w:cols w:equalWidth="0" w:num="1">
            <w:col w:w="11180"/>
          </w:cols>
          <w:pgMar w:left="320" w:top="116" w:right="399" w:bottom="1440" w:gutter="0" w:footer="0" w:header="0"/>
        </w:sectPr>
      </w:pP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20688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68830" cy="8255"/>
                    </a:xfrm>
                    <a:prstGeom prst="rect">
                      <a:avLst/>
                    </a:prstGeom>
                    <a:noFill/>
                  </pic:spPr>
                </pic:pic>
              </a:graphicData>
            </a:graphic>
          </wp:anchor>
        </w:drawing>
      </w:r>
    </w:p>
    <w:p>
      <w:pPr>
        <w:spacing w:after="0" w:line="78" w:lineRule="exact"/>
        <w:rPr>
          <w:sz w:val="20"/>
          <w:szCs w:val="20"/>
          <w:color w:val="auto"/>
        </w:rPr>
      </w:pPr>
    </w:p>
    <w:p>
      <w:pPr>
        <w:ind w:left="20"/>
        <w:spacing w:after="0" w:line="232" w:lineRule="auto"/>
        <w:rPr>
          <w:sz w:val="20"/>
          <w:szCs w:val="20"/>
          <w:color w:val="auto"/>
        </w:rPr>
      </w:pPr>
      <w:r>
        <w:rPr>
          <w:rFonts w:ascii="Times New Roman" w:cs="Times New Roman" w:eastAsia="Times New Roman" w:hAnsi="Times New Roman"/>
          <w:sz w:val="17"/>
          <w:szCs w:val="17"/>
          <w:color w:val="auto"/>
        </w:rPr>
        <w:t>ASU No. 2020-04: Reference Rate Reform (Topic 848), as amended through December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0770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77085" cy="8255"/>
                    </a:xfrm>
                    <a:prstGeom prst="rect">
                      <a:avLst/>
                    </a:prstGeom>
                    <a:noFill/>
                  </pic:spPr>
                </pic:pic>
              </a:graphicData>
            </a:graphic>
          </wp:anchor>
        </w:drawing>
      </w:r>
    </w:p>
    <w:p>
      <w:pPr>
        <w:spacing w:after="0" w:line="7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7"/>
          <w:szCs w:val="17"/>
          <w:color w:val="auto"/>
        </w:rPr>
        <w:t>Provides temporary optional guidance to ease the potential burden in applying GAAP to</w:t>
      </w:r>
    </w:p>
    <w:p>
      <w:pPr>
        <w:spacing w:after="0" w:line="1" w:lineRule="exact"/>
        <w:rPr>
          <w:sz w:val="20"/>
          <w:szCs w:val="20"/>
          <w:color w:val="auto"/>
        </w:rPr>
      </w:pPr>
    </w:p>
    <w:p>
      <w:pPr>
        <w:ind w:right="300"/>
        <w:spacing w:after="0" w:line="217" w:lineRule="auto"/>
        <w:rPr>
          <w:sz w:val="20"/>
          <w:szCs w:val="20"/>
          <w:color w:val="auto"/>
        </w:rPr>
      </w:pPr>
      <w:r>
        <w:rPr>
          <w:rFonts w:ascii="Times New Roman" w:cs="Times New Roman" w:eastAsia="Times New Roman" w:hAnsi="Times New Roman"/>
          <w:sz w:val="17"/>
          <w:szCs w:val="17"/>
          <w:color w:val="auto"/>
        </w:rPr>
        <w:t>contract modifications and hedging relationships that reference London Inter-Bank Offered Rate ("LIBOR") or another</w:t>
      </w:r>
    </w:p>
    <w:p>
      <w:pPr>
        <w:spacing w:after="0" w:line="2"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7"/>
          <w:szCs w:val="17"/>
          <w:color w:val="auto"/>
        </w:rPr>
        <w:t>reference rate expected to be discontinued, subject to meeting certain criteria.</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Effect on the Financial Statements or Other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11430</wp:posOffset>
            </wp:positionV>
            <wp:extent cx="26593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59380" cy="8255"/>
                    </a:xfrm>
                    <a:prstGeom prst="rect">
                      <a:avLst/>
                    </a:prstGeom>
                    <a:noFill/>
                  </pic:spPr>
                </pic:pic>
              </a:graphicData>
            </a:graphic>
          </wp:anchor>
        </w:drawing>
      </w:r>
    </w:p>
    <w:p>
      <w:pPr>
        <w:spacing w:after="0" w:line="47" w:lineRule="exact"/>
        <w:rPr>
          <w:sz w:val="20"/>
          <w:szCs w:val="20"/>
          <w:color w:val="auto"/>
        </w:rPr>
      </w:pPr>
    </w:p>
    <w:p>
      <w:pPr>
        <w:ind w:right="420"/>
        <w:spacing w:after="0" w:line="232" w:lineRule="auto"/>
        <w:rPr>
          <w:sz w:val="20"/>
          <w:szCs w:val="20"/>
          <w:color w:val="auto"/>
        </w:rPr>
      </w:pPr>
      <w:r>
        <w:rPr>
          <w:rFonts w:ascii="Times New Roman" w:cs="Times New Roman" w:eastAsia="Times New Roman" w:hAnsi="Times New Roman"/>
          <w:sz w:val="17"/>
          <w:szCs w:val="17"/>
          <w:color w:val="auto"/>
        </w:rPr>
        <w:t>This guidance provides optional expedients and exceptions for applying GAAP to contracts, hedging</w:t>
      </w:r>
    </w:p>
    <w:p>
      <w:pPr>
        <w:spacing w:after="0" w:line="1"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7"/>
          <w:szCs w:val="17"/>
          <w:color w:val="auto"/>
        </w:rPr>
        <w:t>relationships and other transactions affected by reference rate reform if certain criteria are met. Effective the quarter ended March 31, 2023, we elected optional expedients</w:t>
      </w:r>
    </w:p>
    <w:p>
      <w:pPr>
        <w:spacing w:after="0" w:line="2" w:lineRule="exact"/>
        <w:rPr>
          <w:sz w:val="20"/>
          <w:szCs w:val="20"/>
          <w:color w:val="auto"/>
        </w:rPr>
      </w:pPr>
    </w:p>
    <w:p>
      <w:pPr>
        <w:ind w:right="160"/>
        <w:spacing w:after="0" w:line="217" w:lineRule="auto"/>
        <w:rPr>
          <w:sz w:val="20"/>
          <w:szCs w:val="20"/>
          <w:color w:val="auto"/>
        </w:rPr>
      </w:pPr>
      <w:r>
        <w:rPr>
          <w:rFonts w:ascii="Times New Roman" w:cs="Times New Roman" w:eastAsia="Times New Roman" w:hAnsi="Times New Roman"/>
          <w:sz w:val="17"/>
          <w:szCs w:val="17"/>
          <w:color w:val="auto"/>
        </w:rPr>
        <w:t>under this guidance that allowed us to maintain hedge effectiveness upon modifying contract terms related to reference rate reform in our amended and restated credit</w:t>
      </w:r>
    </w:p>
    <w:p>
      <w:pPr>
        <w:spacing w:after="0" w:line="2" w:lineRule="exact"/>
        <w:rPr>
          <w:sz w:val="20"/>
          <w:szCs w:val="20"/>
          <w:color w:val="auto"/>
        </w:rPr>
      </w:pPr>
    </w:p>
    <w:p>
      <w:pPr>
        <w:ind w:right="60"/>
        <w:spacing w:after="0" w:line="217" w:lineRule="auto"/>
        <w:rPr>
          <w:sz w:val="20"/>
          <w:szCs w:val="20"/>
          <w:color w:val="auto"/>
        </w:rPr>
      </w:pPr>
      <w:r>
        <w:rPr>
          <w:rFonts w:ascii="Times New Roman" w:cs="Times New Roman" w:eastAsia="Times New Roman" w:hAnsi="Times New Roman"/>
          <w:sz w:val="17"/>
          <w:szCs w:val="17"/>
          <w:color w:val="auto"/>
        </w:rPr>
        <w:t>agreement, dated as of December 22, 2021, as amended by the first amendment, dated as of February 9, 2023, the second amendment, dated as of February 9, 2023, and the</w:t>
      </w:r>
    </w:p>
    <w:p>
      <w:pPr>
        <w:spacing w:after="0" w:line="2" w:lineRule="exact"/>
        <w:rPr>
          <w:sz w:val="20"/>
          <w:szCs w:val="20"/>
          <w:color w:val="auto"/>
        </w:rPr>
      </w:pPr>
    </w:p>
    <w:p>
      <w:pPr>
        <w:jc w:val="both"/>
        <w:ind w:right="80"/>
        <w:spacing w:after="0" w:line="217" w:lineRule="auto"/>
        <w:rPr>
          <w:sz w:val="20"/>
          <w:szCs w:val="20"/>
          <w:color w:val="auto"/>
        </w:rPr>
      </w:pPr>
      <w:r>
        <w:rPr>
          <w:rFonts w:ascii="Times New Roman" w:cs="Times New Roman" w:eastAsia="Times New Roman" w:hAnsi="Times New Roman"/>
          <w:sz w:val="17"/>
          <w:szCs w:val="17"/>
          <w:color w:val="auto"/>
        </w:rPr>
        <w:t>third amendment, dated as of April 25, 2023, collectively with the specified acquisition loan joinder, dated May 25, 2023 ("Loan Joinder") (the "Amended and Restated</w:t>
      </w:r>
    </w:p>
    <w:p>
      <w:pPr>
        <w:spacing w:after="0" w:line="2" w:lineRule="exact"/>
        <w:rPr>
          <w:sz w:val="20"/>
          <w:szCs w:val="20"/>
          <w:color w:val="auto"/>
        </w:rPr>
      </w:pPr>
    </w:p>
    <w:p>
      <w:pPr>
        <w:ind w:right="80"/>
        <w:spacing w:after="0" w:line="205" w:lineRule="auto"/>
        <w:rPr>
          <w:sz w:val="20"/>
          <w:szCs w:val="20"/>
          <w:color w:val="auto"/>
        </w:rPr>
      </w:pPr>
      <w:r>
        <w:rPr>
          <w:rFonts w:ascii="Times New Roman" w:cs="Times New Roman" w:eastAsia="Times New Roman" w:hAnsi="Times New Roman"/>
          <w:sz w:val="18"/>
          <w:szCs w:val="18"/>
          <w:color w:val="auto"/>
        </w:rPr>
        <w:t>Credit Agreement") until we transitioned our interest rate derivative agreements from LIBOR to term secured overnight financing rate ("Term SOFR") in the quarter</w:t>
      </w:r>
    </w:p>
    <w:p>
      <w:pPr>
        <w:spacing w:after="0" w:line="1"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7"/>
          <w:szCs w:val="17"/>
          <w:color w:val="auto"/>
        </w:rPr>
        <w:t xml:space="preserve">ended June 30, 2023. See Note 12,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This guidance will be in effect through December 31, 2024.</w:t>
      </w:r>
    </w:p>
    <w:p>
      <w:pPr>
        <w:spacing w:after="0" w:line="127" w:lineRule="exact"/>
        <w:rPr>
          <w:sz w:val="20"/>
          <w:szCs w:val="20"/>
          <w:color w:val="auto"/>
        </w:rPr>
      </w:pPr>
    </w:p>
    <w:p>
      <w:pPr>
        <w:sectPr>
          <w:pgSz w:w="11900" w:h="16838" w:orient="portrait"/>
          <w:cols w:equalWidth="0" w:num="3">
            <w:col w:w="3140" w:space="380"/>
            <w:col w:w="3240" w:space="280"/>
            <w:col w:w="4140"/>
          </w:cols>
          <w:pgMar w:left="320" w:top="116" w:right="399" w:bottom="1440" w:gutter="0" w:footer="0" w:header="0"/>
          <w:type w:val="continuous"/>
        </w:sect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brief description of recent ASUs to the ASC issued by the FASB that are pending adoption and deemed to have a possible material impact on our consolidated financial statements based on current account balances and activity:</w:t>
      </w:r>
    </w:p>
    <w:tbl>
      <w:tblPr>
        <w:tblLayout w:type="fixed"/>
        <w:tblInd w:w="20" w:type="dxa"/>
        <w:tblCellMar>
          <w:top w:w="0" w:type="dxa"/>
          <w:left w:w="0" w:type="dxa"/>
          <w:bottom w:w="0" w:type="dxa"/>
          <w:right w:w="0" w:type="dxa"/>
        </w:tblCellMar>
      </w:tblPr>
      <w:tr>
        <w:trPr>
          <w:trHeight w:val="145"/>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96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780" w:type="dxa"/>
            <w:vAlign w:val="bottom"/>
          </w:tcPr>
          <w:p>
            <w:pPr>
              <w:jc w:val="center"/>
              <w:ind w:left="1069"/>
              <w:spacing w:after="0" w:line="145" w:lineRule="exact"/>
              <w:rPr>
                <w:sz w:val="20"/>
                <w:szCs w:val="20"/>
                <w:color w:val="auto"/>
              </w:rPr>
            </w:pPr>
            <w:r>
              <w:rPr>
                <w:rFonts w:ascii="Times New Roman" w:cs="Times New Roman" w:eastAsia="Times New Roman" w:hAnsi="Times New Roman"/>
                <w:sz w:val="14"/>
                <w:szCs w:val="14"/>
                <w:b w:val="1"/>
                <w:bCs w:val="1"/>
                <w:color w:val="auto"/>
              </w:rPr>
              <w:t>Effect on the Financial Statements or Other</w:t>
            </w:r>
          </w:p>
        </w:tc>
        <w:tc>
          <w:tcPr>
            <w:tcW w:w="0" w:type="dxa"/>
            <w:vAlign w:val="bottom"/>
          </w:tcPr>
          <w:p>
            <w:pPr>
              <w:spacing w:after="0"/>
              <w:rPr>
                <w:sz w:val="1"/>
                <w:szCs w:val="1"/>
                <w:color w:val="auto"/>
              </w:rPr>
            </w:pPr>
          </w:p>
        </w:tc>
      </w:tr>
      <w:tr>
        <w:trPr>
          <w:trHeight w:val="186"/>
        </w:trPr>
        <w:tc>
          <w:tcPr>
            <w:tcW w:w="2660" w:type="dxa"/>
            <w:vAlign w:val="bottom"/>
            <w:vMerge w:val="continue"/>
          </w:tcPr>
          <w:p>
            <w:pPr>
              <w:spacing w:after="0"/>
              <w:rPr>
                <w:sz w:val="16"/>
                <w:szCs w:val="16"/>
                <w:color w:val="auto"/>
              </w:rPr>
            </w:pPr>
          </w:p>
        </w:tc>
        <w:tc>
          <w:tcPr>
            <w:tcW w:w="3960" w:type="dxa"/>
            <w:vAlign w:val="bottom"/>
            <w:vMerge w:val="continue"/>
          </w:tcPr>
          <w:p>
            <w:pPr>
              <w:spacing w:after="0"/>
              <w:rPr>
                <w:sz w:val="16"/>
                <w:szCs w:val="16"/>
                <w:color w:val="auto"/>
              </w:rPr>
            </w:pPr>
          </w:p>
        </w:tc>
        <w:tc>
          <w:tcPr>
            <w:tcW w:w="3780" w:type="dxa"/>
            <w:vAlign w:val="bottom"/>
          </w:tcPr>
          <w:p>
            <w:pPr>
              <w:jc w:val="center"/>
              <w:ind w:left="1089"/>
              <w:spacing w:after="0"/>
              <w:rPr>
                <w:sz w:val="20"/>
                <w:szCs w:val="20"/>
                <w:color w:val="auto"/>
              </w:rPr>
            </w:pPr>
            <w:r>
              <w:rPr>
                <w:rFonts w:ascii="Times New Roman" w:cs="Times New Roman" w:eastAsia="Times New Roman" w:hAnsi="Times New Roman"/>
                <w:sz w:val="14"/>
                <w:szCs w:val="14"/>
                <w:b w:val="1"/>
                <w:bCs w:val="1"/>
                <w:color w:val="auto"/>
              </w:rPr>
              <w:t>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088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882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issued pending adoption as of December 31, 2023</w:t>
      </w:r>
    </w:p>
    <w:p>
      <w:pPr>
        <w:sectPr>
          <w:pgSz w:w="11900" w:h="16838" w:orient="portrait"/>
          <w:cols w:equalWidth="0" w:num="1">
            <w:col w:w="11180"/>
          </w:cols>
          <w:pgMar w:left="320" w:top="116" w:right="399" w:bottom="1440" w:gutter="0" w:footer="0" w:header="0"/>
          <w:type w:val="continuous"/>
        </w:sectPr>
      </w:pPr>
    </w:p>
    <w:p>
      <w:pPr>
        <w:spacing w:after="0" w:line="76"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7"/>
          <w:szCs w:val="17"/>
          <w:color w:val="auto"/>
        </w:rPr>
        <w:t>ASU No. 2023-07: Improvements to Reportable Segment Disclosures (Topic 280)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00"/>
        <w:spacing w:after="0" w:line="225" w:lineRule="auto"/>
        <w:rPr>
          <w:sz w:val="20"/>
          <w:szCs w:val="20"/>
          <w:color w:val="auto"/>
        </w:rPr>
      </w:pPr>
      <w:r>
        <w:rPr>
          <w:rFonts w:ascii="Times New Roman" w:cs="Times New Roman" w:eastAsia="Times New Roman" w:hAnsi="Times New Roman"/>
          <w:sz w:val="17"/>
          <w:szCs w:val="17"/>
          <w:color w:val="auto"/>
        </w:rPr>
        <w:t>Requires entities to provide additional disclosure related to the chief operating decision maker ("CODM") and reportable</w:t>
      </w:r>
    </w:p>
    <w:p>
      <w:pPr>
        <w:spacing w:after="0" w:line="2"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7"/>
          <w:szCs w:val="17"/>
          <w:color w:val="auto"/>
        </w:rPr>
        <w:t>operating segments, including providing more detailed information about reportable operating segment's significant expenses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 that information is used by the CODM.</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7"/>
          <w:szCs w:val="17"/>
          <w:color w:val="auto"/>
        </w:rPr>
        <w:t>We are currently assessing the provisions of this guidance and expect that its adoption will have an impact on reportable operating segment disclosures within our</w:t>
      </w:r>
    </w:p>
    <w:p>
      <w:pPr>
        <w:spacing w:after="0" w:line="2"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7"/>
          <w:szCs w:val="17"/>
          <w:color w:val="auto"/>
        </w:rPr>
        <w:t>consolidated financial statements and accompanying notes. This guidance is effective for fiscal years beginning after December 15, 2023, and interim periods within fiscal</w:t>
      </w:r>
    </w:p>
    <w:p>
      <w:pPr>
        <w:spacing w:after="0" w:line="2" w:lineRule="exact"/>
        <w:rPr>
          <w:sz w:val="20"/>
          <w:szCs w:val="20"/>
          <w:color w:val="auto"/>
        </w:rPr>
      </w:pPr>
    </w:p>
    <w:p>
      <w:pPr>
        <w:ind w:right="420"/>
        <w:spacing w:after="0" w:line="223" w:lineRule="auto"/>
        <w:rPr>
          <w:sz w:val="20"/>
          <w:szCs w:val="20"/>
          <w:color w:val="auto"/>
        </w:rPr>
      </w:pPr>
      <w:r>
        <w:rPr>
          <w:rFonts w:ascii="Times New Roman" w:cs="Times New Roman" w:eastAsia="Times New Roman" w:hAnsi="Times New Roman"/>
          <w:sz w:val="18"/>
          <w:szCs w:val="18"/>
          <w:color w:val="auto"/>
        </w:rPr>
        <w:t>years beginning after December 15, 2024, with early adoption permitted.</w:t>
      </w:r>
    </w:p>
    <w:p>
      <w:pPr>
        <w:spacing w:after="0" w:line="61" w:lineRule="exact"/>
        <w:rPr>
          <w:sz w:val="20"/>
          <w:szCs w:val="20"/>
          <w:color w:val="auto"/>
        </w:rPr>
      </w:pPr>
    </w:p>
    <w:p>
      <w:pPr>
        <w:sectPr>
          <w:pgSz w:w="11900" w:h="16838" w:orient="portrait"/>
          <w:cols w:equalWidth="0" w:num="3">
            <w:col w:w="3220" w:space="300"/>
            <w:col w:w="3180" w:space="340"/>
            <w:col w:w="4140"/>
          </w:cols>
          <w:pgMar w:left="320" w:top="116" w:right="399" w:bottom="1440" w:gutter="0" w:footer="0" w:header="0"/>
          <w:type w:val="continuous"/>
        </w:sectPr>
      </w:pPr>
    </w:p>
    <w:p>
      <w:pPr>
        <w:ind w:left="20"/>
        <w:spacing w:after="0" w:line="234" w:lineRule="auto"/>
        <w:rPr>
          <w:sz w:val="20"/>
          <w:szCs w:val="20"/>
          <w:color w:val="auto"/>
        </w:rPr>
      </w:pPr>
      <w:r>
        <w:rPr>
          <w:rFonts w:ascii="Times New Roman" w:cs="Times New Roman" w:eastAsia="Times New Roman" w:hAnsi="Times New Roman"/>
          <w:sz w:val="18"/>
          <w:szCs w:val="18"/>
          <w:color w:val="auto"/>
        </w:rPr>
        <w:t>ASU No. 2023-09: Improvements to Income Tax Disclosures (Topic 740)</w:t>
      </w:r>
    </w:p>
    <w:p>
      <w:pPr>
        <w:spacing w:after="0" w:line="20" w:lineRule="exact"/>
        <w:rPr>
          <w:sz w:val="20"/>
          <w:szCs w:val="20"/>
          <w:color w:val="auto"/>
        </w:rPr>
      </w:pPr>
      <w:r>
        <w:rPr>
          <w:sz w:val="20"/>
          <w:szCs w:val="20"/>
          <w:color w:val="auto"/>
        </w:rPr>
        <w:br w:type="column"/>
      </w:r>
    </w:p>
    <w:p>
      <w:pPr>
        <w:ind w:right="120"/>
        <w:spacing w:after="0" w:line="213" w:lineRule="auto"/>
        <w:rPr>
          <w:sz w:val="20"/>
          <w:szCs w:val="20"/>
          <w:color w:val="auto"/>
        </w:rPr>
      </w:pPr>
      <w:r>
        <w:rPr>
          <w:rFonts w:ascii="Times New Roman" w:cs="Times New Roman" w:eastAsia="Times New Roman" w:hAnsi="Times New Roman"/>
          <w:sz w:val="18"/>
          <w:szCs w:val="18"/>
          <w:color w:val="auto"/>
        </w:rPr>
        <w:t>Requires entities to provide additional disclosure related to the transparency and decision usefulness of income tax</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8"/>
          <w:szCs w:val="18"/>
          <w:color w:val="auto"/>
        </w:rPr>
        <w:t>disclosures, including additional disclosure around the rate reconciliation and income taxes paid,</w:t>
      </w:r>
    </w:p>
    <w:p>
      <w:pPr>
        <w:spacing w:after="0" w:line="20" w:lineRule="exact"/>
        <w:rPr>
          <w:sz w:val="20"/>
          <w:szCs w:val="20"/>
          <w:color w:val="auto"/>
        </w:rPr>
      </w:pPr>
      <w:r>
        <w:rPr>
          <w:sz w:val="20"/>
          <w:szCs w:val="20"/>
          <w:color w:val="auto"/>
        </w:rPr>
        <w:br w:type="column"/>
      </w:r>
    </w:p>
    <w:p>
      <w:pPr>
        <w:ind w:right="40"/>
        <w:spacing w:after="0" w:line="225" w:lineRule="auto"/>
        <w:rPr>
          <w:sz w:val="20"/>
          <w:szCs w:val="20"/>
          <w:color w:val="auto"/>
        </w:rPr>
      </w:pPr>
      <w:r>
        <w:rPr>
          <w:rFonts w:ascii="Times New Roman" w:cs="Times New Roman" w:eastAsia="Times New Roman" w:hAnsi="Times New Roman"/>
          <w:sz w:val="17"/>
          <w:szCs w:val="17"/>
          <w:color w:val="auto"/>
        </w:rPr>
        <w:t>We are currently assessing the provisions of this guidance and expect that its adoption will have an impact on income tax disclosures within our consolidated financial</w:t>
      </w:r>
    </w:p>
    <w:p>
      <w:pPr>
        <w:spacing w:after="0" w:line="2" w:lineRule="exact"/>
        <w:rPr>
          <w:sz w:val="20"/>
          <w:szCs w:val="20"/>
          <w:color w:val="auto"/>
        </w:rPr>
      </w:pPr>
    </w:p>
    <w:p>
      <w:pPr>
        <w:jc w:val="both"/>
        <w:ind w:right="280"/>
        <w:spacing w:after="0" w:line="215" w:lineRule="auto"/>
        <w:rPr>
          <w:sz w:val="20"/>
          <w:szCs w:val="20"/>
          <w:color w:val="auto"/>
        </w:rPr>
      </w:pPr>
      <w:r>
        <w:rPr>
          <w:rFonts w:ascii="Times New Roman" w:cs="Times New Roman" w:eastAsia="Times New Roman" w:hAnsi="Times New Roman"/>
          <w:sz w:val="18"/>
          <w:szCs w:val="18"/>
          <w:color w:val="auto"/>
        </w:rPr>
        <w:t>statements and accompanying notes. This guidance is effective for fiscal years beginning after December 15, 2024, with early adoption permitted.</w:t>
      </w:r>
    </w:p>
    <w:p>
      <w:pPr>
        <w:spacing w:after="0" w:line="200" w:lineRule="exact"/>
        <w:rPr>
          <w:sz w:val="20"/>
          <w:szCs w:val="20"/>
          <w:color w:val="auto"/>
        </w:rPr>
      </w:pPr>
    </w:p>
    <w:p>
      <w:pPr>
        <w:sectPr>
          <w:pgSz w:w="11900" w:h="16838" w:orient="portrait"/>
          <w:cols w:equalWidth="0" w:num="3">
            <w:col w:w="3200" w:space="320"/>
            <w:col w:w="3060" w:space="460"/>
            <w:col w:w="4140"/>
          </w:cols>
          <w:pgMar w:left="320" w:top="11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hanging="354"/>
        <w:spacing w:after="0"/>
        <w:tabs>
          <w:tab w:leader="none" w:pos="3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Estimates and Assumptions</w:t>
      </w:r>
    </w:p>
    <w:p>
      <w:pPr>
        <w:spacing w:after="0" w:line="11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some cases, these estimates are difficult to determine, and we must exercise significant judgment. In preparing our consolidated financial statements, the estimates and assumptions that we consider to be significant and that present the greatest amount of uncertainty relate to our accounting for landfills, environmental remediation liabilities, asset impairments, if applicable, goodwill recoverability assessment, accounts receivable valuation allowance for credit losses, self-insurance reserves, deferred taxes and uncertain tax positions, estimates of the fair values of assets acquired and liabilities assumed in any acquisition, contingent liabilities and stock-based compensation. Each of these items is discussed in more detail elsewhere in these notes to the consolidated financial statements, as applicable. Actual results may differ materially from the estimates and assumptions that we use in the preparation of our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investments purchased with original maturities of three months or less to be cash equivalents.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1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of cash and cash equivalents, restricted investment securities, accounts receivable and derivative instruments. We maintain cash and cash equivalents and restricted investment securities with banks that at times exceed applicable insurance limits. We reduce our exposure to credit risk by maintaining such deposits with high quality financial institutions. Our concentration of credit risk with respect to accounts receivable is limited because of the large number and diversity of customers we serve, thus reducing the credit risk associated with any one customer group. As of December 31, 2023, no single customer or customer group represented greater than 5% of total accounts receivable. We manage credit risk through credit evaluations, credit limits, and monitoring procedures, but generally do not require collateral to support accounts receivable. We reduce our exposure to credit risk associated with derivative instruments by entering into agreements with high quality financial institutions and by evaluating and regularly monitoring their creditworthiness.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 of Allowance for Credit Losses</w:t>
      </w:r>
    </w:p>
    <w:p>
      <w:pPr>
        <w:spacing w:after="0" w:line="1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Accounts receivable represent receivables from customers for collection, transfer, recycling, disposal and other services. Our accounts receivable are recorded when billed or when related revenue is earned, if earlier, and represent claims against third-parties that will be settled in cash. The carrying value of our accounts receivable, net of allowance for credit losses represents its estimated net realizable value. Estimates are used in determining our allowance for credit losses based on, among other things, our historical loss trends, the age of outstanding accounts receivable, and current and expected economic conditions. Our reserve is evaluated and revised on a monthly basis. Past due accounts receivable are written off when deemed to be uncollectible. See Note 6, </w:t>
      </w:r>
      <w:r>
        <w:rPr>
          <w:rFonts w:ascii="Times New Roman" w:cs="Times New Roman" w:eastAsia="Times New Roman" w:hAnsi="Times New Roman"/>
          <w:sz w:val="18"/>
          <w:szCs w:val="18"/>
          <w:i w:val="1"/>
          <w:iCs w:val="1"/>
          <w:color w:val="auto"/>
        </w:rPr>
        <w:t>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Net of Allowance for Credit Losses </w:t>
      </w:r>
      <w:r>
        <w:rPr>
          <w:rFonts w:ascii="Times New Roman" w:cs="Times New Roman" w:eastAsia="Times New Roman" w:hAnsi="Times New Roman"/>
          <w:sz w:val="18"/>
          <w:szCs w:val="18"/>
          <w:color w:val="auto"/>
        </w:rPr>
        <w:t>for disclosure over allowance for credit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includes secondary fibers, recyclables ready for sale, and parts and supplies. Inventory is stated at the lower of cost (first-in, first-out) or market.</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1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Property and equipment is recorded at cost, less accumulated depreciation and amortization. We provide for depreciation and amortization using the straight-line method by charges to operations in amounts that allocate the cost of the assets over their estimated useful lives as follows:</w:t>
      </w:r>
    </w:p>
    <w:tbl>
      <w:tblPr>
        <w:tblLayout w:type="fixed"/>
        <w:tblInd w:w="0" w:type="dxa"/>
        <w:tblCellMar>
          <w:top w:w="0" w:type="dxa"/>
          <w:left w:w="0" w:type="dxa"/>
          <w:bottom w:w="0" w:type="dxa"/>
          <w:right w:w="0" w:type="dxa"/>
        </w:tblCellMar>
      </w:tblPr>
      <w:tr>
        <w:trPr>
          <w:trHeight w:val="147"/>
        </w:trPr>
        <w:tc>
          <w:tcPr>
            <w:tcW w:w="8280" w:type="dxa"/>
            <w:vAlign w:val="bottom"/>
            <w:gridSpan w:val="2"/>
            <w:vMerge w:val="restart"/>
          </w:tcPr>
          <w:p>
            <w:pPr>
              <w:ind w:left="3500"/>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25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8280" w:type="dxa"/>
            <w:vAlign w:val="bottom"/>
            <w:gridSpan w:val="2"/>
            <w:vMerge w:val="continue"/>
          </w:tcPr>
          <w:p>
            <w:pPr>
              <w:spacing w:after="0"/>
              <w:rPr>
                <w:sz w:val="16"/>
                <w:szCs w:val="16"/>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25"/>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10-30 years</w:t>
            </w:r>
          </w:p>
        </w:tc>
        <w:tc>
          <w:tcPr>
            <w:tcW w:w="0" w:type="dxa"/>
            <w:vAlign w:val="bottom"/>
          </w:tcPr>
          <w:p>
            <w:pPr>
              <w:spacing w:after="0"/>
              <w:rPr>
                <w:sz w:val="1"/>
                <w:szCs w:val="1"/>
                <w:color w:val="auto"/>
              </w:rPr>
            </w:pPr>
          </w:p>
        </w:tc>
      </w:tr>
      <w:tr>
        <w:trPr>
          <w:trHeight w:val="226"/>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5-10 years</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Rolling stock</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5-10 years</w:t>
            </w:r>
          </w:p>
        </w:tc>
        <w:tc>
          <w:tcPr>
            <w:tcW w:w="0" w:type="dxa"/>
            <w:vAlign w:val="bottom"/>
          </w:tcPr>
          <w:p>
            <w:pPr>
              <w:spacing w:after="0"/>
              <w:rPr>
                <w:sz w:val="1"/>
                <w:szCs w:val="1"/>
                <w:color w:val="auto"/>
              </w:rPr>
            </w:pPr>
          </w:p>
        </w:tc>
      </w:tr>
      <w:tr>
        <w:trPr>
          <w:trHeight w:val="226"/>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Containers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5-12 years</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 years</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maintenance and repairs is charged to operations as incurred.</w:t>
      </w:r>
    </w:p>
    <w:p>
      <w:pPr>
        <w:spacing w:after="0" w:line="11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Landfill development costs are included in property and equipment. Landfill development costs include costs to develop each of our landfill sites, including such costs related to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Additionally, landfill development costs include all land purchases within the landfill footprint and the purchase of any required landfill buffer property. Under life-cycle accounting, these costs are capitalized and charged to expense based on tonnage placed into each site. See the “</w:t>
      </w:r>
      <w:r>
        <w:rPr>
          <w:rFonts w:ascii="Times New Roman" w:cs="Times New Roman" w:eastAsia="Times New Roman" w:hAnsi="Times New Roman"/>
          <w:sz w:val="18"/>
          <w:szCs w:val="18"/>
          <w:i w:val="1"/>
          <w:iCs w:val="1"/>
          <w:color w:val="auto"/>
        </w:rPr>
        <w:t>Landfill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accounting policy below for additional disclosure about the amortization of landfill development costs and Note 7,</w:t>
      </w:r>
      <w:r>
        <w:rPr>
          <w:rFonts w:ascii="Times New Roman" w:cs="Times New Roman" w:eastAsia="Times New Roman" w:hAnsi="Times New Roman"/>
          <w:sz w:val="18"/>
          <w:szCs w:val="18"/>
          <w:i w:val="1"/>
          <w:iCs w:val="1"/>
          <w:color w:val="auto"/>
        </w:rPr>
        <w:t xml:space="preserve"> Property and Equipment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about property and 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Accounting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 Cycle Accounting</w:t>
      </w:r>
    </w:p>
    <w:p>
      <w:pPr>
        <w:spacing w:after="0" w:line="11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Landfill Development Costs</w:t>
      </w:r>
    </w:p>
    <w:p>
      <w:pPr>
        <w:spacing w:after="0" w:line="11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estimate the total cost to develop each of our landfill sites to its remaining permitted and expansion capacity (see landfill development costs discussed within the “</w:t>
      </w: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 accounting policy above).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 Interest capitalized during the fiscal years ended December 31, 2023 ("fiscal year 2023"), December 31, 2022 ("fiscal year 2022") and December 31, 2021 ("fiscal year 2021") was $643, $330 and $718,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Landfill Airspace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apply the following guidelines in determining a landfill’s remaining permitted and expansion airspace:</w:t>
      </w:r>
    </w:p>
    <w:p>
      <w:pPr>
        <w:spacing w:after="0" w:line="11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Remaining Permitted Airspace. </w:t>
      </w:r>
      <w:r>
        <w:rPr>
          <w:rFonts w:ascii="Times New Roman" w:cs="Times New Roman" w:eastAsia="Times New Roman" w:hAnsi="Times New Roman"/>
          <w:sz w:val="18"/>
          <w:szCs w:val="18"/>
          <w:color w:val="auto"/>
        </w:rPr>
        <w:t>Our engineers, in consultation with third-party engineering consultants and surveyors, are responsible for determining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permitted airspace at our landfills. The remaining permitted airspace is determined by an annual survey, which is then used to compare the existing landfill topography to the expected final landfill topography.</w:t>
      </w:r>
    </w:p>
    <w:p>
      <w:pPr>
        <w:spacing w:after="0" w:line="67" w:lineRule="exact"/>
        <w:rPr>
          <w:sz w:val="20"/>
          <w:szCs w:val="20"/>
          <w:color w:val="auto"/>
        </w:rPr>
      </w:pPr>
    </w:p>
    <w:p>
      <w:pPr>
        <w:ind w:right="760"/>
        <w:spacing w:after="0" w:line="277" w:lineRule="auto"/>
        <w:rPr>
          <w:sz w:val="20"/>
          <w:szCs w:val="20"/>
          <w:color w:val="auto"/>
        </w:rPr>
      </w:pPr>
      <w:r>
        <w:rPr>
          <w:rFonts w:ascii="Times New Roman" w:cs="Times New Roman" w:eastAsia="Times New Roman" w:hAnsi="Times New Roman"/>
          <w:sz w:val="18"/>
          <w:szCs w:val="18"/>
          <w:i w:val="1"/>
          <w:iCs w:val="1"/>
          <w:color w:val="auto"/>
        </w:rPr>
        <w:t>Expansion Airspace</w:t>
      </w:r>
      <w:r>
        <w:rPr>
          <w:rFonts w:ascii="Times New Roman" w:cs="Times New Roman" w:eastAsia="Times New Roman" w:hAnsi="Times New Roman"/>
          <w:sz w:val="18"/>
          <w:szCs w:val="18"/>
          <w:color w:val="auto"/>
        </w:rPr>
        <w:t>. We currently include unpermitted expansion airspace in our estimate of remaining permitted and expansion airspace in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To be considered expansion airspace all of the following criteria must be met:</w:t>
      </w:r>
    </w:p>
    <w:p>
      <w:pPr>
        <w:spacing w:after="0" w:line="3" w:lineRule="exact"/>
        <w:rPr>
          <w:sz w:val="20"/>
          <w:szCs w:val="20"/>
          <w:color w:val="auto"/>
        </w:rPr>
      </w:pPr>
    </w:p>
    <w:p>
      <w:pPr>
        <w:ind w:left="480" w:hanging="314"/>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control the land on which the expansion is sought;</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technical siting criteria have been met or a variance has been obtained or is reasonably expected to be obtained;</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identified any legal or political impediments which we believe will not be resolved in our favor;</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actively working on obtaining any necessary permits and we expect that all required permits will be received; and</w:t>
      </w:r>
    </w:p>
    <w:p>
      <w:pPr>
        <w:spacing w:after="0" w:line="58" w:lineRule="exact"/>
        <w:rPr>
          <w:rFonts w:ascii="Times New Roman" w:cs="Times New Roman" w:eastAsia="Times New Roman" w:hAnsi="Times New Roman"/>
          <w:sz w:val="18"/>
          <w:szCs w:val="18"/>
          <w:color w:val="auto"/>
        </w:rPr>
      </w:pPr>
    </w:p>
    <w:p>
      <w:pPr>
        <w:ind w:left="480" w:right="140" w:hanging="314"/>
        <w:spacing w:after="0" w:line="275" w:lineRule="auto"/>
        <w:tabs>
          <w:tab w:leader="none" w:pos="4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has approved the project based on a review of the engineering design and determination that the financial return profile meets our investment criteria.</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w:t>
      </w:r>
    </w:p>
    <w:p>
      <w:pPr>
        <w:spacing w:after="0" w:line="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spacing w:after="0" w:line="7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Final Capping, Closure and Post-Closure Costs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landfill asset retirement activities and related accounting:</w:t>
      </w:r>
    </w:p>
    <w:p>
      <w:pPr>
        <w:spacing w:after="0" w:line="11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Final Capping Costs. </w:t>
      </w:r>
      <w:r>
        <w:rPr>
          <w:rFonts w:ascii="Times New Roman" w:cs="Times New Roman" w:eastAsia="Times New Roman" w:hAnsi="Times New Roman"/>
          <w:sz w:val="18"/>
          <w:szCs w:val="18"/>
          <w:color w:val="auto"/>
        </w:rPr>
        <w:t>Final capping activities include the installation of liners, drainage, compacted soil layers and topsoil over areas of a landfill where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spacing w:after="0" w:line="7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Closure and Post-Closure Costs. </w:t>
      </w:r>
      <w:r>
        <w:rPr>
          <w:rFonts w:ascii="Times New Roman" w:cs="Times New Roman" w:eastAsia="Times New Roman" w:hAnsi="Times New Roman"/>
          <w:sz w:val="18"/>
          <w:szCs w:val="18"/>
          <w:color w:val="auto"/>
        </w:rPr>
        <w:t>Closure and post-closure costs represent future estimated costs related to monitoring and maintenance of a solid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airspace.</w:t>
      </w:r>
    </w:p>
    <w:p>
      <w:pPr>
        <w:spacing w:after="0" w:line="8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Our estimated future final capping, closure and post-closure costs, based on our interpretation of current requirements and proposed regulatory changes, are intended to approximate fair value. Absent quoted market prices, our cost estimates are based on historical experience, professional engineering judgment and quoted or actual prices paid for similar work. Our estimate of costs to discharge final capping, closure and post-closure asset retirement obligations for landfills are developed in today’s dollars. These costs are then inflated to the period of performance using an estimate of inflation, which is updated annually (2.4% as of December 31, 2023). Final capping, closure and post-closure liabilities are then discounted using the credit adjusted risk-free rate in effect at the time the obligation is incurred. The weighted average rate applicable to our asset retirement obligations as of December 31, 2023 is between approximately 6.1% and 10.0%, the range of the credit adjusted risk free rates effective since the adoption of guidance associated with asset retirement obligations in the fiscal year ended April 30, 2004. Accretion expense is necessary to increase the accrued final capping, closure and post-closure liabilities to the future anticipated obligation. To accomplish this, we accrete our final capping, closure and post-closure accrual balances using the same credit-adjusted risk-free rate that was used to calculate the recorded liability. Accretion expense on recorded landfill liabilities is recorded to cost of operations from the time the liability is recognized until the costs are paid. Accretion expense on recorded landfill liabilities amounted to $9,529, $7,565 and $6,775 in fiscal years 2023, 2022 and 2021, respectively.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We provide for the accrual and amortization of estimated future obligations for closure and post-closure based on tonnage placed into each site. With regards to final capping, the liability is recognized, and the costs are amortized based on the remaining airspace related to the specific final capping event. See Note 10, </w:t>
      </w:r>
      <w:r>
        <w:rPr>
          <w:rFonts w:ascii="Times New Roman" w:cs="Times New Roman" w:eastAsia="Times New Roman" w:hAnsi="Times New Roman"/>
          <w:sz w:val="18"/>
          <w:szCs w:val="18"/>
          <w:i w:val="1"/>
          <w:iCs w:val="1"/>
          <w:color w:val="auto"/>
        </w:rPr>
        <w:t>Final Capping, Closure and Post-Closure Costs</w:t>
      </w:r>
      <w:r>
        <w:rPr>
          <w:rFonts w:ascii="Times New Roman" w:cs="Times New Roman" w:eastAsia="Times New Roman" w:hAnsi="Times New Roman"/>
          <w:sz w:val="18"/>
          <w:szCs w:val="18"/>
          <w:color w:val="auto"/>
        </w:rPr>
        <w:t xml:space="preserve"> for disclosure about asset retirement obligations related to final capping, closure and post-closure costs and Note 18, </w:t>
      </w:r>
      <w:r>
        <w:rPr>
          <w:rFonts w:ascii="Times New Roman" w:cs="Times New Roman" w:eastAsia="Times New Roman" w:hAnsi="Times New Roman"/>
          <w:sz w:val="18"/>
          <w:szCs w:val="18"/>
          <w:i w:val="1"/>
          <w:iCs w:val="1"/>
          <w:color w:val="auto"/>
        </w:rPr>
        <w:t>Other Items and Charges</w:t>
      </w:r>
      <w:r>
        <w:rPr>
          <w:rFonts w:ascii="Times New Roman" w:cs="Times New Roman" w:eastAsia="Times New Roman" w:hAnsi="Times New Roman"/>
          <w:sz w:val="18"/>
          <w:szCs w:val="18"/>
          <w:color w:val="auto"/>
        </w:rPr>
        <w:t xml:space="preserve"> for disclosure about the write-off of historical payments for capping work associated with a veneer failure at a Subtitle D landfill we operate located in Seneca, New York ("Ontario County Landfill").</w:t>
      </w:r>
    </w:p>
    <w:p>
      <w:pPr>
        <w:spacing w:after="0" w:line="7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We operate in states which require a certain portion of landfill final capping, closure and post-closure obligations to be secured by financial assurance, which may take the form of surety bonds, letters of credit and restricted investment securities. Surety bonds securing closure and post-closure obligations at December 31, 2023 and December 31, 2022 totaled $241,728 and $231,871, respectively. There are no letters of credit securing closure and post-closure obligations as of December 31, 2023 and December 31, 2022. See Note 15,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disclosure about restricted investment securities securing closure and post-closure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Accounting</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lease vehicles, equipment, property and other non-core equipment in the ordinary course of our business. Leases are classified as either operating leases or finance leases, as appropriate. Our leases have varying terms and may include renewal or purchase options, escalation clauses, restrictions, lease concessions, capital project funding, penalties or other obligations that we consider in determining minimum rental payments. We recognize lease expense for operating leases on a straight-line basis over the lease term. We recognize depreciation expense for finance leases over either the useful life of the asset or the lease term based on the terms of the lease agreement.</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also party to three landfill operation and management agreements that we account for as operating leases. These agreements are long-term landfill operating contracts with government bodies whereby we receive tipping revenue, pay normal operating expenses and assume future final capping, closure and post-closure obligations. The government bodies retain ownership of each landfill. There are no bargain purchase options and title to each of the properties does not pass to us at the end of the respective lease terms. We allocate the consideration paid to the landfill airspace rights and underlying land lease based on the relative fair values.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up-front or one-time payments, the landfill operating agreements may require us to make future minimum rental payments, including success or expansion fees, other direct costs and final capping, closure and post-closure costs. The value of all future minimum rental payments is amortized and charged to cost of operations over the life of the contract. We amortize the consideration allocated to airspace rights as airspace is utilized on a units-of-consumption basis and such amortization is charged to cost of operations as airspace is consumed (e.g., as tons are placed into the landfill). The underlying value of any land lease is amortized to cost of operations on a straight-line basis over the estimated life of the respective operating agreement.</w:t>
      </w:r>
    </w:p>
    <w:p>
      <w:pPr>
        <w:spacing w:after="0" w:line="7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 xml:space="preserve">We recognize a right-of-use asset and a lease liability for core leases classified as operating leases with a term in excess of 12 months in our consolidated balance sheets. For other non-core operating leases, which are comprised of small-dollar-value items such as office equipment, we expense these costs in the period incurred rather than capitalizing such expenditures on our consolidated balance sheets. We identify lease and nonlease components in a contract to which consideration in the contract will be allocated. We may elect by class of underlying asset to choose not to separate nonlease components from lease components and instead account for each separate lease component and the nonlease components in a contract as part of the single lease component. We have elected to not separate lease components from nonlease components for property leases and are, therefore, not allocating consideration between lease and nonlease components for this asset class. Lease payments include: fixed payments, including in-substance fixed payments, less any lease incentives paid or payable to the lessee; variable lease payments that depend on an index or a rate; exercise price of a purchase option reasonably certain to be exercised; penalties for terminating a lease; and amounts where it is probable that we will owe under a residual value guarantee. Refundable deposits are not considered to be a fixed payment. Variable lease costs that are not based on an index or a rate are recorded to expense in the period incurred. Lease term is determined at lease commencement and includes any noncancellable period for which we have the right to use the underlying asset together with any periods covered by an option to extend or terminate the lease if we are reasonably certain to exercise the option to extend or not to exercise the option to terminate. The initial determination of a lease liability is calculated as the net present value of the lease payments not yet paid. The discount rate used to determine present value is the rate implicit in the lease, if present, or, if not present, our incremental borrowing rate, which is a rate that reflects interest that we would have to pay to borrow funds on a collateralized basis over a similar term to the lease and in a similar economic environment. For shorter term leases, such as vehicle and equipment leases, we calculate our incremental borrowing rate using the interest rate from our existing secured line of credit, adjusted based on term. For longer term leases, such as our landfill operating leases, we calculate our incremental borrowing rate based on an industry yield curve with a similar credit rating, adjusted by a company specific spread as determined by a third-party. See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disclosure about lease costs and other lease information.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1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the excess of our purchase consideration over the fair value of the net assets of acquired businesses. We do not amortize goodwill,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discussed in the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 xml:space="preserve">” accounting policy below, we assess our goodwill for impairment at least annually. See Note 9,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for disclosure about goodwill.</w:t>
      </w:r>
    </w:p>
    <w:p>
      <w:pPr>
        <w:spacing w:after="0" w:line="6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Intangible assets consist primarily of covenants not-to-compete, customer relationships, and trade names. Intangible assets are recorded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fair value and are amortized based on the economic benefit provided or using the sum of years digits or straight-line methods over their estimated useful lives. Covenants not-to-compete, customer relationships and trade names are typically amortized over a term of no more than 10 years. See Note 9,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for disclosure about intangible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Unconsolidated Entities</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Investments in unconsolidated entities over which we have significant influence over the investees’ operating and financing activities are accounted for under the equity method of accounting. As of December 31, 2023 and December 31, 2022, we had no investments accounted for under the equity method of accounting. Investments in affiliates in which we do not have the ability to exert significant influence over the investees’ operating and financing activities are accounted for under the cost method of accounting. As of December 31, 2023 and December 31, 2022, we had cost method investments totaling $10,967 and $10,967, respectively.</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w:t>
      </w:r>
    </w:p>
    <w:p>
      <w:pPr>
        <w:spacing w:after="0" w:line="6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When we assess the carrying value of our investments for potential impairment, determining the fair value of our investments is reliant upon the availability of market information and/or other information provided by third-parties to be able to develop an estimate of fair value. Considerable judgment is required in interpreting market data to develop the estimates of fair value. Accordingly, our estimates are not necessarily indicative of the amounts that we, or other holders of these investments, could realize in a current market exchange. The use of different assumptions and/or estimation methodologies could have a significant effect on the estimated fair values. The estimates of fair value could differ significantly from the amounts presented. See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 xml:space="preserve"> accounting policy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Our financial instruments may include cash and cash equivalents, accounts receivable, restricted investment securities held in trust on deposit with various banks as collateral for our obligations relative to our landfill final capping, closure and post-closure costs, interest rate derivatives, contingent consideration related to acquisitions, trade payables and debt. Accounting standards include disclosure requirements around fair values used for certain financial instruments and establish a fair value hierarchy. The three-tier hierarchy prioritizes valuation inputs into three levels based on the extent to which inputs used in measuring fair value are observable in the market. Each fair value measurement is reported in one of three levels: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 See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for fair value disclosure about debt and financial instruments, respectively. See the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policy below for the fair value disclosure about interest rate derivatives.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4"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We acquire businesses in the waste industry, including non-hazardous waste collection, transfer station, recycling and disposal operations, as part of our growth strategy. Businesses are included in the consolidated financial statements from the date of acquisition.</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 xml:space="preserve">We recognize, separately from goodwill, the identifiable assets acquired and liabilities assumed at their estimated acquisition-date fair values. We measure and recognize goodwill as of the acquisition date as the excess of: (a) the aggregate of the fair value of consideration transferred, the fair value of any noncontrolling interest in the acquiree (if any) and the acquisition date fair value of our previously held equity interest in the acquiree (if any), over (b) the fair value of net assets acquired and liabilities assumed. If information about facts and circumstances existing as of the acquisition date is incomplete by the end of the reporting period in which a business combination occurs, we will report provisional amounts for the items for which the accounting is incomplete. The measurement period ends once we receive the information we were seeking; however, this period will not extend beyond one year from the acquisition date. Any material adjustments recognized during the measurement period will be recognized in the consolidated financial statements in the reporting period in which the adjustment amounts are determined. All acquisition-related transaction and restructuring costs are to be expensed as incurred. See Note 5, </w:t>
      </w:r>
      <w:r>
        <w:rPr>
          <w:rFonts w:ascii="Times New Roman" w:cs="Times New Roman" w:eastAsia="Times New Roman" w:hAnsi="Times New Roman"/>
          <w:sz w:val="17"/>
          <w:szCs w:val="17"/>
          <w:i w:val="1"/>
          <w:iCs w:val="1"/>
          <w:color w:val="auto"/>
        </w:rPr>
        <w:t xml:space="preserve">Business Combinations </w:t>
      </w:r>
      <w:r>
        <w:rPr>
          <w:rFonts w:ascii="Times New Roman" w:cs="Times New Roman" w:eastAsia="Times New Roman" w:hAnsi="Times New Roman"/>
          <w:sz w:val="17"/>
          <w:szCs w:val="17"/>
          <w:color w:val="auto"/>
        </w:rPr>
        <w:t>and Note 18,</w:t>
      </w:r>
      <w:r>
        <w:rPr>
          <w:rFonts w:ascii="Times New Roman" w:cs="Times New Roman" w:eastAsia="Times New Roman" w:hAnsi="Times New Roman"/>
          <w:sz w:val="17"/>
          <w:szCs w:val="17"/>
          <w:i w:val="1"/>
          <w:iCs w:val="1"/>
          <w:color w:val="auto"/>
        </w:rPr>
        <w:t xml:space="preserve"> Other Items and Charges </w:t>
      </w:r>
      <w:r>
        <w:rPr>
          <w:rFonts w:ascii="Times New Roman" w:cs="Times New Roman" w:eastAsia="Times New Roman" w:hAnsi="Times New Roman"/>
          <w:sz w:val="17"/>
          <w:szCs w:val="17"/>
          <w:color w:val="auto"/>
        </w:rPr>
        <w:t>for disclosure about business acquisitions and acquisition related expense, respectively</w:t>
      </w:r>
      <w:r>
        <w:rPr>
          <w:rFonts w:ascii="Times New Roman" w:cs="Times New Roman" w:eastAsia="Times New Roman" w:hAnsi="Times New Roman"/>
          <w:sz w:val="17"/>
          <w:szCs w:val="17"/>
          <w:b w:val="1"/>
          <w:bCs w:val="1"/>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Liabilities</w:t>
      </w:r>
    </w:p>
    <w:p>
      <w:pPr>
        <w:spacing w:after="0" w:line="11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We have recorded environmental remediation liabilities representing our estimate of the most likely outcome of the matters for which we have determined that a liability is probable. These liabilities include potentially responsible party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estimate costs required to remediate sites where it is probable that a liability has been incurred based on site-specific facts and circumstances. Estimates of the cost for the likely remedy are developed using third-party environmental engineers or other service providers. Where we believe that both the amount of a particular environmental remediation liability and timing of payments are reliably determinable, we inflate the cost in current dollars until the expected time of payment and discount the cost to present value.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disclosure about environmental remediation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 Liabilities and Related Costs</w:t>
      </w:r>
    </w:p>
    <w:p>
      <w:pPr>
        <w:spacing w:after="0" w:line="11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are self-insured for vehicles and workers’ compensation with reinsurance coverage limiting our maximum exposure. In fiscal year 2023, our maximum exposure per individual event under the workers’ compensation plan was $1,250. In fiscal year 2023, our minimum and maximum exposure per individual event under the automobile plan were up to $1,750 and $3,875, respectively. The liability for unpaid claims and associated expenses, including incurred but not reported losses, is determined by management with the assistance of a third-party actuary and reflected in our consolidated balance sheets as an accrued liability. We use a third-party to track and evaluate actual claims experience for consistency with the data used in the annual actuarial valuation. The actuarial-determined liability is calculated based on historical data, which considers both the frequency and settlement amount of claims. Our self-insurance reserves totaled $22,427 and $22,184 as of December 31, 2023 and December 31, 2022, respectively. Our estimated accruals for these liabilities could be significantly different than our ultimate obligations if variables such as the frequency or severity of future events differ significantly from our assumptions.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spacing w:after="0" w:line="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We account for income tax uncertainties according to guidance on the recognition, derecognition and measurement of potential tax benefits associated with tax positions. We recognize interest and penalties relating to income tax matters as a component of income tax expense. See Note 17,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disclosure related to income taxes.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1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account for derivatives and hedging activities in accordance with derivatives and hedging accounting guidance that establishes accounting and reporting standards requiring that every derivative instrument (including certain derivative instruments embedded in other contracts) be recorded in the consolidated balance sheet as either an asset or liability measured at its fair value. The guidance requires that changes in the derivative’s fair value be recognized currently in earnings unless specific hedge accounting criteria are met.</w:t>
      </w:r>
    </w:p>
    <w:p>
      <w:pPr>
        <w:spacing w:after="0" w:line="74"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 xml:space="preserve">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income (loss),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 See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disclosure about interest rate derivatives and Note 15,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fair value disclosure about derivative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11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 xml:space="preserve">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 See Note 13,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for disclosure about loss contingencies, as applicable. Contingent liabilities accounted for under purchase accounting are recorded at their fair values. These fair values may be different from the values we would have otherwise recorded, had the contingent liability not been assumed as part of an acquisition of a business. See Note 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and Note 15, </w:t>
      </w:r>
      <w:r>
        <w:rPr>
          <w:rFonts w:ascii="Times New Roman" w:cs="Times New Roman" w:eastAsia="Times New Roman" w:hAnsi="Times New Roman"/>
          <w:sz w:val="17"/>
          <w:szCs w:val="17"/>
          <w:i w:val="1"/>
          <w:iCs w:val="1"/>
          <w:color w:val="auto"/>
        </w:rPr>
        <w:t xml:space="preserve">Fair Value of Financial Instruments </w:t>
      </w:r>
      <w:r>
        <w:rPr>
          <w:rFonts w:ascii="Times New Roman" w:cs="Times New Roman" w:eastAsia="Times New Roman" w:hAnsi="Times New Roman"/>
          <w:sz w:val="17"/>
          <w:szCs w:val="17"/>
          <w:color w:val="auto"/>
        </w:rPr>
        <w:t>for disclosure about contingent consideration accounted for under purchase accounting,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disaggregate our revenues by applicable service line: collection, landfill, transfer, transportation, landfill gas-to-energy, processing, and non-processing, which we refer to as our National Accounts business. Under the revenue recognition guidance, revenues are measured based on the consideration specified in a contract with a customer. The circumstances that impact the timing and amount of revenue recognized for each applicable service line may vary based on the nature of the service performed. We generally recognize revenues for services over time as we satisfy the performance obligation by transferring control over the service to the customer as the service is performed and the benefit is received and consumed by the customer. Services are typically delivered in a series as a single bundled performance obligation over either a designated period of time or for specified number of services. Services may also be delivered as a single bundled service, on a period-to-period basis, or in a spot transaction. Consideration may be variable on a per ton basis and/or fixed. Fixed consideration is allocated to each distinct service and variable consideration is allocated to the increment of time that the service is performed, and we have the contractual right to the fee. Fees are typically billed weekly, monthly, quarterly or in advance. Generally, the amount of consideration that we have the right to receive that is invoiced to the customer directly corresponds to the value of our performance completed to date. We do not disclose the amount of variable consideration included in the transaction price that is allocated to outstanding performance obligations when the variable consideration is allocated entirely to unsatisfied performance obligations or to a wholly unsatisfied promise to transfer a distinct good or service that forms part of a single performance obligation. Revenues that are not satisfied over time are recognized at a point-in-time. This typically includes the sale of recycled or organic materials, as well as renewable energy credits ("RECs"). Revenues from the sale of organic or recycled materials are recognized at a point-in-time as control of the materials transfers to the customer upon shipment or pick-up by the customer. Revenues from the sale of RECs are recognized at a point-in-time as the trade is executed and control transfers to the customer.</w:t>
      </w:r>
    </w:p>
    <w:p>
      <w:pPr>
        <w:spacing w:after="0" w:line="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Payments to customers that are not in exchange for a distinct good or service are recorded as a reduction of revenues. We make rebates to certain customers associated with payments for recycled or organic materials that are received and subsequently processed and sold to other third-parties. Rebates are generally recorded as a reduction of revenues upon the sale of such materials, or upon receipt of the recycled materials at our facilities. We did not record revenues in fiscal years 2023, 2022, or 2021 from performance obligations satisfied in previous periods.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Contract receivables, which are included in Accounts receivable, net, are recorded when billed or when related revenue is earned, if earlier, and represent claims against third-parties that will be settled in cash. Accounts receivable, net includes receivables from contracts of $158,931 and $102,234 as of December 31, 2023 and December 31, 2022, respectively. Certain customers are billed in advance and, accordingly, recognition of the related revenues for which payment has been received is deferred as a contract liability until the services are provided and control transferred to the customer. Contract liabilities of $31,472 and $3,742 as of December 31, 2023 and December 31, 2022, respectively, are presented separately on the consolidated balance sheets. Due to the short-term nature of advanced billings, substantially all of the deferred revenue recognized as a contract liability as of December 31, 2022 and December 31, 2021 was recognized as revenue during fiscal years 2023 and 2022, respectively, when the services were performed. See Note 4,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for disclosure over revenues by applicable service 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11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Recovery of Long-Lived Assets. </w:t>
      </w:r>
      <w:r>
        <w:rPr>
          <w:rFonts w:ascii="Times New Roman" w:cs="Times New Roman" w:eastAsia="Times New Roman" w:hAnsi="Times New Roman"/>
          <w:sz w:val="18"/>
          <w:szCs w:val="18"/>
          <w:color w:val="auto"/>
        </w:rPr>
        <w:t>We continually assess whether events or changes in circumstances have occurred that may warrant revision of the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lives of our long-lived assets (other than goodwill) or whether the remaining balances of those assets should be evaluated for possible impairment. Long-lived assets include, for example, capitalized landfill costs, property and equipment, identifiable intangible assets, and operating lease right-of-use assets. Events or changes in circumstances that may indicate that an asset may be impaired include the following:</w:t>
      </w:r>
    </w:p>
    <w:p>
      <w:pPr>
        <w:spacing w:after="0" w:line="20" w:lineRule="exact"/>
        <w:rPr>
          <w:sz w:val="20"/>
          <w:szCs w:val="20"/>
          <w:color w:val="auto"/>
        </w:rPr>
      </w:pPr>
    </w:p>
    <w:p>
      <w:pPr>
        <w:ind w:left="480" w:hanging="314"/>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market price of an asset or asset group;</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the extent or manner in which an asset or asset group is being used or in its physical condition;</w:t>
      </w:r>
    </w:p>
    <w:p>
      <w:pPr>
        <w:spacing w:after="0" w:line="58" w:lineRule="exact"/>
        <w:rPr>
          <w:rFonts w:ascii="Times New Roman" w:cs="Times New Roman" w:eastAsia="Times New Roman" w:hAnsi="Times New Roman"/>
          <w:sz w:val="18"/>
          <w:szCs w:val="18"/>
          <w:color w:val="auto"/>
        </w:rPr>
      </w:pPr>
    </w:p>
    <w:p>
      <w:pPr>
        <w:ind w:left="480" w:right="20" w:hanging="314"/>
        <w:spacing w:after="0" w:line="275" w:lineRule="auto"/>
        <w:tabs>
          <w:tab w:leader="none" w:pos="4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of an asset or asset group, including an adverse action or assessment by a regulator;</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accumulation of costs significantly in excess of the amount originally expected for the acquisition or construction of a long-lived asset;</w:t>
      </w:r>
    </w:p>
    <w:p>
      <w:pPr>
        <w:spacing w:after="0" w:line="58" w:lineRule="exact"/>
        <w:rPr>
          <w:rFonts w:ascii="Times New Roman" w:cs="Times New Roman" w:eastAsia="Times New Roman" w:hAnsi="Times New Roman"/>
          <w:sz w:val="18"/>
          <w:szCs w:val="18"/>
          <w:color w:val="auto"/>
        </w:rPr>
      </w:pPr>
    </w:p>
    <w:p>
      <w:pPr>
        <w:ind w:left="480" w:right="420" w:hanging="314"/>
        <w:spacing w:after="0" w:line="275" w:lineRule="auto"/>
        <w:tabs>
          <w:tab w:leader="none" w:pos="4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4" w:lineRule="exact"/>
        <w:rPr>
          <w:rFonts w:ascii="Times New Roman" w:cs="Times New Roman" w:eastAsia="Times New Roman" w:hAnsi="Times New Roman"/>
          <w:sz w:val="18"/>
          <w:szCs w:val="18"/>
          <w:color w:val="auto"/>
        </w:rPr>
      </w:pPr>
    </w:p>
    <w:p>
      <w:pPr>
        <w:ind w:left="480" w:hanging="314"/>
        <w:spacing w:after="0" w:line="275" w:lineRule="auto"/>
        <w:tabs>
          <w:tab w:leader="none" w:pos="4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expectation that, more likely than not, a long-lived asset or asset group will be sold or otherwise disposed of significantly before the end of its previously estimated useful life; or</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goodwill at a reporting unit.</w:t>
      </w:r>
    </w:p>
    <w:p>
      <w:pPr>
        <w:spacing w:after="0" w:line="11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spacing w:after="0" w:line="74"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w:t>
      </w:r>
    </w:p>
    <w:p>
      <w:pPr>
        <w:spacing w:after="0" w:line="6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We annually assess goodwill for impairment during the fourth quarter of our fiscal year or more frequently if events or circumstances indicate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may exist.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may assess whether a goodwill impairment exists using either a qualitative or a quantitative assessment. If we perform a qualitative assessment, it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 If the qualitative assessment indicates that it is more likely than not that the fair value of a reporting unit is less than its carrying amount, or if we elect not to perform a qualitative assessment, we perform a quantitative assessment to determine whether goodwill impairment exists at the reporting unit.</w:t>
      </w:r>
    </w:p>
    <w:p>
      <w:pPr>
        <w:spacing w:after="0" w:line="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testing for goodwill impairment, we estimate the fair value of each reporting unit, which we have determined to be our geographic operating segments and our Resource Solutions operating segment, and compare the fair value with the carrying value of the net assets of each reporting unit. If the fair value is less than its carrying value, then we would recognize an impairment charge for the amount by which the carrying amount exceeds the reporting unit's fair value, noting that the amount is not to exceed the total amount of goodwill allocated to that reporting unit.</w:t>
      </w:r>
    </w:p>
    <w:p>
      <w:pPr>
        <w:spacing w:after="0" w:line="7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spacing w:after="0" w:line="7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If the fair value of goodwill is less than its carrying value for a reporting unit, an impairment charge would be recorded to earnings. The loss recognized cannot exceed the carrying amount of goodwill. After a goodwill impairment loss is recognized, the adjusted carrying amount of goodwill becomes its new accounting basis.</w:t>
      </w:r>
    </w:p>
    <w:p>
      <w:pPr>
        <w:spacing w:after="0" w:line="69"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In addition to an annual goodwill impairment assessment, we would evaluate a reporting unit for impairment if events or circumstances change between annual tests indicating a possible impairment. Examples of such events or circumstances include the following:</w:t>
      </w:r>
    </w:p>
    <w:p>
      <w:pPr>
        <w:spacing w:after="0" w:line="4" w:lineRule="exact"/>
        <w:rPr>
          <w:sz w:val="20"/>
          <w:szCs w:val="20"/>
          <w:color w:val="auto"/>
        </w:rPr>
      </w:pPr>
    </w:p>
    <w:p>
      <w:pPr>
        <w:ind w:left="480" w:hanging="314"/>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status or in the business climate;</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action or assessment by a regulator;</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likely than not expectation that an operating segment or a significant portion thereof will be sold; or</w:t>
      </w:r>
    </w:p>
    <w:p>
      <w:pPr>
        <w:spacing w:after="0" w:line="5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testing for recoverability of a significant asset group within the operating segment.</w:t>
      </w:r>
    </w:p>
    <w:p>
      <w:pPr>
        <w:spacing w:after="0" w:line="1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elected to perform a quantitative analysis as part of our annual goodwill impairment test for fiscal year 2023. As of October 1, 2023, our Eastern, Western, Mid-Atlantic and Resource Solutions reporting units indicated that the fair value of each reporting unit exceeded its carrying amount, including goodwill. In the case of our Eastern, Western and Resource Solutions reporting units, the fair value of each reporting unit exceeded its carrying value by in excess of 30%. In the case of our Mid-Atlantic reporting unit, the fair value of the reporting unit exceeded its carrying value by approximately 10% due to the proximity of the acquisition date. We incurred no impairment of goodwill as a result of our annual goodwill impairment tests in fiscal years 2023, 2022 or 2021. However, there can be no assurance that goodwill will not be impaired at any time in the future.</w:t>
      </w:r>
    </w:p>
    <w:p>
      <w:pPr>
        <w:spacing w:after="0" w:line="77"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Cost Method Investments. </w:t>
      </w:r>
      <w:r>
        <w:rPr>
          <w:rFonts w:ascii="Times New Roman" w:cs="Times New Roman" w:eastAsia="Times New Roman" w:hAnsi="Times New Roman"/>
          <w:sz w:val="18"/>
          <w:szCs w:val="18"/>
          <w:color w:val="auto"/>
        </w:rPr>
        <w:t>We monitor and assess the carrying value of our cost method investments throughout the year for potential impairment and write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 down to their fair value when other-than-temporary declines exist. We incurred no impairment of cost method investments in fiscal year 2023, 2022 or 2021. There can be no assurance that our cost method investments will not be impaired at any time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w:t>
      </w:r>
    </w:p>
    <w:p>
      <w:pPr>
        <w:spacing w:after="0" w:line="11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 xml:space="preserve">We make contributions to one qualified multiemployer defined benefit pension plan ("Pension Plan"). The Pension Plan provides retirement benefits to participants based on their service. We do not administer this plan. The Pension Plan’s benefit formula is based on credited years of service and hours worked as defined in the Pension Plan document. Our pension contributions are made in accordance with funding standards established by the Employee Retirement Income Security Act of 1974 and the Internal Revenue Code, as amended by the Pension Protection Act of 2006. The Pension Plan’s assets have been invested as determined by the Pension Plan's fiduciaries in accordance with the Pension Plan's investment policy. The Pension Plan’s asset allocation is based on the Pension Plan's investment policy and is reviewed as deemed necessary. See Note 16, </w:t>
      </w:r>
      <w:r>
        <w:rPr>
          <w:rFonts w:ascii="Times New Roman" w:cs="Times New Roman" w:eastAsia="Times New Roman" w:hAnsi="Times New Roman"/>
          <w:sz w:val="17"/>
          <w:szCs w:val="17"/>
          <w:i w:val="1"/>
          <w:iCs w:val="1"/>
          <w:color w:val="auto"/>
        </w:rPr>
        <w:t>Employee Benefit Plans</w:t>
      </w:r>
      <w:r>
        <w:rPr>
          <w:rFonts w:ascii="Times New Roman" w:cs="Times New Roman" w:eastAsia="Times New Roman" w:hAnsi="Times New Roman"/>
          <w:sz w:val="17"/>
          <w:szCs w:val="17"/>
          <w:color w:val="auto"/>
        </w:rPr>
        <w:t xml:space="preserve"> for disclosure about the Pension Plan.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Our equity awards granted generally consist of stock options, restricted stock awards, restricted stock units and market-based performance stock units. The fair value of each stock option grant is estimated using a Black-Scholes option-pricing model. The fair value of restricted stock award and restricted stock unit grants is at a price equal to the fair market value of our Class A common stock at the date of grant. Compensation expense associated with our stock options, restricted stock awards and restricted stock units is recognized as expense in general and administration expense over the employee’s requisite service period. The fair value of market-based performance stock unit grants is valued using a Monte Carlo pricing model and compensation expense is recognized as expense in general and administration expense ratably over the performance period based on our estimated achievement of the established performance criteria. For purposes of calculating stock-based compensation expense, forfeitures are accounted for as they occur.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disclosure about stock-based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Basic earnings per share is computed by dividing net income by the weighted average number of common shares outstanding during the period. Diluted earnings per share is computed by dividing net income by the combined weighted average number of common shares outstanding during the period and potentially dilutive shares. Dilutive shares include the assumed exercise of employee stock options, unvested restricted stock awards, unvested restricted stock units and unvested market-based performance stock units based on the expected achievement of performance targets. In computing diluted earnings per share, we utilize the treasury stock method. See Note 19,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for disclosure about the calculation of earnings per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evaluated subsequent events or transactions that have occurred after the consolidated balance sheet date of December 31, 2023 through the date of this filing of the consolidated financial statements with the SEC on this Annual Report on Form 10-K and determined that, except as disclosed, there have been no material subsequent events that have occurred since December 31, 2023 through the date of this filing that would require recognition or disclosure in our consolidated financial statements.</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14"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We disaggregate our revenues by applicable service line as follows: collection, landfill, transfer, transportation, landfill gas-to-energy, processing and National Accounts.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Collection</w:t>
      </w:r>
    </w:p>
    <w:p>
      <w:pPr>
        <w:spacing w:after="0" w:line="114"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Collection revenues are principally generated by providing waste collection and disposal services to our customers. Services may be provided as needed or as scheduled.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Landfill</w:t>
      </w:r>
    </w:p>
    <w:p>
      <w:pPr>
        <w:spacing w:after="0" w:line="1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Landfill disposal services primarily consist of receiving some form of acceptable solid waste materials at one of our landfills and appropriately disposing of it. Landfill customers are typically charged a tipping fee on a per ton basis for disposing of their solid waste at our disposal facilities. In general, these fees are variable in nature.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station</w:t>
      </w:r>
    </w:p>
    <w:p>
      <w:pPr>
        <w:spacing w:after="0" w:line="1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Transfer station disposal services primarily consist of receiving some form of acceptable solid waste materials at one of our transfer stations and appropriately disposing of it by transporting it to an appropriate disposal site. Transfer station customers are charged a tipping fee on a per ton basis for disposing of their solid waste at our transfer stations. In general, these fees are variable in nature.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Transportation</w:t>
      </w:r>
    </w:p>
    <w:p>
      <w:pPr>
        <w:spacing w:after="0" w:line="114"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Transportation services consist of the transportation of large volumes of waste or recycled materials from a customer designated location to another location or disposal facility. Transportation customers are charged a fee on a per ton basis for transporting and/or disposal of the materials. In general, these fees are variable in nature.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Landfill gas-to-energy</w:t>
      </w:r>
    </w:p>
    <w:p>
      <w:pPr>
        <w:spacing w:after="0" w:line="114"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Landfill gas-to-energy services primarily consist of the generation and sale of electricity from landfill gas-to-energy facilities located at certain of our landfills; the reservation of electric generating capacity to be used by a customer on demand; and the sale of RECs.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w:t>
      </w:r>
    </w:p>
    <w:p>
      <w:pPr>
        <w:spacing w:after="0" w:line="11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Processing services consist of the receipt of recycled, sludge or other organic materials at one of our materials recovery, processing or disposal facilities, where it is then sorted, mixed and/or processed, and then disposed of or sold. Revenues from processing services are derived from customers in the form of processing fees, tipping fees, and commodity sales, primarily comprised of newspaper, corrugated containers, plastics, ferrous and aluminum, and organic materials such as our earthlife® soils products including fertilizers, composts and mulches.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Accounts</w:t>
      </w:r>
    </w:p>
    <w:p>
      <w:pPr>
        <w:spacing w:after="0" w:line="1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In brokerage arrangements, we act as an agent that facilitates the sale of recyclable materials between an inbound customer and an outbound customer. Revenues from the brokerage of recycled materials are recognized on a net basis at the time of shipment. In general, these fees are variable in nature.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table of revenues disaggregated by service line and timing of revenue recognition by operating segment follows: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8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Mid-Atlantic (1)</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80" w:type="dxa"/>
            <w:vAlign w:val="bottom"/>
          </w:tcPr>
          <w:p>
            <w:pPr>
              <w:spacing w:after="0"/>
              <w:rPr>
                <w:sz w:val="16"/>
                <w:szCs w:val="16"/>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 Revenues</w:t>
            </w:r>
          </w:p>
        </w:tc>
      </w:tr>
      <w:tr>
        <w:trPr>
          <w:trHeight w:val="24"/>
        </w:trPr>
        <w:tc>
          <w:tcPr>
            <w:tcW w:w="4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710,590</w:t>
            </w:r>
          </w:p>
        </w:tc>
      </w:tr>
      <w:tr>
        <w:trPr>
          <w:trHeight w:val="22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101,001</w:t>
            </w:r>
          </w:p>
        </w:tc>
      </w:tr>
      <w:tr>
        <w:trPr>
          <w:trHeight w:val="22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122,955</w:t>
            </w:r>
          </w:p>
        </w:tc>
      </w:tr>
      <w:tr>
        <w:trPr>
          <w:trHeight w:val="22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20,626</w:t>
            </w:r>
          </w:p>
        </w:tc>
      </w:tr>
      <w:tr>
        <w:trPr>
          <w:trHeight w:val="22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w:t>
            </w:r>
          </w:p>
        </w:tc>
      </w:tr>
      <w:tr>
        <w:trPr>
          <w:trHeight w:val="22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115,951</w:t>
            </w:r>
          </w:p>
        </w:tc>
      </w:tr>
      <w:tr>
        <w:trPr>
          <w:trHeight w:val="33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186,802</w:t>
            </w:r>
          </w:p>
        </w:tc>
      </w:tr>
      <w:tr>
        <w:trPr>
          <w:trHeight w:val="21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374,463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511,640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85,640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292,799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1,264,542</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3"/>
        </w:trPr>
        <w:tc>
          <w:tcPr>
            <w:tcW w:w="4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37,848</w:t>
            </w:r>
          </w:p>
        </w:tc>
      </w:tr>
      <w:tr>
        <w:trPr>
          <w:trHeight w:val="22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374,000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1,226,694</w:t>
            </w:r>
          </w:p>
        </w:tc>
      </w:tr>
      <w:tr>
        <w:trPr>
          <w:trHeight w:val="21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374,463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85,640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292,799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1,264,542</w:t>
            </w:r>
          </w:p>
        </w:tc>
      </w:tr>
      <w:tr>
        <w:trPr>
          <w:trHeight w:val="20"/>
        </w:trPr>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640" w:hanging="634"/>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under the Mid-Atlantic region commenced July 1,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8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Mid-Atlantic (1)</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80" w:type="dxa"/>
            <w:vAlign w:val="bottom"/>
          </w:tcPr>
          <w:p>
            <w:pPr>
              <w:spacing w:after="0"/>
              <w:rPr>
                <w:sz w:val="16"/>
                <w:szCs w:val="16"/>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 Revenues</w:t>
            </w:r>
          </w:p>
        </w:tc>
      </w:tr>
      <w:tr>
        <w:trPr>
          <w:trHeight w:val="24"/>
        </w:trPr>
        <w:tc>
          <w:tcPr>
            <w:tcW w:w="4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539,587</w:t>
            </w:r>
          </w:p>
        </w:tc>
      </w:tr>
      <w:tr>
        <w:trPr>
          <w:trHeight w:val="22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97,542</w:t>
            </w:r>
          </w:p>
        </w:tc>
      </w:tr>
      <w:tr>
        <w:trPr>
          <w:trHeight w:val="22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110,562</w:t>
            </w:r>
          </w:p>
        </w:tc>
      </w:tr>
      <w:tr>
        <w:trPr>
          <w:trHeight w:val="22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19,867</w:t>
            </w:r>
          </w:p>
        </w:tc>
      </w:tr>
      <w:tr>
        <w:trPr>
          <w:trHeight w:val="22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r>
      <w:tr>
        <w:trPr>
          <w:trHeight w:val="22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129,179</w:t>
            </w:r>
          </w:p>
        </w:tc>
      </w:tr>
      <w:tr>
        <w:trPr>
          <w:trHeight w:val="33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180,833</w:t>
            </w:r>
          </w:p>
        </w:tc>
      </w:tr>
      <w:tr>
        <w:trPr>
          <w:trHeight w:val="21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340,058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445,153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299,878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1,085,089</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3"/>
        </w:trPr>
        <w:tc>
          <w:tcPr>
            <w:tcW w:w="4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55,335</w:t>
            </w:r>
          </w:p>
        </w:tc>
      </w:tr>
      <w:tr>
        <w:trPr>
          <w:trHeight w:val="22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1,029,754</w:t>
            </w:r>
          </w:p>
        </w:tc>
      </w:tr>
      <w:tr>
        <w:trPr>
          <w:trHeight w:val="21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340,058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445,153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299,878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1,085,089</w:t>
            </w:r>
          </w:p>
        </w:tc>
      </w:tr>
      <w:tr>
        <w:trPr>
          <w:trHeight w:val="20"/>
        </w:trPr>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640" w:hanging="634"/>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under the Mid-Atlantic region commenced July 1,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Mid-Atlantic (1)</w:t>
            </w:r>
          </w:p>
        </w:tc>
        <w:tc>
          <w:tcPr>
            <w:tcW w:w="12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80" w:type="dxa"/>
            <w:vAlign w:val="bottom"/>
          </w:tcPr>
          <w:p>
            <w:pPr>
              <w:spacing w:after="0"/>
              <w:rPr>
                <w:sz w:val="16"/>
                <w:szCs w:val="16"/>
                <w:color w:val="auto"/>
              </w:rPr>
            </w:pP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 Revenues</w:t>
            </w:r>
          </w:p>
        </w:tc>
      </w:tr>
      <w:tr>
        <w:trPr>
          <w:trHeight w:val="24"/>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442,685</w:t>
            </w: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91,973</w:t>
            </w:r>
          </w:p>
        </w:tc>
      </w:tr>
      <w:tr>
        <w:trPr>
          <w:trHeight w:val="22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91,282</w:t>
            </w: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13,730</w:t>
            </w:r>
          </w:p>
        </w:tc>
      </w:tr>
      <w:tr>
        <w:trPr>
          <w:trHeight w:val="22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w:t>
            </w: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102,604</w:t>
            </w:r>
          </w:p>
        </w:tc>
      </w:tr>
      <w:tr>
        <w:trPr>
          <w:trHeight w:val="33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141,799</w:t>
            </w: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264,569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389,520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235,122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889,211</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3"/>
        </w:trPr>
        <w:tc>
          <w:tcPr>
            <w:tcW w:w="3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65,551</w:t>
            </w:r>
          </w:p>
        </w:tc>
      </w:tr>
      <w:tr>
        <w:trPr>
          <w:trHeight w:val="22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823,660</w:t>
            </w: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264,569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389,520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235,122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889,211</w:t>
            </w:r>
          </w:p>
        </w:tc>
      </w:tr>
      <w:tr>
        <w:trPr>
          <w:trHeight w:val="20"/>
        </w:trPr>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640" w:hanging="634"/>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under the Mid-Atlantic region commenced July 1, 2023.</w:t>
      </w:r>
    </w:p>
    <w:p>
      <w:pPr>
        <w:spacing w:after="0" w:line="216" w:lineRule="exact"/>
        <w:rPr>
          <w:sz w:val="20"/>
          <w:szCs w:val="20"/>
          <w:color w:val="auto"/>
        </w:rPr>
      </w:pPr>
    </w:p>
    <w:p>
      <w:pPr>
        <w:ind w:left="360" w:hanging="354"/>
        <w:spacing w:after="0"/>
        <w:tabs>
          <w:tab w:leader="none" w:pos="3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1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fiscal year 2023, we acquired seven businesses: the GFL Subsidiaries, which includes solid waste collection, transfer and recycling operations in Pennsylvania, Maryland and Delaware; the assets of Consolidated Waste Services, LLC and its affiliates (dba Twin Bridges), which was completed on September 1, 2023, consisting of a collection, transfer and recycling business in the greater Albany, New York area ("Twin Bridges Acquisition"); and five additional solid waste collection businesses that provide collection, transfer and recycling services.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year 2022, we acquired fourteen businesses primarily related to our solid waste collection, transfer, recycling and transportation operations.</w:t>
      </w:r>
    </w:p>
    <w:p>
      <w:pPr>
        <w:spacing w:after="0" w:line="112" w:lineRule="exact"/>
        <w:rPr>
          <w:sz w:val="20"/>
          <w:szCs w:val="20"/>
          <w:color w:val="auto"/>
        </w:rPr>
      </w:pPr>
    </w:p>
    <w:p>
      <w:pPr>
        <w:jc w:val="both"/>
        <w:ind w:right="480"/>
        <w:spacing w:after="0" w:line="261" w:lineRule="auto"/>
        <w:rPr>
          <w:sz w:val="20"/>
          <w:szCs w:val="20"/>
          <w:color w:val="auto"/>
        </w:rPr>
      </w:pPr>
      <w:r>
        <w:rPr>
          <w:rFonts w:ascii="Times New Roman" w:cs="Times New Roman" w:eastAsia="Times New Roman" w:hAnsi="Times New Roman"/>
          <w:sz w:val="18"/>
          <w:szCs w:val="18"/>
          <w:color w:val="auto"/>
        </w:rPr>
        <w:t>In fiscal year 2021, we acquired ten businesses primarily related to our solid-waste collection, transfer and recycling operations, including a residential, commercial and roll-off collection business in eastern Connecticut that operates a rail-served construction and demolition processing and waste transfer facility, a waste transfer station, a single-stream recycling facility, and several other recycling operations.</w:t>
      </w:r>
    </w:p>
    <w:p>
      <w:pPr>
        <w:spacing w:after="0" w:line="6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operating results of these businesses are included in the accompanying audited consolidated statements of operations from each date of acquisition. Due to the integration of certain of these businesses within our existing market areas, it is not practicable to segregate the revenue and earnings of all of the acquired businesses since their respective acquisitions dates.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The purchase price has been allocated to the net assets acquired based on fair values at each date of acquisition with the residual amounts recorded as goodwill. Purchase price allocations are based on information existing at the acquisition dates or upon closing the transactions, including contingent consideration. See Note 15,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further disclosure about contingent consideration. Acquired intangible assets other than goodwill that are subject to amortization may include customer relationships, trade names and covenants not-to-compete. These are amortized over a two to ten-year period from the date of acquisition.</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Goodwill acquired is primarily associated with the value of projected discounted cash flows, based on the current and anticipated operating performance of the business, in excess of the specific values allocated to other assets, new growth opportunities from the expansion of our geographic operating footprint into the Mid-Atlantic market in fiscal year 2023, and expected synergies from combining the acquired businesses with our existing operations and implementing our operating strategies. Substantially all amounts recorded to goodwill are expected to be deductible for tax purposes.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purchase price paid and the purchase price allocation for acquisitions follows:</w:t>
      </w:r>
    </w:p>
    <w:p>
      <w:pPr>
        <w:spacing w:after="0" w:line="39"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used in acquisitions, net of cash acquired</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846,711</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76,573</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166,489</w:t>
            </w:r>
          </w:p>
        </w:tc>
      </w:tr>
      <w:tr>
        <w:trPr>
          <w:trHeight w:val="22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non-cash consideration</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Open working capital settlements due from sellers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Holdbacks, additional consideration owed to sellers and contingent consideration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r>
      <w:tr>
        <w:trPr>
          <w:trHeight w:val="21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171,683</w:t>
            </w:r>
          </w:p>
        </w:tc>
      </w:tr>
      <w:tr>
        <w:trPr>
          <w:trHeight w:val="22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Allocated as follows: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9"/>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14"/>
                <w:szCs w:val="14"/>
                <w:color w:val="auto"/>
              </w:rPr>
              <w:t>(1)</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w:t>
            </w:r>
          </w:p>
        </w:tc>
      </w:tr>
      <w:tr>
        <w:trPr>
          <w:trHeight w:val="22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6"/>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26"/>
        </w:trPr>
        <w:tc>
          <w:tcPr>
            <w:tcW w:w="7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Finance lease right-of-use-assets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31,467</w:t>
            </w:r>
          </w:p>
        </w:tc>
      </w:tr>
      <w:tr>
        <w:trPr>
          <w:trHeight w:val="226"/>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11,046</w:t>
            </w:r>
          </w:p>
        </w:tc>
      </w:tr>
      <w:tr>
        <w:trPr>
          <w:trHeight w:val="226"/>
        </w:trPr>
        <w:tc>
          <w:tcPr>
            <w:tcW w:w="7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Machinery, equipment and other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46,396</w:t>
            </w:r>
          </w:p>
        </w:tc>
      </w:tr>
      <w:tr>
        <w:trPr>
          <w:trHeight w:val="22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2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6"/>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 names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w:t>
            </w:r>
          </w:p>
        </w:tc>
      </w:tr>
      <w:tr>
        <w:trPr>
          <w:trHeight w:val="226"/>
        </w:trPr>
        <w:tc>
          <w:tcPr>
            <w:tcW w:w="7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Covenants not-to-compete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26"/>
        </w:trPr>
        <w:tc>
          <w:tcPr>
            <w:tcW w:w="7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36,195</w:t>
            </w:r>
          </w:p>
        </w:tc>
      </w:tr>
      <w:tr>
        <w:trPr>
          <w:trHeight w:val="22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r>
      <w:tr>
        <w:trPr>
          <w:trHeight w:val="22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Financing lease liabilities, less current portion</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r>
      <w:tr>
        <w:trPr>
          <w:trHeight w:val="226"/>
        </w:trPr>
        <w:tc>
          <w:tcPr>
            <w:tcW w:w="7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133,751</w:t>
            </w:r>
          </w:p>
        </w:tc>
      </w:tr>
      <w:tr>
        <w:trPr>
          <w:trHeight w:val="21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purchase price to be allocated to goodwill</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461,159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37,932</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640" w:hanging="634"/>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contract receivables in fiscal year 2023, 2022 and 2021 of $17,002, $6,806 and $5,340, respectively.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2023, certain purchase price allocations reflected in the table above, including the GFL Acquisition and the Twin Bridges Acquisition, are subject to revision upon finalization of third-party valuations over each respective one-year- measurement period. Amounts have been updated from the preliminary purchase price allocations, including the value of certain tangible and intangible assets acquired, as information has been obtained about the facts and circumstances that existed at the valuation date and remain subject to revision based on the final valuations.</w:t>
      </w:r>
    </w:p>
    <w:p>
      <w:pPr>
        <w:spacing w:after="0" w:line="7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Unaudited pro forma combined information that shows our operational results as though each acquisition completed since the beginning of the prior fiscal year had occurred as of January 1, 2021 is as follows.</w:t>
      </w:r>
    </w:p>
    <w:p>
      <w:pPr>
        <w:ind w:left="866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1,436,871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1,412,377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1,303,556</w:t>
            </w:r>
          </w:p>
        </w:tc>
        <w:tc>
          <w:tcPr>
            <w:tcW w:w="0" w:type="dxa"/>
            <w:vAlign w:val="bottom"/>
          </w:tcPr>
          <w:p>
            <w:pPr>
              <w:spacing w:after="0"/>
              <w:rPr>
                <w:sz w:val="1"/>
                <w:szCs w:val="1"/>
                <w:color w:val="auto"/>
              </w:rPr>
            </w:pPr>
          </w:p>
        </w:tc>
      </w:tr>
      <w:tr>
        <w:trPr>
          <w:trHeight w:val="22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89,236</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113,842</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99,286</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0" w:type="dxa"/>
            <w:vAlign w:val="bottom"/>
          </w:tcPr>
          <w:p>
            <w:pPr>
              <w:spacing w:after="0"/>
              <w:rPr>
                <w:sz w:val="1"/>
                <w:szCs w:val="1"/>
                <w:color w:val="auto"/>
              </w:rPr>
            </w:pPr>
          </w:p>
        </w:tc>
      </w:tr>
      <w:tr>
        <w:trPr>
          <w:trHeight w:val="266"/>
        </w:trPr>
        <w:tc>
          <w:tcPr>
            <w:tcW w:w="7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51,312</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7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2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0.52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7"/>
          <w:szCs w:val="17"/>
          <w:color w:val="auto"/>
        </w:rPr>
        <w:t>The unaudited pro forma results set forth in the table above have been prepared for comparative purposes only and are not necessarily indicative of the actual results of operations had the acquisitions taken place as of January 1, 2021 or the results of our future operations. Furthermore, the unaudited pro forma results do not give effect to all cost savings or incremental costs that may occur as a result of the integration and consolidation of the completed acquisitions.</w:t>
      </w:r>
    </w:p>
    <w:p>
      <w:pPr>
        <w:spacing w:after="0" w:line="157" w:lineRule="exact"/>
        <w:rPr>
          <w:sz w:val="20"/>
          <w:szCs w:val="20"/>
          <w:color w:val="auto"/>
        </w:rPr>
      </w:pPr>
    </w:p>
    <w:p>
      <w:pPr>
        <w:ind w:right="4880"/>
        <w:spacing w:after="0" w:line="390" w:lineRule="auto"/>
        <w:rPr>
          <w:sz w:val="20"/>
          <w:szCs w:val="20"/>
          <w:color w:val="auto"/>
        </w:rPr>
      </w:pPr>
      <w:r>
        <w:rPr>
          <w:rFonts w:ascii="Times New Roman" w:cs="Times New Roman" w:eastAsia="Times New Roman" w:hAnsi="Times New Roman"/>
          <w:sz w:val="18"/>
          <w:szCs w:val="18"/>
          <w:b w:val="1"/>
          <w:bCs w:val="1"/>
          <w:color w:val="auto"/>
        </w:rPr>
        <w:t xml:space="preserve">6. ACCOUNTS RECEIVABLE, NET OF ALLOWANCE FOR CREDIT LOSSES </w:t>
      </w:r>
      <w:r>
        <w:rPr>
          <w:rFonts w:ascii="Times New Roman" w:cs="Times New Roman" w:eastAsia="Times New Roman" w:hAnsi="Times New Roman"/>
          <w:sz w:val="18"/>
          <w:szCs w:val="18"/>
          <w:color w:val="auto"/>
        </w:rPr>
        <w:t>A summary of the changes to allowance for credit losses follows:</w:t>
      </w:r>
    </w:p>
    <w:p>
      <w:pPr>
        <w:ind w:left="8180"/>
        <w:spacing w:after="0" w:line="226" w:lineRule="auto"/>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1"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6"/>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w w:val="93"/>
              </w:rPr>
              <w:t>3,276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r>
      <w:tr>
        <w:trPr>
          <w:trHeight w:val="22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 charged to expense</w:t>
            </w:r>
          </w:p>
        </w:tc>
        <w:tc>
          <w:tcPr>
            <w:tcW w:w="28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3"/>
              </w:rPr>
              <w:t>1,893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26"/>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Deductions - write offs charged against the allowance, net of recoveries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8"/>
              </w:rPr>
              <w:t>(2,153)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1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center"/>
              <w:ind w:left="275"/>
              <w:spacing w:after="0"/>
              <w:rPr>
                <w:sz w:val="20"/>
                <w:szCs w:val="20"/>
                <w:color w:val="auto"/>
              </w:rPr>
            </w:pPr>
            <w:r>
              <w:rPr>
                <w:rFonts w:ascii="Times New Roman" w:cs="Times New Roman" w:eastAsia="Times New Roman" w:hAnsi="Times New Roman"/>
                <w:sz w:val="18"/>
                <w:szCs w:val="18"/>
                <w:color w:val="auto"/>
                <w:w w:val="93"/>
              </w:rPr>
              <w:t>3,016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w:t>
            </w: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PROPERTY AND EQUIPMENT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and equipment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37,321</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730,914</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90,362</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209,234</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243,359</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Rolling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276,282</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Containers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266,705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197,834</w:t>
            </w:r>
          </w:p>
        </w:tc>
      </w:tr>
      <w:tr>
        <w:trPr>
          <w:trHeight w:val="21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property and equipment </w:t>
            </w:r>
            <w:r>
              <w:rPr>
                <w:rFonts w:ascii="Times New Roman" w:cs="Times New Roman" w:eastAsia="Times New Roman" w:hAnsi="Times New Roman"/>
                <w:sz w:val="14"/>
                <w:szCs w:val="14"/>
                <w:color w:val="auto"/>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1,785,306</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(1,167,541)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(1,064,756)</w:t>
            </w:r>
          </w:p>
        </w:tc>
      </w:tr>
      <w:tr>
        <w:trPr>
          <w:trHeight w:val="21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980,553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720,550</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480" w:right="160" w:hanging="314"/>
        <w:spacing w:after="0" w:line="275" w:lineRule="auto"/>
        <w:tabs>
          <w:tab w:leader="none" w:pos="47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construction-in-process of $74,408 and $53,439 at December 31, 2023 and December 31, 2022, respectively, that have have not been placed in service and, therefore, have not begun depreciating..</w:t>
      </w:r>
    </w:p>
    <w:p>
      <w:pPr>
        <w:spacing w:after="0" w:line="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Depreciation expense for fiscal years 2023, 2022 and 2021 was $99,249, $78,139 and $62,342, respectively. Landfill amortization expense for fiscal years 2023, 2022 and 2021 was $40,419, $31,619 and $30,295, respectively.</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schedule of lease costs and other lease information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80" w:type="dxa"/>
            <w:vAlign w:val="bottom"/>
            <w:gridSpan w:val="4"/>
          </w:tcPr>
          <w:p>
            <w:pPr>
              <w:jc w:val="right"/>
              <w:ind w:right="1433"/>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92"/>
        </w:trPr>
        <w:tc>
          <w:tcPr>
            <w:tcW w:w="7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40" w:type="dxa"/>
            <w:vAlign w:val="bottom"/>
            <w:tcBorders>
              <w:bottom w:val="single" w:sz="8" w:color="auto"/>
            </w:tcBorders>
          </w:tcPr>
          <w:p>
            <w:pPr>
              <w:spacing w:after="0"/>
              <w:rPr>
                <w:sz w:val="16"/>
                <w:szCs w:val="16"/>
                <w:color w:val="auto"/>
              </w:rPr>
            </w:pPr>
          </w:p>
        </w:tc>
      </w:tr>
      <w:tr>
        <w:trPr>
          <w:trHeight w:val="192"/>
        </w:trPr>
        <w:tc>
          <w:tcPr>
            <w:tcW w:w="7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6"/>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40" w:type="dxa"/>
            <w:vAlign w:val="bottom"/>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6,339</w:t>
            </w:r>
          </w:p>
        </w:tc>
      </w:tr>
      <w:tr>
        <w:trPr>
          <w:trHeight w:val="226"/>
        </w:trPr>
        <w:tc>
          <w:tcPr>
            <w:tcW w:w="7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1,638</w:t>
            </w:r>
          </w:p>
        </w:tc>
      </w:tr>
      <w:tr>
        <w:trPr>
          <w:trHeight w:val="226"/>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lease cost - vehicles, equipment and property</w:t>
            </w:r>
          </w:p>
        </w:tc>
        <w:tc>
          <w:tcPr>
            <w:tcW w:w="1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5,130</w:t>
            </w:r>
          </w:p>
        </w:tc>
      </w:tr>
      <w:tr>
        <w:trPr>
          <w:trHeight w:val="226"/>
        </w:trPr>
        <w:tc>
          <w:tcPr>
            <w:tcW w:w="7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Fixed lease cost - landfill operating leases</w:t>
            </w:r>
          </w:p>
        </w:tc>
        <w:tc>
          <w:tcPr>
            <w:tcW w:w="1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8,674</w:t>
            </w:r>
          </w:p>
        </w:tc>
      </w:tr>
      <w:tr>
        <w:trPr>
          <w:trHeight w:val="21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lease cost</w:t>
            </w:r>
          </w:p>
        </w:tc>
        <w:tc>
          <w:tcPr>
            <w:tcW w:w="1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13,804</w:t>
            </w:r>
          </w:p>
        </w:tc>
      </w:tr>
      <w:tr>
        <w:trPr>
          <w:trHeight w:val="22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3,884</w:t>
            </w:r>
          </w:p>
        </w:tc>
      </w:tr>
      <w:tr>
        <w:trPr>
          <w:trHeight w:val="226"/>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522</w:t>
            </w: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240" w:type="dxa"/>
            <w:vAlign w:val="bottom"/>
            <w:tcBorders>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26,187</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7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6"/>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24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7,847</w:t>
            </w:r>
          </w:p>
        </w:tc>
      </w:tr>
      <w:tr>
        <w:trPr>
          <w:trHeight w:val="226"/>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240" w:type="dxa"/>
            <w:vAlign w:val="bottom"/>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10,009</w:t>
            </w:r>
          </w:p>
        </w:tc>
      </w:tr>
      <w:tr>
        <w:trPr>
          <w:trHeight w:val="22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24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11,919</w:t>
            </w:r>
          </w:p>
        </w:tc>
      </w:tr>
      <w:tr>
        <w:trPr>
          <w:trHeight w:val="22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240" w:type="dxa"/>
            <w:vAlign w:val="bottom"/>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9,835</w:t>
            </w:r>
          </w:p>
        </w:tc>
      </w:tr>
      <w:tr>
        <w:trPr>
          <w:trHeight w:val="266"/>
        </w:trPr>
        <w:tc>
          <w:tcPr>
            <w:tcW w:w="7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193"/>
        </w:trPr>
        <w:tc>
          <w:tcPr>
            <w:tcW w:w="712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 (years)</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2"/>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minimum future lease obligations as of December 31, 2023 for each of the next five fiscal years and thereafter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80" w:type="dxa"/>
            <w:vAlign w:val="bottom"/>
          </w:tcPr>
          <w:p>
            <w:pPr>
              <w:spacing w:after="0"/>
              <w:rPr>
                <w:sz w:val="16"/>
                <w:szCs w:val="16"/>
                <w:color w:val="auto"/>
              </w:rPr>
            </w:pPr>
          </w:p>
        </w:tc>
        <w:tc>
          <w:tcPr>
            <w:tcW w:w="18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4"/>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2024</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w:t>
            </w:r>
          </w:p>
        </w:tc>
      </w:tr>
      <w:tr>
        <w:trPr>
          <w:trHeight w:val="22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2025</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12,230</w:t>
            </w: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2026</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w:t>
            </w:r>
          </w:p>
        </w:tc>
      </w:tr>
      <w:tr>
        <w:trPr>
          <w:trHeight w:val="22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2027</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w:t>
            </w: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2028</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w:t>
            </w:r>
          </w:p>
        </w:tc>
      </w:tr>
      <w:tr>
        <w:trPr>
          <w:trHeight w:val="22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59,823</w:t>
            </w:r>
          </w:p>
        </w:tc>
      </w:tr>
      <w:tr>
        <w:trPr>
          <w:trHeight w:val="22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w:t>
            </w: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balance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hanging="354"/>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and balances related to goodwill by reportable operating segment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20" w:type="dxa"/>
            <w:vAlign w:val="bottom"/>
            <w:tcBorders>
              <w:top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21,487</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73,893</w:t>
            </w:r>
          </w:p>
        </w:tc>
        <w:tc>
          <w:tcPr>
            <w:tcW w:w="0" w:type="dxa"/>
            <w:vAlign w:val="bottom"/>
          </w:tcPr>
          <w:p>
            <w:pPr>
              <w:spacing w:after="0"/>
              <w:rPr>
                <w:sz w:val="1"/>
                <w:szCs w:val="1"/>
                <w:color w:val="auto"/>
              </w:rPr>
            </w:pPr>
          </w:p>
        </w:tc>
      </w:tr>
      <w:tr>
        <w:trPr>
          <w:trHeight w:val="22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285,056</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332,247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332,247</w:t>
            </w:r>
          </w:p>
        </w:tc>
        <w:tc>
          <w:tcPr>
            <w:tcW w:w="0" w:type="dxa"/>
            <w:vAlign w:val="bottom"/>
          </w:tcPr>
          <w:p>
            <w:pPr>
              <w:spacing w:after="0"/>
              <w:rPr>
                <w:sz w:val="1"/>
                <w:szCs w:val="1"/>
                <w:color w:val="auto"/>
              </w:rPr>
            </w:pPr>
          </w:p>
        </w:tc>
      </w:tr>
      <w:tr>
        <w:trPr>
          <w:trHeight w:val="22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0" w:type="dxa"/>
            <w:vAlign w:val="bottom"/>
          </w:tcPr>
          <w:p>
            <w:pPr>
              <w:spacing w:after="0"/>
              <w:rPr>
                <w:sz w:val="1"/>
                <w:szCs w:val="1"/>
                <w:color w:val="auto"/>
              </w:rPr>
            </w:pPr>
          </w:p>
        </w:tc>
      </w:tr>
      <w:tr>
        <w:trPr>
          <w:trHeight w:val="244"/>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274,458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461,159</w:t>
            </w: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735,670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3"/>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20" w:type="dxa"/>
            <w:vAlign w:val="bottom"/>
            <w:tcBorders>
              <w:top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52,406</w:t>
            </w:r>
          </w:p>
        </w:tc>
        <w:tc>
          <w:tcPr>
            <w:tcW w:w="0" w:type="dxa"/>
            <w:vAlign w:val="bottom"/>
          </w:tcPr>
          <w:p>
            <w:pPr>
              <w:spacing w:after="0"/>
              <w:rPr>
                <w:sz w:val="1"/>
                <w:szCs w:val="1"/>
                <w:color w:val="auto"/>
              </w:rPr>
            </w:pPr>
          </w:p>
        </w:tc>
      </w:tr>
      <w:tr>
        <w:trPr>
          <w:trHeight w:val="22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183,286</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38,766</w:t>
            </w:r>
          </w:p>
        </w:tc>
        <w:tc>
          <w:tcPr>
            <w:tcW w:w="0" w:type="dxa"/>
            <w:vAlign w:val="bottom"/>
          </w:tcPr>
          <w:p>
            <w:pPr>
              <w:spacing w:after="0"/>
              <w:rPr>
                <w:sz w:val="1"/>
                <w:szCs w:val="1"/>
                <w:color w:val="auto"/>
              </w:rPr>
            </w:pPr>
          </w:p>
        </w:tc>
      </w:tr>
      <w:tr>
        <w:trPr>
          <w:trHeight w:val="244"/>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232,860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40,707</w:t>
            </w: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274,458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 summary of intangible assets is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0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Customer Relationships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Trade Names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Not-to-Compete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272,571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12,725</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347,469</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(72,227)</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(106,040)</w:t>
            </w:r>
          </w:p>
        </w:tc>
        <w:tc>
          <w:tcPr>
            <w:tcW w:w="0" w:type="dxa"/>
            <w:vAlign w:val="bottom"/>
          </w:tcPr>
          <w:p>
            <w:pPr>
              <w:spacing w:after="0"/>
              <w:rPr>
                <w:sz w:val="1"/>
                <w:szCs w:val="1"/>
                <w:color w:val="auto"/>
              </w:rPr>
            </w:pPr>
          </w:p>
        </w:tc>
      </w:tr>
      <w:tr>
        <w:trPr>
          <w:trHeight w:val="219"/>
        </w:trPr>
        <w:tc>
          <w:tcPr>
            <w:tcW w:w="40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200,344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241,429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Customer Relationships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Trade Names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Not-to-Compete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166,785</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(46,162)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(75,002)</w:t>
            </w:r>
          </w:p>
        </w:tc>
        <w:tc>
          <w:tcPr>
            <w:tcW w:w="0" w:type="dxa"/>
            <w:vAlign w:val="bottom"/>
          </w:tcPr>
          <w:p>
            <w:pPr>
              <w:spacing w:after="0"/>
              <w:rPr>
                <w:sz w:val="1"/>
                <w:szCs w:val="1"/>
                <w:color w:val="auto"/>
              </w:rPr>
            </w:pPr>
          </w:p>
        </w:tc>
      </w:tr>
      <w:tr>
        <w:trPr>
          <w:trHeight w:val="219"/>
        </w:trPr>
        <w:tc>
          <w:tcPr>
            <w:tcW w:w="4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81,017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amortization expense for fiscal years 2023, 2022 and 2021 was $31,037, $16,593 and $10,953, respectively.</w:t>
      </w:r>
    </w:p>
    <w:p>
      <w:pPr>
        <w:spacing w:after="0" w:line="11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8"/>
          <w:szCs w:val="18"/>
          <w:color w:val="auto"/>
        </w:rPr>
        <w:t>Based on the amortizable intangible assets recorded in the consolidated balance sheets at December 31, 2023, intangible amortization expense for each of the next five fiscal years and thereafter is estimated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2024</w:t>
            </w:r>
          </w:p>
        </w:tc>
        <w:tc>
          <w:tcPr>
            <w:tcW w:w="402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47,387</w:t>
            </w:r>
          </w:p>
        </w:tc>
      </w:tr>
      <w:tr>
        <w:trPr>
          <w:trHeight w:val="22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2025</w:t>
            </w:r>
          </w:p>
        </w:tc>
        <w:tc>
          <w:tcPr>
            <w:tcW w:w="402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43,388</w:t>
            </w:r>
          </w:p>
        </w:tc>
      </w:tr>
      <w:tr>
        <w:trPr>
          <w:trHeight w:val="22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2026</w:t>
            </w:r>
          </w:p>
        </w:tc>
        <w:tc>
          <w:tcPr>
            <w:tcW w:w="402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38,645</w:t>
            </w:r>
          </w:p>
        </w:tc>
      </w:tr>
      <w:tr>
        <w:trPr>
          <w:trHeight w:val="22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2027</w:t>
            </w:r>
          </w:p>
        </w:tc>
        <w:tc>
          <w:tcPr>
            <w:tcW w:w="402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34,149</w:t>
            </w:r>
          </w:p>
        </w:tc>
      </w:tr>
      <w:tr>
        <w:trPr>
          <w:trHeight w:val="22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2028</w:t>
            </w:r>
          </w:p>
        </w:tc>
        <w:tc>
          <w:tcPr>
            <w:tcW w:w="402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29,166</w:t>
            </w:r>
          </w:p>
        </w:tc>
      </w:tr>
      <w:tr>
        <w:trPr>
          <w:trHeight w:val="232"/>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2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48,694</w:t>
            </w:r>
          </w:p>
        </w:tc>
      </w:tr>
    </w:tbl>
    <w:p>
      <w:pPr>
        <w:spacing w:after="0" w:line="266" w:lineRule="exact"/>
        <w:rPr>
          <w:sz w:val="20"/>
          <w:szCs w:val="20"/>
          <w:color w:val="auto"/>
        </w:rPr>
      </w:pPr>
    </w:p>
    <w:p>
      <w:pPr>
        <w:ind w:left="440" w:hanging="434"/>
        <w:spacing w:after="0"/>
        <w:tabs>
          <w:tab w:leader="none" w:pos="4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FINAL CAPPING, CLOSURE AND POST-CLOSURE COSTS</w:t>
      </w:r>
    </w:p>
    <w:p>
      <w:pPr>
        <w:spacing w:after="0" w:line="11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 xml:space="preserve">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as further described in Note 3,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The anticipated time frame for paying these costs varies based on the remaining useful life of each landfill, as well as the duration of the post-closure monitoring period.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to accrued final capping, closure and post-closure liabilities are as follows:</w:t>
      </w:r>
    </w:p>
    <w:p>
      <w:pPr>
        <w:spacing w:after="0" w:line="3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86,914</w:t>
            </w:r>
          </w:p>
        </w:tc>
      </w:tr>
      <w:tr>
        <w:trPr>
          <w:trHeight w:val="226"/>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Obligations incurred</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r>
      <w:tr>
        <w:trPr>
          <w:trHeight w:val="239"/>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Revisions in estimates </w:t>
            </w:r>
            <w:r>
              <w:rPr>
                <w:rFonts w:ascii="Times New Roman" w:cs="Times New Roman" w:eastAsia="Times New Roman" w:hAnsi="Times New Roman"/>
                <w:sz w:val="14"/>
                <w:szCs w:val="14"/>
                <w:color w:val="auto"/>
              </w:rPr>
              <w:t>(1)</w:t>
            </w:r>
          </w:p>
        </w:tc>
        <w:tc>
          <w:tcPr>
            <w:tcW w:w="1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18,415</w:t>
            </w:r>
          </w:p>
        </w:tc>
      </w:tr>
      <w:tr>
        <w:trPr>
          <w:trHeight w:val="226"/>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expense</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w:t>
            </w:r>
          </w:p>
        </w:tc>
      </w:tr>
      <w:tr>
        <w:trPr>
          <w:trHeight w:val="239"/>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(2)</w:t>
            </w:r>
          </w:p>
        </w:tc>
        <w:tc>
          <w:tcPr>
            <w:tcW w:w="1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r>
      <w:tr>
        <w:trPr>
          <w:trHeight w:val="239"/>
        </w:trPr>
        <w:tc>
          <w:tcPr>
            <w:tcW w:w="7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 xml:space="preserve">Write-off of capping payments </w:t>
            </w:r>
            <w:r>
              <w:rPr>
                <w:rFonts w:ascii="Times New Roman" w:cs="Times New Roman" w:eastAsia="Times New Roman" w:hAnsi="Times New Roman"/>
                <w:sz w:val="14"/>
                <w:szCs w:val="14"/>
                <w:color w:val="auto"/>
              </w:rPr>
              <w:t>(3)</w:t>
            </w:r>
          </w:p>
        </w:tc>
        <w:tc>
          <w:tcPr>
            <w:tcW w:w="1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480" w:right="40" w:hanging="314"/>
        <w:spacing w:after="0" w:line="275" w:lineRule="auto"/>
        <w:tabs>
          <w:tab w:leader="none" w:pos="4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changes in estimates and assumptions concerning anticipated waste flow, costs, including as a result of higher inflation, and timing of future final capping, closure and post-closure activities at our landfills.</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include amounts paid and amounts that are being processed through accounts payable as a part of our disbursement cycle.</w:t>
      </w:r>
    </w:p>
    <w:p>
      <w:pPr>
        <w:spacing w:after="0" w:line="58" w:lineRule="exact"/>
        <w:rPr>
          <w:rFonts w:ascii="Times New Roman" w:cs="Times New Roman" w:eastAsia="Times New Roman" w:hAnsi="Times New Roman"/>
          <w:sz w:val="18"/>
          <w:szCs w:val="18"/>
          <w:color w:val="auto"/>
        </w:rPr>
      </w:pPr>
    </w:p>
    <w:p>
      <w:pPr>
        <w:ind w:left="480" w:right="40" w:hanging="314"/>
        <w:spacing w:after="0" w:line="275" w:lineRule="auto"/>
        <w:tabs>
          <w:tab w:leader="none" w:pos="4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Relates to the write-off of $3,021 of historical payments associated with capping work that has been deemed no longer viable due to a veneer failure at the Ontario County Landfill that we operate. See Note 18, </w:t>
      </w:r>
      <w:r>
        <w:rPr>
          <w:rFonts w:ascii="Times New Roman" w:cs="Times New Roman" w:eastAsia="Times New Roman" w:hAnsi="Times New Roman"/>
          <w:sz w:val="18"/>
          <w:szCs w:val="18"/>
          <w:i w:val="1"/>
          <w:iCs w:val="1"/>
          <w:color w:val="auto"/>
        </w:rPr>
        <w:t>Other Items and Charges</w:t>
      </w:r>
      <w:r>
        <w:rPr>
          <w:rFonts w:ascii="Times New Roman" w:cs="Times New Roman" w:eastAsia="Times New Roman" w:hAnsi="Times New Roman"/>
          <w:sz w:val="18"/>
          <w:szCs w:val="18"/>
          <w:color w:val="auto"/>
        </w:rPr>
        <w:t xml:space="preserve"> for additional disclosure.</w:t>
      </w:r>
    </w:p>
    <w:p>
      <w:pPr>
        <w:spacing w:after="0" w:line="161"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ACCRUED LIABILITIES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classified as current liabilities, at December 31, 2023 and 2022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2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spacing w:after="0"/>
              <w:rPr>
                <w:sz w:val="16"/>
                <w:szCs w:val="16"/>
                <w:color w:val="auto"/>
              </w:rPr>
            </w:pPr>
          </w:p>
        </w:tc>
      </w:tr>
      <w:tr>
        <w:trPr>
          <w:trHeight w:val="24"/>
        </w:trPr>
        <w:tc>
          <w:tcPr>
            <w:tcW w:w="75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75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14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w:t>
            </w:r>
          </w:p>
        </w:tc>
      </w:tr>
      <w:tr>
        <w:trPr>
          <w:trHeight w:val="226"/>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35,395</w:t>
            </w: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46,237</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 w:hanging="434"/>
        <w:spacing w:after="0"/>
        <w:tabs>
          <w:tab w:leader="none" w:pos="4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debt is as follows:</w:t>
      </w:r>
    </w:p>
    <w:p>
      <w:pPr>
        <w:spacing w:after="0" w:line="39"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31750</wp:posOffset>
            </wp:positionV>
            <wp:extent cx="16376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37665" cy="8255"/>
                    </a:xfrm>
                    <a:prstGeom prst="rect">
                      <a:avLst/>
                    </a:prstGeom>
                    <a:noFill/>
                  </pic:spPr>
                </pic:pic>
              </a:graphicData>
            </a:graphic>
          </wp:anchor>
        </w:drawing>
      </w:r>
    </w:p>
    <w:p>
      <w:pPr>
        <w:spacing w:after="0" w:line="32" w:lineRule="exact"/>
        <w:rPr>
          <w:sz w:val="20"/>
          <w:szCs w:val="20"/>
          <w:color w:val="auto"/>
        </w:rPr>
      </w:pPr>
    </w:p>
    <w:p>
      <w:pPr>
        <w:jc w:val="both"/>
        <w:ind w:left="9140"/>
        <w:spacing w:after="0"/>
        <w:tabs>
          <w:tab w:leader="none" w:pos="104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ectPr>
          <w:pgSz w:w="11900" w:h="16838" w:orient="portrait"/>
          <w:cols w:equalWidth="0" w:num="1">
            <w:col w:w="11240"/>
          </w:cols>
          <w:pgMar w:left="320" w:top="115" w:right="339" w:bottom="1440" w:gutter="0" w:footer="0" w:header="0"/>
        </w:sectPr>
      </w:pP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w w:val="99"/>
              </w:rPr>
              <w:t>Term Loan A Facility ("Term Loan Facility") due December 2026; bearing interest at 7.083% as of December 31, 2023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3"/>
        </w:trPr>
        <w:tc>
          <w:tcPr>
            <w:tcW w:w="8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Term Loan A Facility ("2023 Term Loan Facility") due December 2026; bearing interest at 7.581% as of December 31,</w:t>
            </w:r>
          </w:p>
        </w:tc>
        <w:tc>
          <w:tcPr>
            <w:tcW w:w="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8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-256540</wp:posOffset>
            </wp:positionV>
            <wp:extent cx="7134225" cy="261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261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-661670</wp:posOffset>
            </wp:positionV>
            <wp:extent cx="7134225" cy="143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Revolving Credit Facility ("Revolving Credit Facility") due December 2026; bearing interest at Term SOFR plus 1.725%</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Tax-Exempt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34225" cy="143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7" w:lineRule="exact"/>
        <w:rPr>
          <w:sz w:val="20"/>
          <w:szCs w:val="20"/>
          <w:color w:val="auto"/>
        </w:rPr>
      </w:pPr>
    </w:p>
    <w:p>
      <w:pPr>
        <w:ind w:left="20" w:right="420"/>
        <w:spacing w:after="0" w:line="249" w:lineRule="auto"/>
        <w:rPr>
          <w:sz w:val="20"/>
          <w:szCs w:val="20"/>
          <w:color w:val="auto"/>
        </w:rPr>
      </w:pPr>
      <w:r>
        <w:rPr>
          <w:rFonts w:ascii="Times New Roman" w:cs="Times New Roman" w:eastAsia="Times New Roman" w:hAnsi="Times New Roman"/>
          <w:sz w:val="17"/>
          <w:szCs w:val="17"/>
          <w:color w:val="auto"/>
        </w:rPr>
        <w:t>New York State Environmental Facilities Corporation Solid Waste Disposal Revenue Bonds Series 2014 ("New York Bonds 2014R-1") due December 2044 - fixed rate interest period bearing interest at 2.875% through December 2029</w:t>
      </w:r>
    </w:p>
    <w:p>
      <w:pPr>
        <w:spacing w:after="0" w:line="1" w:lineRule="exact"/>
        <w:rPr>
          <w:sz w:val="20"/>
          <w:szCs w:val="20"/>
          <w:color w:val="auto"/>
        </w:rPr>
      </w:pPr>
    </w:p>
    <w:p>
      <w:pPr>
        <w:ind w:left="20" w:right="160"/>
        <w:spacing w:after="0" w:line="234" w:lineRule="auto"/>
        <w:rPr>
          <w:sz w:val="20"/>
          <w:szCs w:val="20"/>
          <w:color w:val="auto"/>
        </w:rPr>
      </w:pPr>
      <w:r>
        <w:rPr>
          <w:rFonts w:ascii="Times New Roman" w:cs="Times New Roman" w:eastAsia="Times New Roman" w:hAnsi="Times New Roman"/>
          <w:sz w:val="18"/>
          <w:szCs w:val="18"/>
          <w:color w:val="auto"/>
        </w:rPr>
        <w:t>New York State Environmental Facilities Corporation Solid Waste Disposal Revenue Bonds Series 2014R-2 ("New York Bonds 2014R-2") due December 2044 - fixed rate interest period bearing interest at 3.125% through May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7134225" cy="261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261620"/>
                    </a:xfrm>
                    <a:prstGeom prst="rect">
                      <a:avLst/>
                    </a:prstGeom>
                    <a:noFill/>
                  </pic:spPr>
                </pic:pic>
              </a:graphicData>
            </a:graphic>
          </wp:anchor>
        </w:drawing>
      </w:r>
    </w:p>
    <w:p>
      <w:pPr>
        <w:ind w:left="20" w:right="420"/>
        <w:spacing w:after="0" w:line="253" w:lineRule="auto"/>
        <w:rPr>
          <w:sz w:val="20"/>
          <w:szCs w:val="20"/>
          <w:color w:val="auto"/>
        </w:rPr>
      </w:pPr>
      <w:r>
        <w:rPr>
          <w:rFonts w:ascii="Times New Roman" w:cs="Times New Roman" w:eastAsia="Times New Roman" w:hAnsi="Times New Roman"/>
          <w:sz w:val="17"/>
          <w:szCs w:val="17"/>
          <w:color w:val="auto"/>
        </w:rPr>
        <w:t>New York State Environmental Facilities Corporation Solid Waste Disposal Revenue Bonds Series 2020 ("New York Bonds 2020") due September 2050 - fixed rate interest period bearing interest at 2.750% through September 2025</w:t>
      </w:r>
    </w:p>
    <w:p>
      <w:pPr>
        <w:ind w:left="20" w:right="160"/>
        <w:spacing w:after="0" w:line="253" w:lineRule="auto"/>
        <w:rPr>
          <w:sz w:val="20"/>
          <w:szCs w:val="20"/>
          <w:color w:val="auto"/>
        </w:rPr>
      </w:pPr>
      <w:r>
        <w:rPr>
          <w:rFonts w:ascii="Times New Roman" w:cs="Times New Roman" w:eastAsia="Times New Roman" w:hAnsi="Times New Roman"/>
          <w:sz w:val="17"/>
          <w:szCs w:val="17"/>
          <w:color w:val="auto"/>
        </w:rPr>
        <w:t>New York State Environmental Facilities Corporation Solid Waste Disposal Revenue Bonds Series 2020R-2 ("New York Bonds 2020R-2") due September 2050 - fixed rate interest period bearing interest at 5.125% through September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-257810</wp:posOffset>
            </wp:positionV>
            <wp:extent cx="7134225" cy="261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261620"/>
                    </a:xfrm>
                    <a:prstGeom prst="rect">
                      <a:avLst/>
                    </a:prstGeom>
                    <a:noFill/>
                  </pic:spPr>
                </pic:pic>
              </a:graphicData>
            </a:graphic>
          </wp:anchor>
        </w:drawing>
      </w:r>
    </w:p>
    <w:p>
      <w:pPr>
        <w:ind w:left="20" w:right="640"/>
        <w:spacing w:after="0" w:line="234" w:lineRule="auto"/>
        <w:rPr>
          <w:sz w:val="20"/>
          <w:szCs w:val="20"/>
          <w:color w:val="auto"/>
        </w:rPr>
      </w:pPr>
      <w:r>
        <w:rPr>
          <w:rFonts w:ascii="Times New Roman" w:cs="Times New Roman" w:eastAsia="Times New Roman" w:hAnsi="Times New Roman"/>
          <w:sz w:val="18"/>
          <w:szCs w:val="18"/>
          <w:color w:val="auto"/>
        </w:rPr>
        <w:t>Finance Authority of Maine Solid Waste Disposal Revenue Bonds Series 2005R-3 ("FAME Bonds 2005R-3") due January 2025 - fixed rate interest period bearing interest at 5.25% through January 2025</w:t>
      </w:r>
    </w:p>
    <w:p>
      <w:pPr>
        <w:spacing w:after="0" w:line="9" w:lineRule="exact"/>
        <w:rPr>
          <w:sz w:val="20"/>
          <w:szCs w:val="20"/>
          <w:color w:val="auto"/>
        </w:rPr>
      </w:pPr>
    </w:p>
    <w:p>
      <w:pPr>
        <w:ind w:left="20" w:right="640"/>
        <w:spacing w:after="0" w:line="234" w:lineRule="auto"/>
        <w:rPr>
          <w:sz w:val="20"/>
          <w:szCs w:val="20"/>
          <w:color w:val="auto"/>
        </w:rPr>
      </w:pPr>
      <w:r>
        <w:rPr>
          <w:rFonts w:ascii="Times New Roman" w:cs="Times New Roman" w:eastAsia="Times New Roman" w:hAnsi="Times New Roman"/>
          <w:sz w:val="18"/>
          <w:szCs w:val="18"/>
          <w:color w:val="auto"/>
        </w:rPr>
        <w:t>Finance Authority of Maine Solid Waste Disposal Revenue Bonds Series 2015R-1 ("FAME Bonds 2015R-1") due August 2035 - fixed rate interest period bearing interest at 5.125% through July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7134225" cy="261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261620"/>
                    </a:xfrm>
                    <a:prstGeom prst="rect">
                      <a:avLst/>
                    </a:prstGeom>
                    <a:noFill/>
                  </pic:spPr>
                </pic:pic>
              </a:graphicData>
            </a:graphic>
          </wp:anchor>
        </w:drawing>
      </w:r>
    </w:p>
    <w:p>
      <w:pPr>
        <w:spacing w:after="0" w:line="82" w:lineRule="exact"/>
        <w:rPr>
          <w:sz w:val="20"/>
          <w:szCs w:val="20"/>
          <w:color w:val="auto"/>
        </w:rPr>
      </w:pPr>
    </w:p>
    <w:p>
      <w:pPr>
        <w:ind w:left="20" w:right="640"/>
        <w:spacing w:after="0" w:line="234" w:lineRule="auto"/>
        <w:rPr>
          <w:sz w:val="20"/>
          <w:szCs w:val="20"/>
          <w:color w:val="auto"/>
        </w:rPr>
      </w:pPr>
      <w:r>
        <w:rPr>
          <w:rFonts w:ascii="Times New Roman" w:cs="Times New Roman" w:eastAsia="Times New Roman" w:hAnsi="Times New Roman"/>
          <w:sz w:val="18"/>
          <w:szCs w:val="18"/>
          <w:color w:val="auto"/>
        </w:rPr>
        <w:t>Finance Authority of Maine Solid Waste Disposal Revenue Bonds Series 2015R-2 ("FAME Bonds 2015R-2") due August 2035 - fixed rate interest period bearing interest at 4.375% through July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34225" cy="3714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371475"/>
                    </a:xfrm>
                    <a:prstGeom prst="rect">
                      <a:avLst/>
                    </a:prstGeom>
                    <a:noFill/>
                  </pic:spPr>
                </pic:pic>
              </a:graphicData>
            </a:graphic>
          </wp:anchor>
        </w:drawing>
      </w:r>
    </w:p>
    <w:p>
      <w:pPr>
        <w:spacing w:after="0" w:line="161" w:lineRule="exact"/>
        <w:rPr>
          <w:sz w:val="20"/>
          <w:szCs w:val="20"/>
          <w:color w:val="auto"/>
        </w:rPr>
      </w:pPr>
    </w:p>
    <w:p>
      <w:pPr>
        <w:ind w:left="20" w:right="400"/>
        <w:spacing w:after="0" w:line="234" w:lineRule="auto"/>
        <w:rPr>
          <w:sz w:val="20"/>
          <w:szCs w:val="20"/>
          <w:color w:val="auto"/>
        </w:rPr>
      </w:pPr>
      <w:r>
        <w:rPr>
          <w:rFonts w:ascii="Times New Roman" w:cs="Times New Roman" w:eastAsia="Times New Roman" w:hAnsi="Times New Roman"/>
          <w:sz w:val="18"/>
          <w:szCs w:val="18"/>
          <w:color w:val="auto"/>
        </w:rPr>
        <w:t>Vermont Economic Development Authority Solid Waste Disposal Long-Term Revenue Bonds Series 2013 ("Vermont Bonds 2013") due April 2036 - fixed rate interest period bearing interest at 4.625% through April 2028</w:t>
      </w:r>
    </w:p>
    <w:p>
      <w:pPr>
        <w:spacing w:after="0" w:line="88" w:lineRule="exact"/>
        <w:rPr>
          <w:sz w:val="20"/>
          <w:szCs w:val="20"/>
          <w:color w:val="auto"/>
        </w:rPr>
      </w:pPr>
    </w:p>
    <w:p>
      <w:pPr>
        <w:ind w:left="20" w:right="120"/>
        <w:spacing w:after="0" w:line="234" w:lineRule="auto"/>
        <w:rPr>
          <w:sz w:val="20"/>
          <w:szCs w:val="20"/>
          <w:color w:val="auto"/>
        </w:rPr>
      </w:pPr>
      <w:r>
        <w:rPr>
          <w:rFonts w:ascii="Times New Roman" w:cs="Times New Roman" w:eastAsia="Times New Roman" w:hAnsi="Times New Roman"/>
          <w:sz w:val="18"/>
          <w:szCs w:val="18"/>
          <w:color w:val="auto"/>
        </w:rPr>
        <w:t>Vermont Economic Development Authority Solid Waste Disposal Long-Term Revenue Bonds Series 2022A-1 ("Vermont Bonds 2022A-1") due June 2052 - fixed rate interest period bearing interest at 5.00% through May 2027</w:t>
      </w:r>
    </w:p>
    <w:p>
      <w:pPr>
        <w:spacing w:after="0" w:line="9" w:lineRule="exact"/>
        <w:rPr>
          <w:sz w:val="20"/>
          <w:szCs w:val="20"/>
          <w:color w:val="auto"/>
        </w:rPr>
      </w:pPr>
    </w:p>
    <w:p>
      <w:pPr>
        <w:ind w:left="20" w:right="420"/>
        <w:spacing w:after="0" w:line="234" w:lineRule="auto"/>
        <w:rPr>
          <w:sz w:val="20"/>
          <w:szCs w:val="20"/>
          <w:color w:val="auto"/>
        </w:rPr>
      </w:pPr>
      <w:r>
        <w:rPr>
          <w:rFonts w:ascii="Times New Roman" w:cs="Times New Roman" w:eastAsia="Times New Roman" w:hAnsi="Times New Roman"/>
          <w:sz w:val="18"/>
          <w:szCs w:val="18"/>
          <w:color w:val="auto"/>
        </w:rPr>
        <w:t>Business Finance Authority of the State of New Hampshire Solid Waste Disposal Revenue Bonds Series 2013 ("New Hampshire Bonds") due April 2029 - fixed rate interest period bearing interest at 2.95% through April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7134225" cy="261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2616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2"/>
              </w:rPr>
              <w:t>350,000</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412"/>
        </w:trPr>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2"/>
              </w:rPr>
              <w:t>419,250</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6,000</w:t>
      </w:r>
    </w:p>
    <w:p>
      <w:pPr>
        <w:spacing w:after="0" w:line="200" w:lineRule="exact"/>
        <w:rPr>
          <w:sz w:val="20"/>
          <w:szCs w:val="20"/>
          <w:color w:val="auto"/>
        </w:rPr>
      </w:pPr>
    </w:p>
    <w:p>
      <w:pPr>
        <w:spacing w:after="0" w:line="231"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8"/>
          <w:szCs w:val="18"/>
          <w:color w:val="auto"/>
        </w:rPr>
        <w:t>25,000</w:t>
      </w:r>
      <w:r>
        <w:rPr>
          <w:sz w:val="20"/>
          <w:szCs w:val="20"/>
          <w:color w:val="auto"/>
        </w:rPr>
        <w:tab/>
      </w:r>
      <w:r>
        <w:rPr>
          <w:rFonts w:ascii="Times New Roman" w:cs="Times New Roman" w:eastAsia="Times New Roman" w:hAnsi="Times New Roman"/>
          <w:sz w:val="18"/>
          <w:szCs w:val="18"/>
          <w:color w:val="auto"/>
        </w:rPr>
        <w:t>25,000</w:t>
      </w:r>
    </w:p>
    <w:p>
      <w:pPr>
        <w:spacing w:after="0" w:line="205"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8"/>
          <w:szCs w:val="18"/>
          <w:color w:val="auto"/>
        </w:rPr>
        <w:t>15,000</w:t>
      </w:r>
      <w:r>
        <w:rPr>
          <w:sz w:val="20"/>
          <w:szCs w:val="20"/>
          <w:color w:val="auto"/>
        </w:rPr>
        <w:tab/>
      </w:r>
      <w:r>
        <w:rPr>
          <w:rFonts w:ascii="Times New Roman" w:cs="Times New Roman" w:eastAsia="Times New Roman" w:hAnsi="Times New Roman"/>
          <w:sz w:val="18"/>
          <w:szCs w:val="18"/>
          <w:color w:val="auto"/>
        </w:rPr>
        <w:t>15,000</w:t>
      </w:r>
    </w:p>
    <w:p>
      <w:pPr>
        <w:spacing w:after="0" w:line="205"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8"/>
          <w:szCs w:val="18"/>
          <w:color w:val="auto"/>
        </w:rPr>
        <w:t>40,000</w:t>
      </w:r>
      <w:r>
        <w:rPr>
          <w:sz w:val="20"/>
          <w:szCs w:val="20"/>
          <w:color w:val="auto"/>
        </w:rPr>
        <w:tab/>
      </w:r>
      <w:r>
        <w:rPr>
          <w:rFonts w:ascii="Times New Roman" w:cs="Times New Roman" w:eastAsia="Times New Roman" w:hAnsi="Times New Roman"/>
          <w:sz w:val="18"/>
          <w:szCs w:val="18"/>
          <w:color w:val="auto"/>
        </w:rPr>
        <w:t>40,000</w:t>
      </w:r>
    </w:p>
    <w:p>
      <w:pPr>
        <w:spacing w:after="0" w:line="205" w:lineRule="exact"/>
        <w:rPr>
          <w:sz w:val="20"/>
          <w:szCs w:val="20"/>
          <w:color w:val="auto"/>
        </w:rPr>
      </w:pPr>
    </w:p>
    <w:p>
      <w:pPr>
        <w:ind w:left="80"/>
        <w:spacing w:after="0"/>
        <w:tabs>
          <w:tab w:leader="none" w:pos="1720" w:val="left"/>
        </w:tabs>
        <w:rPr>
          <w:sz w:val="20"/>
          <w:szCs w:val="20"/>
          <w:color w:val="auto"/>
        </w:rPr>
      </w:pPr>
      <w:r>
        <w:rPr>
          <w:rFonts w:ascii="Times New Roman" w:cs="Times New Roman" w:eastAsia="Times New Roman" w:hAnsi="Times New Roman"/>
          <w:sz w:val="18"/>
          <w:szCs w:val="18"/>
          <w:color w:val="auto"/>
        </w:rPr>
        <w:t>35,000</w:t>
      </w:r>
      <w:r>
        <w:rPr>
          <w:sz w:val="20"/>
          <w:szCs w:val="20"/>
          <w:color w:val="auto"/>
        </w:rPr>
        <w:tab/>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8"/>
          <w:szCs w:val="18"/>
          <w:color w:val="auto"/>
        </w:rPr>
        <w:t>25,000</w:t>
      </w:r>
      <w:r>
        <w:rPr>
          <w:sz w:val="20"/>
          <w:szCs w:val="20"/>
          <w:color w:val="auto"/>
        </w:rPr>
        <w:tab/>
      </w:r>
      <w:r>
        <w:rPr>
          <w:rFonts w:ascii="Times New Roman" w:cs="Times New Roman" w:eastAsia="Times New Roman" w:hAnsi="Times New Roman"/>
          <w:sz w:val="18"/>
          <w:szCs w:val="18"/>
          <w:color w:val="auto"/>
        </w:rPr>
        <w:t>25,000</w:t>
      </w:r>
    </w:p>
    <w:p>
      <w:pPr>
        <w:spacing w:after="0" w:line="205"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8"/>
          <w:szCs w:val="18"/>
          <w:color w:val="auto"/>
        </w:rPr>
        <w:t>15,000</w:t>
      </w:r>
      <w:r>
        <w:rPr>
          <w:sz w:val="20"/>
          <w:szCs w:val="20"/>
          <w:color w:val="auto"/>
        </w:rPr>
        <w:tab/>
      </w:r>
      <w:r>
        <w:rPr>
          <w:rFonts w:ascii="Times New Roman" w:cs="Times New Roman" w:eastAsia="Times New Roman" w:hAnsi="Times New Roman"/>
          <w:sz w:val="18"/>
          <w:szCs w:val="18"/>
          <w:color w:val="auto"/>
        </w:rPr>
        <w:t>15,000</w:t>
      </w:r>
    </w:p>
    <w:p>
      <w:pPr>
        <w:spacing w:after="0" w:line="378"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8"/>
          <w:szCs w:val="18"/>
          <w:color w:val="auto"/>
        </w:rPr>
        <w:t>15,000</w:t>
      </w:r>
      <w:r>
        <w:rPr>
          <w:sz w:val="20"/>
          <w:szCs w:val="20"/>
          <w:color w:val="auto"/>
        </w:rPr>
        <w:tab/>
      </w:r>
      <w:r>
        <w:rPr>
          <w:rFonts w:ascii="Times New Roman" w:cs="Times New Roman" w:eastAsia="Times New Roman" w:hAnsi="Times New Roman"/>
          <w:sz w:val="18"/>
          <w:szCs w:val="18"/>
          <w:color w:val="auto"/>
        </w:rPr>
        <w:t>15,000</w:t>
      </w:r>
    </w:p>
    <w:p>
      <w:pPr>
        <w:spacing w:after="0" w:line="378"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8"/>
          <w:szCs w:val="18"/>
          <w:color w:val="auto"/>
        </w:rPr>
        <w:t>16,000</w:t>
      </w:r>
      <w:r>
        <w:rPr>
          <w:sz w:val="20"/>
          <w:szCs w:val="20"/>
          <w:color w:val="auto"/>
        </w:rPr>
        <w:tab/>
      </w:r>
      <w:r>
        <w:rPr>
          <w:rFonts w:ascii="Times New Roman" w:cs="Times New Roman" w:eastAsia="Times New Roman" w:hAnsi="Times New Roman"/>
          <w:sz w:val="18"/>
          <w:szCs w:val="18"/>
          <w:color w:val="auto"/>
        </w:rPr>
        <w:t>16,000</w:t>
      </w:r>
    </w:p>
    <w:p>
      <w:pPr>
        <w:spacing w:after="0" w:line="205"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8"/>
          <w:szCs w:val="18"/>
          <w:color w:val="auto"/>
        </w:rPr>
        <w:t>35,000</w:t>
      </w:r>
      <w:r>
        <w:rPr>
          <w:sz w:val="20"/>
          <w:szCs w:val="20"/>
          <w:color w:val="auto"/>
        </w:rPr>
        <w:tab/>
      </w:r>
      <w:r>
        <w:rPr>
          <w:rFonts w:ascii="Times New Roman" w:cs="Times New Roman" w:eastAsia="Times New Roman" w:hAnsi="Times New Roman"/>
          <w:sz w:val="18"/>
          <w:szCs w:val="18"/>
          <w:color w:val="auto"/>
        </w:rPr>
        <w:t>35,000</w:t>
      </w:r>
    </w:p>
    <w:p>
      <w:pPr>
        <w:spacing w:after="0" w:line="205" w:lineRule="exact"/>
        <w:rPr>
          <w:sz w:val="20"/>
          <w:szCs w:val="20"/>
          <w:color w:val="auto"/>
        </w:rPr>
      </w:pPr>
    </w:p>
    <w:p>
      <w:pPr>
        <w:ind w:left="80"/>
        <w:spacing w:after="0"/>
        <w:tabs>
          <w:tab w:leader="none" w:pos="1420" w:val="left"/>
        </w:tabs>
        <w:rPr>
          <w:sz w:val="20"/>
          <w:szCs w:val="20"/>
          <w:color w:val="auto"/>
        </w:rPr>
      </w:pPr>
      <w:r>
        <w:rPr>
          <w:rFonts w:ascii="Times New Roman" w:cs="Times New Roman" w:eastAsia="Times New Roman" w:hAnsi="Times New Roman"/>
          <w:sz w:val="17"/>
          <w:szCs w:val="17"/>
          <w:color w:val="auto"/>
        </w:rPr>
        <w:t>11,000</w:t>
      </w:r>
      <w:r>
        <w:rPr>
          <w:sz w:val="20"/>
          <w:szCs w:val="20"/>
          <w:color w:val="auto"/>
        </w:rPr>
        <w:tab/>
      </w:r>
      <w:r>
        <w:rPr>
          <w:rFonts w:ascii="Times New Roman" w:cs="Times New Roman" w:eastAsia="Times New Roman" w:hAnsi="Times New Roman"/>
          <w:sz w:val="17"/>
          <w:szCs w:val="17"/>
          <w:color w:val="auto"/>
        </w:rPr>
        <w:t>11,000</w:t>
      </w:r>
    </w:p>
    <w:p>
      <w:pPr>
        <w:spacing w:after="0" w:line="281" w:lineRule="exact"/>
        <w:rPr>
          <w:sz w:val="20"/>
          <w:szCs w:val="20"/>
          <w:color w:val="auto"/>
        </w:rPr>
      </w:pPr>
    </w:p>
    <w:p>
      <w:pPr>
        <w:sectPr>
          <w:pgSz w:w="11900" w:h="16838" w:orient="portrait"/>
          <w:cols w:equalWidth="0" w:num="2">
            <w:col w:w="8760" w:space="500"/>
            <w:col w:w="198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30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maturing through December 2107; bearing interest at a weighted average of 4.0%</w:t>
            </w:r>
          </w:p>
        </w:tc>
        <w:tc>
          <w:tcPr>
            <w:tcW w:w="28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49,813</w:t>
            </w:r>
          </w:p>
        </w:tc>
        <w:tc>
          <w:tcPr>
            <w:tcW w:w="0" w:type="dxa"/>
            <w:vAlign w:val="bottom"/>
          </w:tcPr>
          <w:p>
            <w:pPr>
              <w:spacing w:after="0"/>
              <w:rPr>
                <w:sz w:val="1"/>
                <w:szCs w:val="1"/>
                <w:color w:val="auto"/>
              </w:rPr>
            </w:pPr>
          </w:p>
        </w:tc>
      </w:tr>
      <w:tr>
        <w:trPr>
          <w:trHeight w:val="92"/>
        </w:trPr>
        <w:tc>
          <w:tcPr>
            <w:tcW w:w="86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maturing through March 2025; bearing interest up to 8.1%</w:t>
            </w:r>
          </w:p>
        </w:tc>
        <w:tc>
          <w:tcPr>
            <w:tcW w:w="28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92"/>
        </w:trPr>
        <w:tc>
          <w:tcPr>
            <w:tcW w:w="866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debt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603,477</w:t>
            </w:r>
          </w:p>
        </w:tc>
        <w:tc>
          <w:tcPr>
            <w:tcW w:w="0" w:type="dxa"/>
            <w:vAlign w:val="bottom"/>
          </w:tcPr>
          <w:p>
            <w:pPr>
              <w:spacing w:after="0"/>
              <w:rPr>
                <w:sz w:val="1"/>
                <w:szCs w:val="1"/>
                <w:color w:val="auto"/>
              </w:rPr>
            </w:pPr>
          </w:p>
        </w:tc>
      </w:tr>
      <w:tr>
        <w:trPr>
          <w:trHeight w:val="226"/>
        </w:trPr>
        <w:tc>
          <w:tcPr>
            <w:tcW w:w="8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Less—unamortized debt issuance costs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less unamortized debt issuance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593,983</w:t>
            </w:r>
          </w:p>
        </w:tc>
        <w:tc>
          <w:tcPr>
            <w:tcW w:w="0" w:type="dxa"/>
            <w:vAlign w:val="bottom"/>
          </w:tcPr>
          <w:p>
            <w:pPr>
              <w:spacing w:after="0"/>
              <w:rPr>
                <w:sz w:val="1"/>
                <w:szCs w:val="1"/>
                <w:color w:val="auto"/>
              </w:rPr>
            </w:pPr>
          </w:p>
        </w:tc>
      </w:tr>
      <w:tr>
        <w:trPr>
          <w:trHeight w:val="226"/>
        </w:trPr>
        <w:tc>
          <w:tcPr>
            <w:tcW w:w="8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Less—current maturities of debt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0" w:type="dxa"/>
            <w:vAlign w:val="bottom"/>
          </w:tcPr>
          <w:p>
            <w:pPr>
              <w:spacing w:after="0"/>
              <w:rPr>
                <w:sz w:val="1"/>
                <w:szCs w:val="1"/>
                <w:color w:val="auto"/>
              </w:rPr>
            </w:pPr>
          </w:p>
        </w:tc>
      </w:tr>
      <w:tr>
        <w:trPr>
          <w:trHeight w:val="244"/>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585,015</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8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6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1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February 2023, we entered into first and second amendments to our Amended and Restated Credit Agreement. The first amendment provides, commencing in the fiscal year ending December 31, 2024, that the interest rate margin applied for drawn and undrawn amounts under the Amended and Restated Credit Agreement shall be separately adjusted based on our achievement of certain thresholds and targets on two sustainability related key performance indicator metrics during the prior fiscal year: (i) metric tons of solid waste materials reduced, reused or recycled through our direct operations or with third-parties in collaboration with customers; and (ii) our total recordable incident rate. The second amendment provides that loans under the Amended and Restated Credit Agreement shall bear interest, at our election, at Term SOFR, including a secured overnight financing rate adjustment of 10 basis points, or at a base rate, in each case, plus or minus any sustainable rate adjustment plus an applicable interest rate margin based upon our consolidated net leverage ratio.</w:t>
      </w:r>
    </w:p>
    <w:p>
      <w:pPr>
        <w:spacing w:after="0" w:line="6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 xml:space="preserve">In April 2023, we entered into an equity purchase agreement pursuant to which we agreed to the GFL Acquisition. In connection with the GFL Acquisition, we entered into (i) a commitment letter to obtain short-term secured bridge financing of up to $375,000 and (ii) the third amendment to the Amended and Restated Credit Agreement to, among other things, permit the draw down of the short-term secured bridge financing and authorize a delayed draw term loan facility to be executed with customary limited condition provisions. The short-term secured bridge financing was undrawn and subsequently terminated in May 2023 when we entered into a loan joinder, which provided for a $430,000 aggregate principal amount 2023 Term Loan Facility under the Amended and Restated Credit Agreement. In June 2023, we borrowed $430,000 under the 2023 Term Loan Facility and paid certain fees and costs due and payable in connection therewith. Borrowings from the 2023 Term Loan Facility were used to fund, in conjunction with the net proceeds from the public offering of our Class A common stock completed on June 16, 2023, cash and cash equivalents and borrowings from our Revolving Credit Facility, the GFL Acquisition.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further disclosure regarding the public offering.</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June 2023, we entered into an asset purchase agreement pursuant to which we agreed to the Twin Bridges Acquisition. In connection with the Twin Bridges Acquisition, we entered into a commitment letter to obtain short-term unsecured bridge financing of up to $200,000 that was undrawn and subsequently terminated when we completed the public offering of our Class A common stock on June 16, 2023. Net proceeds from the public equity offering completed on June 16, 2023, together with cash and cash equivalents, were used to fund the Twin Bridges Acquisition.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further disclosure regarding the public offering.</w:t>
      </w:r>
    </w:p>
    <w:p>
      <w:pPr>
        <w:spacing w:after="0" w:line="79"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As of December 31, 2023, we are party to the Amended and Restated Credit Agreement, which provides for a $350,000 aggregate principal amount Term Loan Facility and a $300,000 Revolving Credit Facility, with a $75,000 sublimit for letters of credit, and a $430,000 2023 Term Loan Facility (collectively, the "Credit Facility"). We have the right to request, at our discretion, an increase in the amount of loans under the Credit Facility by an aggregate amount of $125,000, subject to further increase based on the terms and conditions set forth in the Amended and Restated Credit Agreement. The Credit Facility has a 5-year term that matures in December 2026. The Credit Facility shall bear interest, at our election, at Term SOFR, including a secured overnight financing rate adjustment of 10 basis points, or at a base rate, in each case plus or minus any sustainable rate adjustment of up to positive or negative 4.0 basis points per annum, plus an applicable interest rate margin based upon our consolidated net leverage ratio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18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Base Rate Loans</w:t>
            </w:r>
          </w:p>
        </w:tc>
      </w:tr>
      <w:tr>
        <w:trPr>
          <w:trHeight w:val="24"/>
        </w:trPr>
        <w:tc>
          <w:tcPr>
            <w:tcW w:w="76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1.125% to 2.125%</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0.125% to 1.125%</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1.125% to 2.125%</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0.125% to 1.125%</w:t>
            </w:r>
          </w:p>
        </w:tc>
      </w:tr>
      <w:tr>
        <w:trPr>
          <w:trHeight w:val="22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Term Loan Facility</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1.625% to 2.625%</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0.625% to 1.625%</w:t>
            </w:r>
          </w:p>
        </w:tc>
      </w:tr>
    </w:tbl>
    <w:p>
      <w:pPr>
        <w:spacing w:after="0" w:line="18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 commitment fee will be charged on undrawn amounts of our Revolving Credit Facility based upon our consolidated net leverage ratio in the range of 0.20% to 0.40% per annum, plus a sustainability adjustment of up to positive or negative 1.0 basis point per annum. The Amended and Restated Credit Agreement provides that Term SOFR is subject to a zero percent floor. We are also required to pay a fronting fee for each letter of credit of 0.25% per annum. Interest under the Amended and Restated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December 31, 2023, further advances were available under the Credit Facility in the amount of $272,267. The available amount is net of outstanding irrevocable letters of credit totaling $27,733, and as of December 31, 2023 no amount had been drawn.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Amended and Restated Credit Agreement requires us to maintain a minimum interest coverage ratio and a maximum consolidated net leverage ratio, to be measured at the end of each fiscal quarter. In addition to these financial covenants, the Amended and Restated Credit Agreement contains a number of important customary affirmative and negative covenants which restrict, among other things, our ability to sell assets, incur additional debt, create liens, make investments, and pay dividends. As of December 31, 2023, we were in compliance with the covenants contained in the Amended and Restated Credit Agreement.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Tax-Exempt Financings</w:t>
      </w:r>
    </w:p>
    <w:p>
      <w:pPr>
        <w:spacing w:after="0" w:line="11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Industrial revenue bonds are tax-exempt municipal debt securities issued by a government agency on our behalf and sold only to qualified institutional buyers. As of December 31, 2023, we had outstanding $232.0 million aggregate principal amount of tax-exempt bonds in the states of New York, Vermont, Maine and New Hampshire (collectively, the "Industrial Revenue Bonds"), which are unsecured and guaranteed jointly and severally, fully and unconditionally by all of our significant wholly-owned subsidiaries, and require interest payments semi-annually. The Industrial Revenue Bonds have fixed rate interest periods. At the end of each respective fixed rate interest period, the corresponding tax-exempt bond may be converted to a variable rate interest period or remarketed over a new fixed rate interest period. We borrowed the proceeds of the Industrial Revenue Bonds to finance or reimburse certain qualified capital projects and other costs in each respective state of issuance as defined in the related offering memorandum and indenture.</w:t>
      </w:r>
    </w:p>
    <w:p>
      <w:pPr>
        <w:spacing w:after="0" w:line="8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 fiscal year 2023, we completed the issuance of $35,000 aggregate principal amount of New York Bonds 2020R-2 and in fiscal year 2022 we completed the issuance of $35,000 aggregate principal amount of Vermont Bonds 2022A-1.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interest expense are as follows:</w:t>
      </w:r>
    </w:p>
    <w:p>
      <w:pPr>
        <w:spacing w:after="0" w:line="3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long-term debt and finance leases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w:t>
            </w:r>
          </w:p>
        </w:tc>
      </w:tr>
      <w:tr>
        <w:trPr>
          <w:trHeight w:val="23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Amortization of debt issuance costs </w:t>
            </w:r>
            <w:r>
              <w:rPr>
                <w:rFonts w:ascii="Times New Roman" w:cs="Times New Roman" w:eastAsia="Times New Roman" w:hAnsi="Times New Roman"/>
                <w:sz w:val="14"/>
                <w:szCs w:val="14"/>
                <w:color w:val="auto"/>
              </w:rPr>
              <w:t>(1)</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 of credit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6"/>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capitalized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640" w:right="160" w:hanging="634"/>
        <w:spacing w:after="0" w:line="261" w:lineRule="auto"/>
        <w:tabs>
          <w:tab w:leader="none" w:pos="6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expense related to a short-term secured bridge financing entered into in connection with the GFL Acquisition and interest expense related to a short-term unsecured bridge financing entered into in connection with the Twin Bridges Acquisition of $395 and $101, respectively, during the fiscal year ended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Termination of Bridge Financing</w:t>
      </w:r>
    </w:p>
    <w:p>
      <w:pPr>
        <w:spacing w:after="0" w:line="1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fiscal year ended December 31, 2023, we wrote-off the unamortized debt issuance costs and recognized a loss from termination of bridge financing upon the extinguishment of both a secured bridge financing agreement in connection with the GFL Acquisition of $3,718, and an unsecured bridge financing agreement in connection with the Twin Bridges Acquisition of $4,473.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income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to the notional amount of interest rate derivative agreements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Forward Starting</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r>
      <w:tr>
        <w:trPr>
          <w:trHeight w:val="226"/>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Commencements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1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Balance, December 31, 2022 </w:t>
            </w:r>
            <w:r>
              <w:rPr>
                <w:rFonts w:ascii="Times New Roman" w:cs="Times New Roman" w:eastAsia="Times New Roman" w:hAnsi="Times New Roman"/>
                <w:sz w:val="14"/>
                <w:szCs w:val="14"/>
                <w:color w:val="auto"/>
              </w:rPr>
              <w:t>(1)</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210,000</w:t>
            </w:r>
          </w:p>
        </w:tc>
      </w:tr>
      <w:tr>
        <w:trPr>
          <w:trHeight w:val="226"/>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390,000</w:t>
            </w:r>
          </w:p>
        </w:tc>
      </w:tr>
      <w:tr>
        <w:trPr>
          <w:trHeight w:val="226"/>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Commencements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r>
      <w:tr>
        <w:trPr>
          <w:trHeight w:val="21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Balance, December 31, 2023 </w:t>
            </w:r>
            <w:r>
              <w:rPr>
                <w:rFonts w:ascii="Times New Roman" w:cs="Times New Roman" w:eastAsia="Times New Roman" w:hAnsi="Times New Roman"/>
                <w:sz w:val="14"/>
                <w:szCs w:val="14"/>
                <w:color w:val="auto"/>
              </w:rPr>
              <w:t>(2)</w:t>
            </w: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515,000</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640" w:right="180" w:hanging="634"/>
        <w:spacing w:after="0" w:line="275" w:lineRule="auto"/>
        <w:tabs>
          <w:tab w:leader="none" w:pos="63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These agreements mature between May 2023 and May 2028 and state that we receive interest based on 1-month LIBOR, restricted by a 0.0% floor in some instances, and pay interest at a weighted average rate of approximately 2.11%.</w:t>
      </w:r>
    </w:p>
    <w:p>
      <w:pPr>
        <w:spacing w:after="0" w:line="4" w:lineRule="exact"/>
        <w:rPr>
          <w:rFonts w:ascii="Times New Roman" w:cs="Times New Roman" w:eastAsia="Times New Roman" w:hAnsi="Times New Roman"/>
          <w:sz w:val="14"/>
          <w:szCs w:val="14"/>
          <w:color w:val="auto"/>
        </w:rPr>
      </w:pPr>
    </w:p>
    <w:p>
      <w:pPr>
        <w:ind w:left="640" w:right="160" w:hanging="634"/>
        <w:spacing w:after="0" w:line="275" w:lineRule="auto"/>
        <w:tabs>
          <w:tab w:leader="none" w:pos="63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These agreements mature between February 2026 and June 2028 and state that we receive interest based on Term SOFR, restricted by a 0.0% floor, and pay interest at a weighted average rate of approximately 3.60%.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effect of cash flow hedges related to derivative instruments on the consolidated balance sheets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180" w:type="dxa"/>
            <w:vAlign w:val="bottom"/>
          </w:tcPr>
          <w:p>
            <w:pPr>
              <w:spacing w:after="0"/>
              <w:rPr>
                <w:sz w:val="10"/>
                <w:szCs w:val="10"/>
                <w:color w:val="auto"/>
              </w:rPr>
            </w:pPr>
          </w:p>
        </w:tc>
        <w:tc>
          <w:tcPr>
            <w:tcW w:w="508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0"/>
                <w:szCs w:val="10"/>
                <w:color w:val="auto"/>
              </w:rPr>
            </w:pPr>
          </w:p>
        </w:tc>
        <w:tc>
          <w:tcPr>
            <w:tcW w:w="1340" w:type="dxa"/>
            <w:vAlign w:val="bottom"/>
            <w:gridSpan w:val="2"/>
          </w:tcPr>
          <w:p>
            <w:pPr>
              <w:ind w:left="100"/>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0"/>
                <w:szCs w:val="10"/>
                <w:color w:val="auto"/>
              </w:rPr>
            </w:pPr>
          </w:p>
        </w:tc>
        <w:tc>
          <w:tcPr>
            <w:tcW w:w="1140" w:type="dxa"/>
            <w:vAlign w:val="bottom"/>
          </w:tcPr>
          <w:p>
            <w:pPr>
              <w:jc w:val="right"/>
              <w:ind w:right="215"/>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3"/>
        </w:trPr>
        <w:tc>
          <w:tcPr>
            <w:tcW w:w="3180" w:type="dxa"/>
            <w:vAlign w:val="bottom"/>
          </w:tcPr>
          <w:p>
            <w:pPr>
              <w:spacing w:after="0"/>
              <w:rPr>
                <w:sz w:val="16"/>
                <w:szCs w:val="16"/>
                <w:color w:val="auto"/>
              </w:rPr>
            </w:pPr>
          </w:p>
        </w:tc>
        <w:tc>
          <w:tcPr>
            <w:tcW w:w="5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6"/>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0" w:type="dxa"/>
            <w:vAlign w:val="bottom"/>
          </w:tcPr>
          <w:p>
            <w:pPr>
              <w:spacing w:after="0"/>
              <w:rPr>
                <w:sz w:val="1"/>
                <w:szCs w:val="1"/>
                <w:color w:val="auto"/>
              </w:rPr>
            </w:pPr>
          </w:p>
        </w:tc>
      </w:tr>
      <w:tr>
        <w:trPr>
          <w:trHeight w:val="226"/>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180" w:type="dxa"/>
            <w:vAlign w:val="bottom"/>
            <w:tcBorders>
              <w:bottom w:val="single" w:sz="8" w:color="CCEEFF"/>
            </w:tcBorders>
          </w:tcPr>
          <w:p>
            <w:pPr>
              <w:spacing w:after="0"/>
              <w:rPr>
                <w:sz w:val="18"/>
                <w:szCs w:val="18"/>
                <w:color w:val="auto"/>
              </w:rPr>
            </w:pPr>
          </w:p>
        </w:tc>
        <w:tc>
          <w:tcPr>
            <w:tcW w:w="4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80" w:type="dxa"/>
            <w:vAlign w:val="bottom"/>
            <w:tcBorders>
              <w:bottom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Interest rate swaps</w:t>
            </w:r>
          </w:p>
        </w:tc>
        <w:tc>
          <w:tcPr>
            <w:tcW w:w="5080" w:type="dxa"/>
            <w:vAlign w:val="bottom"/>
            <w:tcBorders>
              <w:bottom w:val="single" w:sz="8" w:color="CCEEFF"/>
            </w:tcBorders>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jc w:val="right"/>
              <w:ind w:right="1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11,762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1"/>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 net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0" w:type="dxa"/>
            <w:vAlign w:val="bottom"/>
          </w:tcPr>
          <w:p>
            <w:pPr>
              <w:spacing w:after="0"/>
              <w:rPr>
                <w:sz w:val="1"/>
                <w:szCs w:val="1"/>
                <w:color w:val="auto"/>
              </w:rPr>
            </w:pPr>
          </w:p>
        </w:tc>
      </w:tr>
      <w:tr>
        <w:trPr>
          <w:trHeight w:val="226"/>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 - tax effect</w:t>
            </w:r>
          </w:p>
        </w:tc>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2023, the fair value of the Industrial Revenue Bonds was approximately $226,756 and the carrying value was $232,000. The fair value of the Industrial Revenue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7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As of December 31, 2023, the carrying values of our Term Loan Facility and 2023 Term Loan Facility were $350,000 and $419,250, respectively, and the carrying value of our Revolving Credit Facility was zero dollars. Their fair values are based on current borrowing rates for similar types of borrowing arrangements, or Level 2 inputs, and approximate their carrying values.</w:t>
      </w:r>
    </w:p>
    <w:p>
      <w:pPr>
        <w:spacing w:after="0" w:line="6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of the Industrial Revenue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Future Maturities of Debt</w:t>
            </w: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9"/>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principal maturities of debt as of December 31, 2023 for each of the next five fiscal years and thereafter are as follows:</w:t>
            </w:r>
          </w:p>
        </w:tc>
        <w:tc>
          <w:tcPr>
            <w:tcW w:w="1360" w:type="dxa"/>
            <w:vAlign w:val="bottom"/>
          </w:tcPr>
          <w:p>
            <w:pPr>
              <w:spacing w:after="0"/>
              <w:rPr>
                <w:sz w:val="24"/>
                <w:szCs w:val="24"/>
                <w:color w:val="auto"/>
              </w:rPr>
            </w:pPr>
          </w:p>
        </w:tc>
      </w:tr>
      <w:tr>
        <w:trPr>
          <w:trHeight w:val="26"/>
        </w:trPr>
        <w:tc>
          <w:tcPr>
            <w:tcW w:w="9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2024</w:t>
            </w:r>
          </w:p>
        </w:tc>
        <w:tc>
          <w:tcPr>
            <w:tcW w:w="68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35,781</w:t>
            </w:r>
          </w:p>
        </w:tc>
      </w:tr>
      <w:tr>
        <w:trPr>
          <w:trHeight w:val="22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2025</w:t>
            </w: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66,455</w:t>
            </w:r>
          </w:p>
        </w:tc>
      </w:tr>
      <w:tr>
        <w:trPr>
          <w:trHeight w:val="22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2026</w:t>
            </w:r>
          </w:p>
        </w:tc>
        <w:tc>
          <w:tcPr>
            <w:tcW w:w="6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724,288</w:t>
            </w:r>
          </w:p>
        </w:tc>
      </w:tr>
      <w:tr>
        <w:trPr>
          <w:trHeight w:val="22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2027</w:t>
            </w: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r>
      <w:tr>
        <w:trPr>
          <w:trHeight w:val="22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2028</w:t>
            </w:r>
          </w:p>
        </w:tc>
        <w:tc>
          <w:tcPr>
            <w:tcW w:w="6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r>
      <w:tr>
        <w:trPr>
          <w:trHeight w:val="226"/>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214,491</w:t>
            </w:r>
          </w:p>
        </w:tc>
      </w:tr>
      <w:tr>
        <w:trPr>
          <w:trHeight w:val="244"/>
        </w:trPr>
        <w:tc>
          <w:tcPr>
            <w:tcW w:w="9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1,054,546</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440" w:hanging="434"/>
        <w:spacing w:after="0"/>
        <w:tabs>
          <w:tab w:leader="none" w:pos="4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w:t>
      </w:r>
    </w:p>
    <w:p>
      <w:pPr>
        <w:spacing w:after="0" w:line="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 xml:space="preserve">In accordance with FASB ASC 450 - Contingencies, we accrue for legal proceedings, inclusive of legal costs, when losses become probable and reasonably estimable. We have recorded an aggregate accrual of $6,275 relating to our outstanding legal proceedings as of December 31, 2023.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 See Note 18, </w:t>
      </w:r>
      <w:r>
        <w:rPr>
          <w:rFonts w:ascii="Times New Roman" w:cs="Times New Roman" w:eastAsia="Times New Roman" w:hAnsi="Times New Roman"/>
          <w:sz w:val="17"/>
          <w:szCs w:val="17"/>
          <w:i w:val="1"/>
          <w:iCs w:val="1"/>
          <w:color w:val="auto"/>
        </w:rPr>
        <w:t>Other Items and Charges</w:t>
      </w:r>
      <w:r>
        <w:rPr>
          <w:rFonts w:ascii="Times New Roman" w:cs="Times New Roman" w:eastAsia="Times New Roman" w:hAnsi="Times New Roman"/>
          <w:sz w:val="17"/>
          <w:szCs w:val="17"/>
          <w:color w:val="auto"/>
        </w:rPr>
        <w:t xml:space="preserve"> for disclosure regarding a legal settlement charge recorded in fiscal year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Country Environmental Services Expansion Permit</w:t>
      </w:r>
    </w:p>
    <w:p>
      <w:pPr>
        <w:spacing w:after="0" w:line="11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permit for expansion of the Bethlehem, New Hampshire landfill of our subsidiary, North Country Environmental Services, Inc. (“NCES”), known as “Stage VI”, issued in October 2020 (“Permit”), was appealed by the Conservation Law Foundation (“CLF”) to the New Hampshire Waste Management Council (“Council”) on November 9, 2020 on the grounds it failed to meet the public benefit criteria. Following a hearing on the merits during which the Council found that the New Hampshire Department of Environmental Services (“DES”) had reasonably measured and acted lawfully in determining a capacity need for Stage VI, the hearing officer presiding over the proceedings issued an Order on May 11, 2022, without further hearing, determining instead that DES had acted unlawfully in reaching these conclusions (“Hearing Officer’s Order”), and remanded the Permit to DES on this determination. On December 5, 2022, DES and NCES both separately sought review of the Hearing Officer’s Order on appeal to the New Hampshire Supreme Court (“Supreme Court”). The parties presented oral arguments to the Supreme Court on October 3, 2023. On December 28, 2023, the Supreme Court issued a decision reversing the Hearing Officer's Order and held that the Stage VI Permit was lawfully issued by DES, fully resolving this matter and upholding the Stage VI Permit.</w:t>
      </w:r>
    </w:p>
    <w:p>
      <w:pPr>
        <w:spacing w:after="0" w:line="86"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On December 14, 2022, NCES filed an action in Merrimack Superior Court (“Superior Court”) seeking to invalidate the Hearing Officer’s Order as having been adopted in violation of New Hampshire’s statute governing access to public records and meetings in that the Council did not hold a public meeting to deliberate on the Hearing Officer’s Order. The Superior Court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dismissed that proceeding by Order dated April 6, 2023, and NCES appealed that decision to the Supreme Court on April 18, 2023. NCES’s brief on appeal was filed with the Supreme Court on August 11, 2023. On September 26, 2023, CLF filed a Motion to Intervene as well as a memorandum of law asking the Supreme Court to uphold the Superior Court’s dismissal, to which NCES filed an Objection in response on October 23, 2023. The Council filed its brief on October 25, 2023. On November 9, 2023, the Supreme Court issued an Order denying CLF’s Motion to Intervene but treating CLF’s memorandum of law as an amicus brief. NCES filed a reply brief on November 14, 2023. On January 18, 2024, the Supreme Court issued an Order setting a deadline of February 2, 2024 for the parties to submit memoranda addressing the mootness of this appeal in light of the Supreme Court’s December 28, 2023 Order reversing the Hearing Officer’s Order and upholding the Stage VI Permit. NCES subsequently filed a Motion for Vacatur of the Superior Court’s April 6, 2023 Order and a Memorandum in Response to the Supreme Court's February 2, 2024 Order on January 23, 2024. A ruling on the Supreme Court's question of mootness and NCES's Motion for Vacatur remains pending.</w:t>
      </w:r>
    </w:p>
    <w:p>
      <w:pPr>
        <w:spacing w:after="0" w:line="8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On September 20, 2022, NCES, which has since withdrawn as a party, and our subsidiary, Granite State Landfill, LLC ("GSL"), filed a Petition for Declaratory Judgment ("Petition") in the Superior Court asking the Superior Court for a determination of the meaning and constitutionality of New Hampshire’s public benefit requirement, the same statute at issue in the Hearing Officer’s Order. CLF was granted intervention in the Petition proceeding on June 8, 2023. On December 19, 2023, GSL filed a Motion To Stay pending the outcome of the Supreme Court’s consideration of the Stage VI Permit appeal. The Stage VI Permit appeal was decided and upheld by Order of December 28, 2023 as discussed above. As NCES prevailed in the Stage VI Permit appeal, GSL and NCES voluntarily non-suited the Petition on January 2, 2024, resolving this matter.</w:t>
      </w:r>
    </w:p>
    <w:p>
      <w:pPr>
        <w:spacing w:after="0" w:line="79"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On April 12, 2023, DES issued approval of construction plans for Stage VI, Phase II to NCES (“DES Approval”). CLF appealed the DES Approval to the Council on May 11, 2023, on the grounds that it failed to meet the public benefit criteria, and that the DES Approval conflicts with the Hearing Officer’s May 11, 2022 Order determining that DES had acted unlawfully in issuing the Permit, and requested expedited review. The Council has denied CLF's request for expedited review. CLF withdrew its appeal by notice to the Council on February 7, 2024. In light of CLF's withdrawal of appeal, this matter is fully resolved.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Liabilities</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w:t>
      </w:r>
    </w:p>
    <w:p>
      <w:pPr>
        <w:spacing w:after="0" w:line="7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Future changes in our estimates of the cost, timing or duration of the required actions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inflate the estimated costs in current dollars to the expected time of payment and discount the total cost to present value using a risk-free interest rate. The risk-free interest rates associated with our environmental remediation liabilities as of December 31, 2023 range between 1.5% and 7.1%. A summary of the changes to the aggregate environmental remediation liabilities for the twelve months ended December 31, 2023 and 2022 follows: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873"/>
        </w:trPr>
        <w:tc>
          <w:tcPr>
            <w:tcW w:w="1080" w:type="dxa"/>
            <w:vAlign w:val="bottom"/>
            <w:tcBorders>
              <w:top w:val="single" w:sz="8" w:color="0000FF"/>
            </w:tcBorders>
          </w:tcPr>
          <w:p>
            <w:pPr>
              <w:spacing w:after="0"/>
              <w:rPr>
                <w:sz w:val="24"/>
                <w:szCs w:val="24"/>
                <w:color w:val="auto"/>
              </w:rPr>
            </w:pPr>
          </w:p>
        </w:tc>
        <w:tc>
          <w:tcPr>
            <w:tcW w:w="5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0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420" w:type="dxa"/>
            <w:vAlign w:val="bottom"/>
          </w:tcPr>
          <w:p>
            <w:pPr>
              <w:spacing w:after="0"/>
              <w:rPr>
                <w:sz w:val="24"/>
                <w:szCs w:val="24"/>
                <w:color w:val="auto"/>
              </w:rPr>
            </w:pPr>
          </w:p>
        </w:tc>
      </w:tr>
      <w:tr>
        <w:trPr>
          <w:trHeight w:val="192"/>
        </w:trPr>
        <w:tc>
          <w:tcPr>
            <w:tcW w:w="108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tcBorders>
              <w:bottom w:val="single" w:sz="8" w:color="auto"/>
            </w:tcBorders>
          </w:tcPr>
          <w:p>
            <w:pPr>
              <w:spacing w:after="0"/>
              <w:rPr>
                <w:sz w:val="16"/>
                <w:szCs w:val="16"/>
                <w:color w:val="auto"/>
              </w:rPr>
            </w:pPr>
          </w:p>
        </w:tc>
      </w:tr>
      <w:tr>
        <w:trPr>
          <w:trHeight w:val="192"/>
        </w:trPr>
        <w:tc>
          <w:tcPr>
            <w:tcW w:w="1080" w:type="dxa"/>
            <w:vAlign w:val="bottom"/>
            <w:tcBorders>
              <w:bottom w:val="single" w:sz="8" w:color="CCEEFF"/>
            </w:tcBorders>
          </w:tcPr>
          <w:p>
            <w:pPr>
              <w:spacing w:after="0"/>
              <w:rPr>
                <w:sz w:val="16"/>
                <w:szCs w:val="16"/>
                <w:color w:val="auto"/>
              </w:rPr>
            </w:pPr>
          </w:p>
        </w:tc>
        <w:tc>
          <w:tcPr>
            <w:tcW w:w="56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40" w:type="dxa"/>
            <w:vAlign w:val="bottom"/>
            <w:shd w:val="clear" w:color="auto" w:fill="CCEEFF"/>
          </w:tcPr>
          <w:p>
            <w:pPr>
              <w:jc w:val="right"/>
              <w:ind w:right="125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r>
      <w:tr>
        <w:trPr>
          <w:trHeight w:val="226"/>
        </w:trPr>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Accretion expense</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9"/>
        </w:trPr>
        <w:tc>
          <w:tcPr>
            <w:tcW w:w="6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Obligations incurred </w:t>
            </w:r>
            <w:r>
              <w:rPr>
                <w:rFonts w:ascii="Times New Roman" w:cs="Times New Roman" w:eastAsia="Times New Roman" w:hAnsi="Times New Roman"/>
                <w:sz w:val="14"/>
                <w:szCs w:val="14"/>
                <w:color w:val="auto"/>
              </w:rPr>
              <w:t>(1)</w:t>
            </w:r>
          </w:p>
        </w:tc>
        <w:tc>
          <w:tcPr>
            <w:tcW w:w="14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39"/>
        </w:trPr>
        <w:tc>
          <w:tcPr>
            <w:tcW w:w="66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(2)</w:t>
            </w:r>
          </w:p>
        </w:tc>
        <w:tc>
          <w:tcPr>
            <w:tcW w:w="1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19"/>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w:t>
            </w:r>
          </w:p>
        </w:tc>
      </w:tr>
      <w:tr>
        <w:trPr>
          <w:trHeight w:val="226"/>
        </w:trPr>
        <w:tc>
          <w:tcPr>
            <w:tcW w:w="6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44"/>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1440" w:type="dxa"/>
            <w:vAlign w:val="bottom"/>
            <w:tcBorders>
              <w:bottom w:val="single" w:sz="8" w:color="auto"/>
            </w:tcBorders>
            <w:shd w:val="clear" w:color="auto" w:fill="CCEEFF"/>
          </w:tcPr>
          <w:p>
            <w:pPr>
              <w:jc w:val="right"/>
              <w:ind w:right="125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640" w:hanging="634"/>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Associated with the investigation of potential remediation at an inactive waste disposal site that adjoins one of the landfills that we operate.</w:t>
      </w:r>
    </w:p>
    <w:p>
      <w:pPr>
        <w:spacing w:after="0" w:line="112" w:lineRule="exact"/>
        <w:rPr>
          <w:rFonts w:ascii="Times New Roman" w:cs="Times New Roman" w:eastAsia="Times New Roman" w:hAnsi="Times New Roman"/>
          <w:sz w:val="14"/>
          <w:szCs w:val="14"/>
          <w:color w:val="auto"/>
        </w:rPr>
      </w:pPr>
    </w:p>
    <w:p>
      <w:pPr>
        <w:ind w:left="640" w:hanging="634"/>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May include amounts paid and amounts that are being processed through accounts payable as a part of our disbursement cycle.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expected environmental remediation payments, as of December 31, 2023 for each of the next five fiscal years and thereafter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2024</w:t>
            </w:r>
          </w:p>
        </w:tc>
        <w:tc>
          <w:tcPr>
            <w:tcW w:w="80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2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2025</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6"/>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2026</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2027</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6"/>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2028</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6"/>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r>
      <w:tr>
        <w:trPr>
          <w:trHeight w:val="244"/>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A reconciliation of the expected aggregate non-inflated, undiscounted environmental remediation liabilities to the amount recognized in our consolidated balance sheet at December 31, 2023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Undiscounted liability</w:t>
            </w:r>
          </w:p>
        </w:tc>
        <w:tc>
          <w:tcPr>
            <w:tcW w:w="82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r>
      <w:tr>
        <w:trPr>
          <w:trHeight w:val="226"/>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discount, net</w:t>
            </w: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44"/>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 December 31, 2023</w:t>
            </w:r>
          </w:p>
        </w:tc>
        <w:tc>
          <w:tcPr>
            <w:tcW w:w="820" w:type="dxa"/>
            <w:vAlign w:val="bottom"/>
            <w:tcBorders>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Any substantial liability incurred by us arising from environmental damage could have a material adverse effect on our business, financial condition and results of operations.</w:t>
      </w:r>
    </w:p>
    <w:p>
      <w:pPr>
        <w:spacing w:after="0" w:line="162" w:lineRule="exact"/>
        <w:rPr>
          <w:sz w:val="20"/>
          <w:szCs w:val="20"/>
          <w:color w:val="auto"/>
        </w:rPr>
      </w:pPr>
    </w:p>
    <w:p>
      <w:pPr>
        <w:ind w:left="440" w:hanging="434"/>
        <w:spacing w:after="0"/>
        <w:tabs>
          <w:tab w:leader="none" w:pos="4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of Class A Common Stock</w:t>
      </w:r>
    </w:p>
    <w:p>
      <w:pPr>
        <w:spacing w:after="0" w:line="11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On June 16, 2023, we completed a public offering of 6,053 shares of our Class A common stock at a public offering price of $85.50 per share. After deducting stock issuance costs, including underwriting discounts, commissions and offering expenses, the offering resulted in net proceeds of $496,231. The net proceeds from this offering were and are to be used to fund acquisition activity, including the GFL Acquisition and the Twin Bridges Acquisition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pay certain costs associated with acquisition activities, as discussed in Note 18, </w:t>
      </w:r>
      <w:r>
        <w:rPr>
          <w:rFonts w:ascii="Times New Roman" w:cs="Times New Roman" w:eastAsia="Times New Roman" w:hAnsi="Times New Roman"/>
          <w:sz w:val="18"/>
          <w:szCs w:val="18"/>
          <w:i w:val="1"/>
          <w:iCs w:val="1"/>
          <w:color w:val="auto"/>
        </w:rPr>
        <w:t>Other Items and Charges</w:t>
      </w:r>
      <w:r>
        <w:rPr>
          <w:rFonts w:ascii="Times New Roman" w:cs="Times New Roman" w:eastAsia="Times New Roman" w:hAnsi="Times New Roman"/>
          <w:sz w:val="18"/>
          <w:szCs w:val="18"/>
          <w:color w:val="auto"/>
        </w:rPr>
        <w:t xml:space="preserve">, and to repay borrowings and/or debt securities as discussed Note 12, </w:t>
      </w:r>
      <w:r>
        <w:rPr>
          <w:rFonts w:ascii="Times New Roman" w:cs="Times New Roman" w:eastAsia="Times New Roman" w:hAnsi="Times New Roman"/>
          <w:sz w:val="18"/>
          <w:szCs w:val="18"/>
          <w:i w:val="1"/>
          <w:iCs w:val="1"/>
          <w:color w:val="auto"/>
        </w:rPr>
        <w:t>Debt.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holders of the Class A common stock are entitled to one vote for each share held. The holders of the Class B common stock are entitled to ten votes for each share held, except for the election of one director, who is elected by the holders of the Class A common stock exclusively. The Class B common stock is convertible into Class A common stock on a share-for-share basis at the option of the shareholder.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4"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We are authorized to issue up to 944 shares of preferred stock in one or more series. As of December 31, 2023 and December 31, 2022, we had no shares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1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2016 Incentive Plan. </w:t>
      </w:r>
      <w:r>
        <w:rPr>
          <w:rFonts w:ascii="Times New Roman" w:cs="Times New Roman" w:eastAsia="Times New Roman" w:hAnsi="Times New Roman"/>
          <w:sz w:val="18"/>
          <w:szCs w:val="18"/>
          <w:color w:val="auto"/>
        </w:rPr>
        <w:t>In the fiscal year ended December 31, 2016, we adopted the 2016 Incentive Plan (“2016 Plan”). Under the 2016 Plan, we may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or otherwise result in shares not being issued.</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2023, there were 616 Class A common stock equivalents available for future grant under the 2016 Plan, inclusive of additional Class A common stock equivalents that were previously issued under terminated plans and have become available for grant because such awards expired or otherwise resulted in shares not being issued.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equity awards granted primarily consist of stock options, restricted stock awards, restricted stock units and market-based performance stock units.</w:t>
      </w:r>
    </w:p>
    <w:p>
      <w:pPr>
        <w:spacing w:after="0" w:line="11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Stock options are granted at a price equal to the prevailing fair value of our Class A common stock at the date of grant. Generally, stock options granted have a term not to exceed ten years and vest over a one year to five-year period from the date of grant.</w:t>
      </w:r>
    </w:p>
    <w:p>
      <w:pPr>
        <w:spacing w:after="0" w:line="5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fair value of each stock option granted is estimated using a Black-Scholes option-pricing model, which uses a risk-free interest rate, based on the U.S. Treasury yield curve for the period of the expected life of the stock option; and requires extensive use of accounting judgment and financial estimation, including estimates of: the expected term, calculated based on the weighted average historical life of the vested stock options, giving consideration to vesting schedules and historical exercise patterns; and the expected volatility, calculated using the weekly historical volatility of our Class A common stock over the expected life of the stock option.</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Restricted stock awards and restricted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Restricted stock awards granted to non-employee directors vest incrementally over a three-year period beginning on the first anniversary of the date of grant. Restricted stock units granted to non-employee directors vest in full on the first anniversary of the grant date. Restricted stock units vest incrementally over an identified service period beginning on the grant date based on continued employment. Market-based performance stock units vest at a future date following the grant date and are based on the attainment of performance targets and market achievements.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left="229"/>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249"/>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1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40" w:type="dxa"/>
            <w:vAlign w:val="bottom"/>
          </w:tcPr>
          <w:p>
            <w:pPr>
              <w:jc w:val="center"/>
              <w:ind w:left="397"/>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left="229"/>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8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22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55.60</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79.72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66.03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auto"/>
            </w:tcBorders>
            <w:shd w:val="clear" w:color="auto" w:fill="CCEEFF"/>
          </w:tcPr>
          <w:p>
            <w:pPr>
              <w:spacing w:after="0"/>
              <w:rPr>
                <w:sz w:val="20"/>
                <w:szCs w:val="20"/>
                <w:color w:val="auto"/>
              </w:rPr>
            </w:pPr>
          </w:p>
        </w:tc>
        <w:tc>
          <w:tcPr>
            <w:tcW w:w="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December 31, 2023</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57"/>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93"/>
              </w:rPr>
              <w:t>40.60</w:t>
            </w: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1"/>
              <w:spacing w:after="0" w:line="19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years 2023, 2022 and 2021, stock-based compensation expense for stock options was $516, $248 and $28,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years 2023, 2022 and 2021, the aggregate intrinsic value of stock options exercised was $1,302, $1,467 and $1,238, respectively.</w:t>
      </w:r>
    </w:p>
    <w:p>
      <w:pPr>
        <w:spacing w:after="0" w:line="11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As of December 31, 2023, we had $2,108 of unrecognized stock-based compensation expense related to outstanding stock options to be recognized over a weighted average period of 3.9 years.</w:t>
      </w:r>
    </w:p>
    <w:p>
      <w:pPr>
        <w:spacing w:after="0" w:line="5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fair value of stock options granted in fiscal year 2023 were calculated assuming no expected dividend yield using a weighted average expected life of 5.6 years, a risk-free interest rate of 4.6%, and an expected volatility of 30.0%.</w:t>
      </w:r>
    </w:p>
    <w:p>
      <w:pPr>
        <w:spacing w:after="0" w:line="5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Black-Scholes valuation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Stock Awards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award, restricted stock unit and performance stock unit activity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1380" w:type="dxa"/>
            <w:vAlign w:val="bottom"/>
            <w:vMerge w:val="restart"/>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20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3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left="229"/>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20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and Performance Stock</w:t>
            </w:r>
          </w:p>
        </w:tc>
        <w:tc>
          <w:tcPr>
            <w:tcW w:w="1380" w:type="dxa"/>
            <w:vAlign w:val="bottom"/>
          </w:tcPr>
          <w:p>
            <w:pPr>
              <w:jc w:val="center"/>
              <w:ind w:left="437"/>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left="249"/>
              <w:spacing w:after="0" w:line="147" w:lineRule="exact"/>
              <w:rPr>
                <w:sz w:val="20"/>
                <w:szCs w:val="20"/>
                <w:color w:val="auto"/>
              </w:rPr>
            </w:pPr>
            <w:r>
              <w:rPr>
                <w:rFonts w:ascii="Times New Roman" w:cs="Times New Roman" w:eastAsia="Times New Roman" w:hAnsi="Times New Roman"/>
                <w:sz w:val="14"/>
                <w:szCs w:val="14"/>
                <w:b w:val="1"/>
                <w:bCs w:val="1"/>
                <w:color w:val="auto"/>
                <w:w w:val="98"/>
              </w:rPr>
              <w:t>Contractual Term</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34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 (1)</w:t>
            </w:r>
          </w:p>
        </w:tc>
        <w:tc>
          <w:tcPr>
            <w:tcW w:w="1380" w:type="dxa"/>
            <w:vAlign w:val="bottom"/>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6"/>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380" w:type="dxa"/>
            <w:vAlign w:val="bottom"/>
          </w:tcPr>
          <w:p>
            <w:pPr>
              <w:jc w:val="right"/>
              <w:ind w:right="11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vested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canceled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ind w:right="11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December 31, 2023</w:t>
            </w: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40" w:type="dxa"/>
            <w:vAlign w:val="bottom"/>
            <w:vMerge w:val="continue"/>
          </w:tcPr>
          <w:p>
            <w:pPr>
              <w:spacing w:after="0"/>
              <w:rPr>
                <w:sz w:val="17"/>
                <w:szCs w:val="17"/>
                <w:color w:val="auto"/>
              </w:rPr>
            </w:pPr>
          </w:p>
        </w:tc>
        <w:tc>
          <w:tcPr>
            <w:tcW w:w="19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1197"/>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87.35</w:t>
            </w:r>
          </w:p>
        </w:tc>
        <w:tc>
          <w:tcPr>
            <w:tcW w:w="10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24,593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80" w:right="260" w:hanging="314"/>
        <w:spacing w:after="0" w:line="261" w:lineRule="auto"/>
        <w:tabs>
          <w:tab w:leader="none" w:pos="47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 grants are included at 100%. Attainment of maximum performance targets and market achievements would result in the issuance of an additional 107 shares of Class A common stock currently included in unvested. The market-based performance stock unit grants that vested in fiscal year 2023 resulted in the issuance of 43 additional shares of Class A common stock.</w:t>
      </w:r>
    </w:p>
    <w:p>
      <w:pPr>
        <w:spacing w:after="0" w:line="6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During fiscal years 2023, 2022 and 2021, stock-based compensation expense related to restricted stock awards, restricted stock units and performance stock units was $8,116, $7,530 and $11,241,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years 2023, 2022 and 2021, the total fair value of other stock awards vested was $12,048, $17,011 and $20,106, respectively.</w:t>
      </w:r>
    </w:p>
    <w:p>
      <w:pPr>
        <w:spacing w:after="0" w:line="112"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18"/>
          <w:szCs w:val="18"/>
          <w:color w:val="auto"/>
        </w:rPr>
        <w:t>As of December 31, 2023, total unrecognized stock-based compensation expense related to outstanding restricted stock awards was $8, which will be recognized over a weighted average period of 0.5 years. As of December 31, 2023, total unrecognized stock-based compensation expense related to outstanding restricted stock units was $5,362, which will be recognized over a weighted average period of 2.3 years. As of December 31, 2023, total unrecognized stock-based compensation expense related to performance stock units based on our estimated achievement of the established performance criteria was $4,377, which will be recognized over a weighted average period of 1.6 years.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weighted average fair value of market-based performance stock units granted during fiscal year 2023 was $83.16 per award, which was calculated using a Monte Carlo pricing model assuming a risk-free interest rate of 4.3% and an expected volatility of 34.9%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spacing w:after="0" w:line="7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6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We also recorded $451, $376 and $281 of stock-based compensation expense related to our Second Amended and Restated Employee Stock Purchase Plan (“ESPP”) during fiscal years 2023, 2022 and 2021, respectively.</w:t>
      </w:r>
    </w:p>
    <w:p>
      <w:pPr>
        <w:spacing w:after="0" w:line="58"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Tax benefit for income taxes associated with stock-based compensation during fiscal years 2023, 2022 and 2021 was $(2,330), $(1,744) and $(2,304),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Income, Net of Tax</w:t>
      </w:r>
    </w:p>
    <w:p>
      <w:pPr>
        <w:spacing w:after="0" w:line="1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Accumulated other comprehensive (loss) income, net of tax is a component of stockholders' equity included in the accompanying consolidated balance sheets and includes, as applicable, the effective portion of changes in the fair value of our cash flow hedges and the changes in fair value of our marketable securities.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(loss) income, net of tax are as follows:</w:t>
      </w:r>
    </w:p>
    <w:p>
      <w:pPr>
        <w:spacing w:after="0" w:line="39"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4"/>
          <w:szCs w:val="14"/>
          <w:b w:val="1"/>
          <w:bCs w:val="1"/>
          <w:color w:val="auto"/>
        </w:rPr>
        <w:t>Interest Rate Swaps</w:t>
      </w:r>
    </w:p>
    <w:p>
      <w:pPr>
        <w:sectPr>
          <w:pgSz w:w="11900" w:h="16838" w:orient="portrait"/>
          <w:cols w:equalWidth="0" w:num="1">
            <w:col w:w="11240"/>
          </w:cols>
          <w:pgMar w:left="320" w:top="115"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225" cy="1517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p>
      <w:pPr>
        <w:spacing w:after="0" w:line="32" w:lineRule="exact"/>
        <w:rPr>
          <w:sz w:val="20"/>
          <w:szCs w:val="20"/>
          <w:color w:val="auto"/>
        </w:rPr>
      </w:pPr>
    </w:p>
    <w:p>
      <w:pPr>
        <w:ind w:left="440" w:right="3420"/>
        <w:spacing w:after="0" w:line="281" w:lineRule="auto"/>
        <w:rPr>
          <w:sz w:val="20"/>
          <w:szCs w:val="20"/>
          <w:color w:val="auto"/>
        </w:rPr>
      </w:pPr>
      <w:r>
        <w:rPr>
          <w:rFonts w:ascii="Times New Roman" w:cs="Times New Roman" w:eastAsia="Times New Roman" w:hAnsi="Times New Roman"/>
          <w:sz w:val="17"/>
          <w:szCs w:val="17"/>
          <w:color w:val="auto"/>
        </w:rPr>
        <w:t>Amounts reclassified from accumulated other comprehensive loss Income tax provision related to items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-287020</wp:posOffset>
            </wp:positionV>
            <wp:extent cx="7134225" cy="143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0</wp:posOffset>
            </wp:positionV>
            <wp:extent cx="7134225" cy="1517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225" cy="151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12" w:lineRule="exact"/>
        <w:rPr>
          <w:sz w:val="20"/>
          <w:szCs w:val="20"/>
          <w:color w:val="auto"/>
        </w:rPr>
      </w:pPr>
    </w:p>
    <w:p>
      <w:pPr>
        <w:ind w:left="460" w:right="3400"/>
        <w:spacing w:after="0" w:line="281" w:lineRule="auto"/>
        <w:rPr>
          <w:sz w:val="20"/>
          <w:szCs w:val="20"/>
          <w:color w:val="auto"/>
        </w:rPr>
      </w:pPr>
      <w:r>
        <w:rPr>
          <w:rFonts w:ascii="Times New Roman" w:cs="Times New Roman" w:eastAsia="Times New Roman" w:hAnsi="Times New Roman"/>
          <w:sz w:val="17"/>
          <w:szCs w:val="17"/>
          <w:color w:val="auto"/>
        </w:rPr>
        <w:t>Amounts reclassified from accumulated other comprehensive loss Income tax provision related to items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7134225" cy="143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225" cy="151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225" cy="143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tax benefit related to items in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51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1120" w:hanging="1116"/>
        <w:spacing w:after="0"/>
        <w:tabs>
          <w:tab w:leader="none" w:pos="11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(11,517)</w:t>
      </w:r>
    </w:p>
    <w:p>
      <w:pPr>
        <w:spacing w:after="0" w:line="43" w:lineRule="exact"/>
        <w:rPr>
          <w:rFonts w:ascii="Times New Roman" w:cs="Times New Roman" w:eastAsia="Times New Roman" w:hAnsi="Times New Roman"/>
          <w:sz w:val="17"/>
          <w:szCs w:val="17"/>
          <w:color w:val="auto"/>
        </w:rPr>
      </w:pPr>
    </w:p>
    <w:p>
      <w:pPr>
        <w:ind w:left="1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3,737</w:t>
      </w:r>
    </w:p>
    <w:p>
      <w:pPr>
        <w:spacing w:after="0" w:line="24" w:lineRule="exact"/>
        <w:rPr>
          <w:rFonts w:ascii="Times New Roman" w:cs="Times New Roman" w:eastAsia="Times New Roman" w:hAnsi="Times New Roman"/>
          <w:sz w:val="17"/>
          <w:szCs w:val="17"/>
          <w:color w:val="auto"/>
        </w:rPr>
      </w:pPr>
    </w:p>
    <w:p>
      <w:pPr>
        <w:ind w:left="1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-283210</wp:posOffset>
            </wp:positionV>
            <wp:extent cx="11144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8"/>
          <w:szCs w:val="18"/>
          <w:color w:val="auto"/>
        </w:rPr>
        <w:t>(2,086)</w:t>
      </w:r>
    </w:p>
    <w:p>
      <w:pPr>
        <w:spacing w:after="0" w:line="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6,414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11144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(5,103)</w:t>
      </w:r>
    </w:p>
    <w:p>
      <w:pPr>
        <w:spacing w:after="0" w:line="3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15,297</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1,443</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(4,095)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11430</wp:posOffset>
            </wp:positionV>
            <wp:extent cx="11144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12,645</w:t>
      </w:r>
    </w:p>
    <w:p>
      <w:pPr>
        <w:spacing w:after="0" w:line="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7,542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11144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(6,843)</w:t>
      </w:r>
    </w:p>
    <w:p>
      <w:pPr>
        <w:spacing w:after="0" w:line="2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(6,361)</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4,582</w:t>
      </w:r>
    </w:p>
    <w:p>
      <w:pPr>
        <w:spacing w:after="0" w:line="2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11144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2" w:lineRule="exact"/>
        <w:rPr>
          <w:sz w:val="20"/>
          <w:szCs w:val="20"/>
          <w:color w:val="auto"/>
        </w:rPr>
      </w:pPr>
    </w:p>
    <w:p>
      <w:pPr>
        <w:ind w:left="1200" w:hanging="1196"/>
        <w:spacing w:after="0"/>
        <w:tabs>
          <w:tab w:leader="none" w:pos="12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22860</wp:posOffset>
            </wp:positionV>
            <wp:extent cx="11144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48260</wp:posOffset>
            </wp:positionV>
            <wp:extent cx="11144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80" w:space="720"/>
            <w:col w:w="1740"/>
          </w:cols>
          <w:pgMar w:left="320" w:top="115" w:right="339" w:bottom="1440" w:gutter="0" w:footer="0" w:header="0"/>
          <w:type w:val="continuous"/>
        </w:sectPr>
      </w:pPr>
    </w:p>
    <w:p>
      <w:pPr>
        <w:spacing w:after="0" w:line="70"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A summary of reclassifications out of accumulated other comprehensive (loss) income, net of tax for fiscal years 2023, 2022 and 2021 is as follows:</w:t>
      </w:r>
    </w:p>
    <w:p>
      <w:pPr>
        <w:spacing w:after="0" w:line="4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ind w:left="51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352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rPr>
              <w:t>Details About Accumulated Other Comprehensive (Loss)</w:t>
            </w:r>
          </w:p>
        </w:tc>
        <w:tc>
          <w:tcPr>
            <w:tcW w:w="100" w:type="dxa"/>
            <w:vAlign w:val="bottom"/>
          </w:tcPr>
          <w:p>
            <w:pPr>
              <w:spacing w:after="0"/>
              <w:rPr>
                <w:sz w:val="10"/>
                <w:szCs w:val="10"/>
                <w:color w:val="auto"/>
              </w:rPr>
            </w:pPr>
          </w:p>
        </w:tc>
        <w:tc>
          <w:tcPr>
            <w:tcW w:w="3900" w:type="dxa"/>
            <w:vAlign w:val="bottom"/>
            <w:gridSpan w:val="7"/>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Accumulated Other Comprehensive (Loss) Income, Net of Tax</w:t>
            </w:r>
          </w:p>
        </w:tc>
        <w:tc>
          <w:tcPr>
            <w:tcW w:w="3660" w:type="dxa"/>
            <w:vAlign w:val="bottom"/>
          </w:tcPr>
          <w:p>
            <w:pPr>
              <w:ind w:left="700"/>
              <w:spacing w:after="0" w:line="120" w:lineRule="exact"/>
              <w:rPr>
                <w:sz w:val="20"/>
                <w:szCs w:val="20"/>
                <w:color w:val="auto"/>
              </w:rPr>
            </w:pPr>
            <w:r>
              <w:rPr>
                <w:rFonts w:ascii="Times New Roman" w:cs="Times New Roman" w:eastAsia="Times New Roman" w:hAnsi="Times New Roman"/>
                <w:sz w:val="13"/>
                <w:szCs w:val="13"/>
                <w:b w:val="1"/>
                <w:bCs w:val="1"/>
                <w:color w:val="auto"/>
              </w:rPr>
              <w:t>Affected Line Item in the Consolidated</w:t>
            </w:r>
          </w:p>
        </w:tc>
        <w:tc>
          <w:tcPr>
            <w:tcW w:w="0" w:type="dxa"/>
            <w:vAlign w:val="bottom"/>
          </w:tcPr>
          <w:p>
            <w:pPr>
              <w:spacing w:after="0"/>
              <w:rPr>
                <w:sz w:val="1"/>
                <w:szCs w:val="1"/>
                <w:color w:val="auto"/>
              </w:rPr>
            </w:pPr>
          </w:p>
        </w:tc>
      </w:tr>
      <w:tr>
        <w:trPr>
          <w:trHeight w:val="193"/>
        </w:trPr>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Net of Tax Components</w:t>
            </w:r>
          </w:p>
        </w:tc>
        <w:tc>
          <w:tcPr>
            <w:tcW w:w="100" w:type="dxa"/>
            <w:vAlign w:val="bottom"/>
          </w:tcPr>
          <w:p>
            <w:pPr>
              <w:spacing w:after="0"/>
              <w:rPr>
                <w:sz w:val="16"/>
                <w:szCs w:val="16"/>
                <w:color w:val="auto"/>
              </w:rPr>
            </w:pPr>
          </w:p>
        </w:tc>
        <w:tc>
          <w:tcPr>
            <w:tcW w:w="3900" w:type="dxa"/>
            <w:vAlign w:val="bottom"/>
            <w:gridSpan w:val="7"/>
            <w:vMerge w:val="continue"/>
          </w:tcPr>
          <w:p>
            <w:pPr>
              <w:spacing w:after="0"/>
              <w:rPr>
                <w:sz w:val="16"/>
                <w:szCs w:val="16"/>
                <w:color w:val="auto"/>
              </w:rPr>
            </w:pPr>
          </w:p>
        </w:tc>
        <w:tc>
          <w:tcPr>
            <w:tcW w:w="366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233"/>
        </w:trPr>
        <w:tc>
          <w:tcPr>
            <w:tcW w:w="3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Interest rate swaps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w w:val="98"/>
              </w:rPr>
              <w:t>(6,361)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8"/>
              </w:rPr>
              <w:t>4,763</w:t>
            </w:r>
          </w:p>
        </w:tc>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19"/>
        </w:trPr>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left="537"/>
              <w:spacing w:after="0"/>
              <w:rPr>
                <w:sz w:val="20"/>
                <w:szCs w:val="20"/>
                <w:color w:val="auto"/>
              </w:rPr>
            </w:pPr>
            <w:r>
              <w:rPr>
                <w:rFonts w:ascii="Times New Roman" w:cs="Times New Roman" w:eastAsia="Times New Roman" w:hAnsi="Times New Roman"/>
                <w:sz w:val="18"/>
                <w:szCs w:val="18"/>
                <w:color w:val="auto"/>
                <w:w w:val="93"/>
              </w:rPr>
              <w:t>6,361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w w:val="98"/>
              </w:rPr>
              <w:t>(4,763)</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0" w:type="dxa"/>
            <w:vAlign w:val="bottom"/>
          </w:tcPr>
          <w:p>
            <w:pPr>
              <w:spacing w:after="0"/>
              <w:rPr>
                <w:sz w:val="1"/>
                <w:szCs w:val="1"/>
                <w:color w:val="auto"/>
              </w:rPr>
            </w:pPr>
          </w:p>
        </w:tc>
      </w:tr>
      <w:tr>
        <w:trPr>
          <w:trHeight w:val="226"/>
        </w:trPr>
        <w:tc>
          <w:tcPr>
            <w:tcW w:w="35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537"/>
              <w:spacing w:after="0"/>
              <w:rPr>
                <w:sz w:val="20"/>
                <w:szCs w:val="20"/>
                <w:color w:val="auto"/>
              </w:rPr>
            </w:pPr>
            <w:r>
              <w:rPr>
                <w:rFonts w:ascii="Times New Roman" w:cs="Times New Roman" w:eastAsia="Times New Roman" w:hAnsi="Times New Roman"/>
                <w:sz w:val="18"/>
                <w:szCs w:val="18"/>
                <w:color w:val="auto"/>
                <w:w w:val="93"/>
              </w:rPr>
              <w:t>2,633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8"/>
              </w:rPr>
              <w:t>(1,142)</w:t>
            </w:r>
          </w:p>
        </w:tc>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19"/>
        </w:trPr>
        <w:tc>
          <w:tcPr>
            <w:tcW w:w="3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537"/>
              <w:spacing w:after="0"/>
              <w:rPr>
                <w:sz w:val="20"/>
                <w:szCs w:val="20"/>
                <w:color w:val="auto"/>
              </w:rPr>
            </w:pPr>
            <w:r>
              <w:rPr>
                <w:rFonts w:ascii="Times New Roman" w:cs="Times New Roman" w:eastAsia="Times New Roman" w:hAnsi="Times New Roman"/>
                <w:sz w:val="18"/>
                <w:szCs w:val="18"/>
                <w:color w:val="auto"/>
                <w:w w:val="93"/>
              </w:rPr>
              <w:t>3,728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8"/>
                <w:szCs w:val="18"/>
                <w:color w:val="auto"/>
                <w:w w:val="98"/>
              </w:rPr>
              <w:t>(3,621)</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 w:hanging="434"/>
        <w:spacing w:after="0"/>
        <w:tabs>
          <w:tab w:leader="none" w:pos="4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Accounted for at Fair Value on a Recurring Basis</w:t>
      </w:r>
    </w:p>
    <w:p>
      <w:pPr>
        <w:spacing w:after="0" w:line="11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 xml:space="preserve">Our financial instruments include cash and cash equivalents, accounts receivable, restricted investment securities held in trust on deposit with various banks as collateral for our obligations relative to our landfill final capping, closure and post-closure costs, interest rate derivatives, contingent consideration related to acquisitions, trade payables and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interest rate derivatives included in the Level 2 tier below is calculated using discounted cash flow valuation methodologies based upon Term SOFR yield curves that are observable at commonly quoted intervals for the full term of the swaps. The fair value of contingent consideration - acquisition included in the Level 3 tier is calculated using a discounted cash flow valuation methodology based upon a probability-weighted analysis of a success payment related to the potential attainment of a transfer station permit expansion. We recognize all derivatives accounted for on the balance sheet at fair value. See Note 12,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for disclosure about the fair value of debt.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Summaries of our financial assets and liabilities that are measured at fair value on a recurring basis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40" w:type="dxa"/>
            <w:vAlign w:val="bottom"/>
            <w:gridSpan w:val="11"/>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2023 Using: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3"/>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3"/>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3"/>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right="178"/>
              <w:spacing w:after="0" w:line="147"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rate swaps</w:t>
            </w:r>
          </w:p>
        </w:tc>
        <w:tc>
          <w:tcPr>
            <w:tcW w:w="2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8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rate swaps</w:t>
            </w:r>
          </w:p>
        </w:tc>
        <w:tc>
          <w:tcPr>
            <w:tcW w:w="2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50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40" w:type="dxa"/>
            <w:vAlign w:val="bottom"/>
            <w:gridSpan w:val="11"/>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2022 Using: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0" w:type="dxa"/>
            <w:vAlign w:val="bottom"/>
            <w:gridSpan w:val="3"/>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3"/>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3"/>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rate swaps</w:t>
            </w:r>
          </w:p>
        </w:tc>
        <w:tc>
          <w:tcPr>
            <w:tcW w:w="2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50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rate swaps</w:t>
            </w:r>
          </w:p>
        </w:tc>
        <w:tc>
          <w:tcPr>
            <w:tcW w:w="2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xml:space="preserve">Contingent consideration - acquisition </w:t>
            </w: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40" w:right="80" w:hanging="634"/>
        <w:spacing w:after="0" w:line="275" w:lineRule="auto"/>
        <w:tabs>
          <w:tab w:leader="none" w:pos="6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 the fiscal year ended December 31, 2023, we recorded a gain on resolution of acquisition-related contingent consideration of $965, within cost of operations, associated with the reversal of a contingency for a transfer station permit expansion that is no longer deemed viable.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 w:hanging="434"/>
        <w:spacing w:after="0"/>
        <w:tabs>
          <w:tab w:leader="none" w:pos="4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1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We offer our eligible employees the opportunity to contribute to a 401(k) plan. Under the provisions of the 401(k) plans participants may direct us to defer a portion of their compensation to a 401(k) plan, subject to Internal Revenue Code limitations. In fiscal year 2023, we provided an employer matching contribution for hourly employees equal to 100% of every dollar an employee invests up to 1% of annual income and 50% of additional employee contributions up to a maximum contribution into a 401(k) plan of 3% of annual income. In fiscal year 2023, we provided an employer matching contribution for salaried employees equal to 50% of every dollar an employee invests in a 401(k) plan up to a maximum contribution of one thousand five hundred dollars or up to 2% of annual income, whichever is greater, per employee per calendar year. Participants vest in employer contributions ratable over a two-year period. Employer contributions for fiscal years 2023, 2022 and 2021 amounted to $4,371, $3,558 and $2,811,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14"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We offer our eligible employees the opportunity to participate in an employee stock purchase plan. Under this plan, qualified employees may purchase shares of Class A common stock by payroll deduction at a 15% discount from the market price. On June 1, 2023, our stockholders approved an amendment and restatement of our employee stock purchase plan to increase the number of shares of Class A common stock reserved for issuance under the employee stock purchase plan by 400 shares of Class A common stock. Class A common stock issued under our ESPP during fiscal years 2023, 2022 and 2021 amounted to 24, 22 and 20 shares, respectively. As of December 31, 2023, 407 shares of Class A common stock were available for distribution under our ESPP.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w:t>
      </w:r>
    </w:p>
    <w:p>
      <w:pPr>
        <w:spacing w:after="0" w:line="1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contribute to a multiemployer defined benefit pension plan. The Pension Plan, under the terms of a collective bargaining agreement covers certain of our union represented employees. In fiscal year 2019, we reached an agreement to withdraw from the Pension Plan by entering into Withdrawal and Re-entry Agreements with the Pension Plan. The withdrawal generated a fixed yearly contingent liability for us for a period of approximately seventeen (17) years, that capped our gross payments at $4,224, significantly reducing our cash exposure from the potential $18,511 withdrawal liability as determined based on a complete withdrawal prior to withdrawing from the Pension Plan. As of December 31, 2023, we had a remaining obligation of $1,496 in aggregate principal amount associated with our withdrawal. Upon re-entry as a new employer in the Pension Plan, our contributions are projected to fully fund the defined benefits accrued by our employees in the Pension Plan, thereby eliminating future accruals of withdrawal liability. As of December 31, 2023, our employees were fully funded, subject to the terms of the Withdrawal and Re-entry Agreements. Subsequent withdrawal from the Pension Plan, under certain circumstances, may result in a change in the payment schedule required to settle the remaining obligation associated with our withdrawal. During fiscal years 2023, 2022 and 2021, we made contributions to the Pension Plan of $479, $442 and $398, respectively.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 w:hanging="434"/>
        <w:spacing w:after="0"/>
        <w:tabs>
          <w:tab w:leader="none" w:pos="4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provision for income taxes is as follows:</w:t>
      </w:r>
    </w:p>
    <w:p>
      <w:pPr>
        <w:spacing w:after="0" w:line="3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6"/>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12,356</w:t>
            </w:r>
          </w:p>
        </w:tc>
      </w:tr>
      <w:tr>
        <w:trPr>
          <w:trHeight w:val="219"/>
        </w:trPr>
        <w:tc>
          <w:tcPr>
            <w:tcW w:w="70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12,356</w:t>
            </w:r>
          </w:p>
        </w:tc>
      </w:tr>
      <w:tr>
        <w:trPr>
          <w:trHeight w:val="20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26"/>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19"/>
        </w:trPr>
        <w:tc>
          <w:tcPr>
            <w:tcW w:w="70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r>
      <w:tr>
        <w:trPr>
          <w:trHeight w:val="21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16,946</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On a periodic basis, we reassess the valuation allowance on our deferred income tax assets, weighing positive and negative evidence to assess the recoverability of the deferred tax assets. In the fourth quarter of fiscal year 2020, we assessed the valuation allowance and considered positive evidence, including significant cumulative consolidated income over the three years ended December 31, 2020, revenue growth and expectations of future profitability, and negative evidence, including the impact of a negative change in the economic climate, significant risks and uncertainties in the business and restrictions on tax loss utilization in certain state jurisdictions. After assessing both the positive evidence and the negative evidence, we determined it was more likely than not that the majority of our deferred tax assets would be realized in the future and released the valuation allowance on the majority of our net operating loss carryforwards and other deferred tax assets as of December 31, 2020, resulting in a benefit from income taxes of $61,317. Following reassessment in fiscal years 2021, 2022 and 2023, our judgement with regard to the realizability of our deferred tax assets remains consistent. As of December 31, 2023, we maintained a valuation allowance of $5,580 primarily related to deferred tax assets that would generate capital losses when realized and deferred tax assets related to certain state jurisdictions.</w:t>
      </w:r>
    </w:p>
    <w:p>
      <w:pPr>
        <w:spacing w:after="0" w:line="8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assessing the realizability of carryforwards and other deferred tax assets, management considers whether it is more likely than not that some portion or all of the deferred tax assets will not be realized. We adjust the valuation allowance in the period management determines it is more likely than not that deferred tax assets will or will not be realized. The change in the valuation allowance for fiscal year 2023 was an increase of $912. In determining the need for a valuation allowance, we have assessed the available means of recovering deferred tax assets, including the ability to carryback net operating losses, the existence of reversing temporary differences, and available sources of future taxable income. We have also considered the ability to implement certain strategies, such as a potential sale of assets that would, if necessary, be implemented to accelerate taxable income and use expiring deferred tax assets.</w:t>
      </w:r>
    </w:p>
    <w:p>
      <w:pPr>
        <w:spacing w:after="0" w:line="6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differences in the provision for income taxes and the amounts determined by applying the Federal statutory rate to income before income taxes are as follows:</w:t>
      </w:r>
    </w:p>
    <w:p>
      <w:pPr>
        <w:ind w:left="8440"/>
        <w:spacing w:after="0" w:line="225" w:lineRule="auto"/>
        <w:rPr>
          <w:sz w:val="20"/>
          <w:szCs w:val="20"/>
          <w:color w:val="auto"/>
        </w:rPr>
      </w:pPr>
      <w:r>
        <w:rPr>
          <w:rFonts w:ascii="Times New Roman" w:cs="Times New Roman" w:eastAsia="Times New Roman" w:hAnsi="Times New Roman"/>
          <w:sz w:val="14"/>
          <w:szCs w:val="14"/>
          <w:b w:val="1"/>
          <w:bCs w:val="1"/>
          <w:color w:val="auto"/>
        </w:rPr>
        <w:t>Fiscal Year Ended</w:t>
      </w:r>
    </w:p>
    <w:p>
      <w:pPr>
        <w:ind w:left="8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at statutory rate</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7,779</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15,743</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effect of change in state valuation allowance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34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Deductible stock awards</w:t>
            </w:r>
          </w:p>
        </w:tc>
        <w:tc>
          <w:tcPr>
            <w:tcW w:w="34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of disproportionate tax effects in other comprehensive (loss) income</w:t>
            </w:r>
          </w:p>
        </w:tc>
        <w:tc>
          <w:tcPr>
            <w:tcW w:w="34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11,646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21,887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16,946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6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8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impact of temporary differences between the amounts of assets and liabilities recognized for financial reporting purposes and such amounts recognized for income tax purposes. A summary of deferred tax assets and liabilities is as follows:</w:t>
      </w: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6"/>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reserves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49,339</w:t>
            </w:r>
          </w:p>
        </w:tc>
        <w:tc>
          <w:tcPr>
            <w:tcW w:w="1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43,437</w:t>
            </w:r>
          </w:p>
        </w:tc>
      </w:tr>
      <w:tr>
        <w:trPr>
          <w:trHeight w:val="226"/>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w:t>
            </w:r>
          </w:p>
        </w:tc>
      </w:tr>
      <w:tr>
        <w:trPr>
          <w:trHeight w:val="226"/>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business and state tax credit carryforwards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w:t>
            </w:r>
          </w:p>
        </w:tc>
      </w:tr>
      <w:tr>
        <w:trPr>
          <w:trHeight w:val="226"/>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awards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r>
      <w:tr>
        <w:trPr>
          <w:trHeight w:val="226"/>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swaps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w:t>
            </w:r>
          </w:p>
        </w:tc>
      </w:tr>
      <w:tr>
        <w:trPr>
          <w:trHeight w:val="219"/>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68,969</w:t>
            </w:r>
          </w:p>
        </w:tc>
      </w:tr>
      <w:tr>
        <w:trPr>
          <w:trHeight w:val="226"/>
        </w:trPr>
        <w:tc>
          <w:tcPr>
            <w:tcW w:w="81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w:t>
            </w:r>
          </w:p>
        </w:tc>
      </w:tr>
      <w:tr>
        <w:trPr>
          <w:trHeight w:val="219"/>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64,301</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6"/>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over book depreciation of property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(21,561)</w:t>
            </w:r>
          </w:p>
        </w:tc>
      </w:tr>
      <w:tr>
        <w:trPr>
          <w:trHeight w:val="226"/>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(17,252)</w:t>
            </w:r>
          </w:p>
        </w:tc>
      </w:tr>
      <w:tr>
        <w:trPr>
          <w:trHeight w:val="226"/>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on swaps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r>
      <w:tr>
        <w:trPr>
          <w:trHeight w:val="226"/>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(41,835)</w:t>
            </w:r>
          </w:p>
        </w:tc>
      </w:tr>
      <w:tr>
        <w:trPr>
          <w:trHeight w:val="219"/>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deferred tax asset</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22,466</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net deferred tax asset at December 31, 2023 is reflected on the consolidated balance sheet as a long-term deferred federal and state tax asset of $11,224 and a long-term deferred state tax liability of $(627).</w:t>
      </w:r>
    </w:p>
    <w:p>
      <w:pPr>
        <w:spacing w:after="0" w:line="5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As of December 31, 2023, we have, for federal income tax purposes, net operating loss carryforwards of approximately $7,152 that expire in the fiscal years ending December 31, 2032 through 2037 and $125,665, which do not expire. We have state net operating loss carryforwards of approximately $28,262 that expire in the fiscal years ending December 31, 2024 through 2043 or that do not expire in certain jurisdictions. In addition, we have $6,722 general business credit carryforwards which expire in the fiscal years ending December 31, 2024 through 2043 and $176 state credit carryforwards which expire in fiscal year ending December 31, 2039. Sections 382 and 383 of the Internal Revenue Code can limit the amount of net operating loss and credit carryforwards which may be used in a tax year in the event of certain stock ownership changes. With the exception of $1,756 federal net operating losses we acquired through acquisitions, we are not currently subject to these limitations but could become subject to them if there were significant changes in the ownership of our stock.</w:t>
      </w:r>
    </w:p>
    <w:p>
      <w:pPr>
        <w:spacing w:after="0" w:line="6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provisions of FASB ASC 740-10-25-5 prescribe the minimum recognition threshold that a tax position is required to meet before being recognized in the financial statements. Additionally, FASB ASC 740-10-25-5 provides guidance on derecognition, measurement, classification, interest and penalties, accounting in interim periods, disclosure and transition. Under FASB ASC 740-10-25-5, an entity may only recognize or continue to recognize tax positions that meet a “more likely than not” threshold. To the extent interest and penalties are not assessed with respect to uncertain tax positions, amounts accrued are reflected as a reduction of the overall income tax provision. As of December 31, 2023 and 2022, we did not have any uncertain tax positions.</w:t>
      </w:r>
    </w:p>
    <w:p>
      <w:pPr>
        <w:spacing w:after="0" w:line="79"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are subject to U.S. federal income tax, as well as the income tax of multiple state jurisdictions. For federal tax purposes, income tax returns from years ending 2020 through 2023 are open for assessment. Tax years 1998 through 2019 are open for examination to the extent of any NOLs or credits that have been carried forward from those years.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180" w:firstLine="6"/>
        <w:spacing w:after="0" w:line="371" w:lineRule="auto"/>
        <w:tabs>
          <w:tab w:leader="none" w:pos="443"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ITEMS AND CHARGES Legal Settlement</w:t>
      </w: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fiscal year 2023, we recorded a charge of $6,150 accrued for in other accrued liabilities due to reaching an agreement at a mediation held on June 20, 2023 with the collective class members of a class action lawsuit relating to certain claims under the Fair Labor Standards Act of 1938 as well as state wage and hours laws. The settlement agreement was executed July 24, 2023 and has received court approval.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disclosure regarding our aggregate legal proceedings accrual.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Capping Charge - Veneer Failure</w:t>
      </w:r>
    </w:p>
    <w:p>
      <w:pPr>
        <w:spacing w:after="0" w:line="114"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 xml:space="preserve">In fiscal year 2023, we recorded a charge of $3,870 consisting of both (i) the write-off of historical payments associated with capping work that has been deemed no longer viable due to a veneer failure and (ii) the related operating expenses incurred to clean up the affected capping material at the Ontario County Landfill that we operate. Engineering analysis is currently underway to determine root causes and responsibility for the event. See Note 10, </w:t>
      </w:r>
      <w:r>
        <w:rPr>
          <w:rFonts w:ascii="Times New Roman" w:cs="Times New Roman" w:eastAsia="Times New Roman" w:hAnsi="Times New Roman"/>
          <w:sz w:val="18"/>
          <w:szCs w:val="18"/>
          <w:i w:val="1"/>
          <w:iCs w:val="1"/>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Capping, Closure and Post-Closure Costs </w:t>
      </w:r>
      <w:r>
        <w:rPr>
          <w:rFonts w:ascii="Times New Roman" w:cs="Times New Roman" w:eastAsia="Times New Roman" w:hAnsi="Times New Roman"/>
          <w:sz w:val="18"/>
          <w:szCs w:val="18"/>
          <w:color w:val="auto"/>
        </w:rPr>
        <w:t>for disclosure over our remaining estimated costs associated with obligations for final capping closure and post-closure of our landfills.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Southbridge Landfill Closure Charge, Net</w:t>
      </w:r>
    </w:p>
    <w:p>
      <w:pPr>
        <w:spacing w:after="0" w:line="114"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In the fiscal year ended December 31, 2017, we initiated a plan to cease operations of the Town of Southbridge, Massachusetts landfill (“Southbridge Landfill”) and later closed it in November 2018 when Southbridge Landfill reached its final capacity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Accordingly, in fiscal years 2023, 2022 and 2021, we recorded charges associated with the closure of the Southbridge Landfill as follows:</w:t>
      </w:r>
    </w:p>
    <w:p>
      <w:pPr>
        <w:spacing w:after="0" w:line="2"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Legal and transaction costs </w:t>
            </w:r>
            <w:r>
              <w:rPr>
                <w:rFonts w:ascii="Times New Roman" w:cs="Times New Roman" w:eastAsia="Times New Roman" w:hAnsi="Times New Roman"/>
                <w:sz w:val="14"/>
                <w:szCs w:val="14"/>
                <w:color w:val="auto"/>
              </w:rPr>
              <w:t>(1)</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rPr>
              <w:t>868</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Contract settlement charge </w:t>
            </w:r>
            <w:r>
              <w:rPr>
                <w:rFonts w:ascii="Times New Roman" w:cs="Times New Roman" w:eastAsia="Times New Roman" w:hAnsi="Times New Roman"/>
                <w:sz w:val="14"/>
                <w:szCs w:val="14"/>
                <w:color w:val="auto"/>
              </w:rPr>
              <w:t>(2)</w:t>
            </w:r>
          </w:p>
        </w:tc>
        <w:tc>
          <w:tcPr>
            <w:tcW w:w="100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jc w:val="center"/>
              <w:ind w:left="635"/>
              <w:spacing w:after="0"/>
              <w:rPr>
                <w:sz w:val="20"/>
                <w:szCs w:val="20"/>
                <w:color w:val="auto"/>
              </w:rPr>
            </w:pPr>
            <w:r>
              <w:rPr>
                <w:rFonts w:ascii="Times New Roman" w:cs="Times New Roman" w:eastAsia="Times New Roman" w:hAnsi="Times New Roman"/>
                <w:sz w:val="18"/>
                <w:szCs w:val="18"/>
                <w:color w:val="auto"/>
              </w:rPr>
              <w:t>572</w:t>
            </w:r>
          </w:p>
        </w:tc>
      </w:tr>
      <w:tr>
        <w:trPr>
          <w:trHeight w:val="23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Landfill closure project charge (credit) </w:t>
            </w:r>
            <w:r>
              <w:rPr>
                <w:rFonts w:ascii="Times New Roman" w:cs="Times New Roman" w:eastAsia="Times New Roman" w:hAnsi="Times New Roman"/>
                <w:sz w:val="14"/>
                <w:szCs w:val="14"/>
                <w:color w:val="auto"/>
              </w:rPr>
              <w:t>(3)</w:t>
            </w:r>
          </w:p>
        </w:tc>
        <w:tc>
          <w:tcPr>
            <w:tcW w:w="10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7"/>
              </w:rPr>
              <w:t>(944)</w:t>
            </w:r>
          </w:p>
        </w:tc>
      </w:tr>
      <w:tr>
        <w:trPr>
          <w:trHeight w:val="21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Southbridge Landfill closure charge, net</w:t>
            </w:r>
          </w:p>
        </w:tc>
        <w:tc>
          <w:tcPr>
            <w:tcW w:w="100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635"/>
              <w:spacing w:after="0"/>
              <w:rPr>
                <w:sz w:val="20"/>
                <w:szCs w:val="20"/>
                <w:color w:val="auto"/>
              </w:rPr>
            </w:pPr>
            <w:r>
              <w:rPr>
                <w:rFonts w:ascii="Times New Roman" w:cs="Times New Roman" w:eastAsia="Times New Roman" w:hAnsi="Times New Roman"/>
                <w:sz w:val="18"/>
                <w:szCs w:val="18"/>
                <w:color w:val="auto"/>
              </w:rPr>
              <w:t>496</w:t>
            </w:r>
          </w:p>
        </w:tc>
      </w:tr>
      <w:tr>
        <w:trPr>
          <w:trHeight w:val="20"/>
        </w:trPr>
        <w:tc>
          <w:tcPr>
            <w:tcW w:w="6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left="480" w:hanging="314"/>
        <w:spacing w:after="0"/>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legal costs as well as other transaction costs associated with various matters as part of the Southbridge Landfill closure.</w:t>
      </w:r>
    </w:p>
    <w:p>
      <w:pPr>
        <w:spacing w:after="0" w:line="58" w:lineRule="exact"/>
        <w:rPr>
          <w:rFonts w:ascii="Times New Roman" w:cs="Times New Roman" w:eastAsia="Times New Roman" w:hAnsi="Times New Roman"/>
          <w:sz w:val="18"/>
          <w:szCs w:val="18"/>
          <w:color w:val="auto"/>
        </w:rPr>
      </w:pPr>
    </w:p>
    <w:p>
      <w:pPr>
        <w:ind w:left="480" w:right="200" w:hanging="314"/>
        <w:spacing w:after="0" w:line="275" w:lineRule="auto"/>
        <w:tabs>
          <w:tab w:leader="none" w:pos="47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updated the cost estimates associated with a contract settlement charge associated with the Southbridge Landfill closure and the remaining future obligations due to the Town of Southbridge under the landfill operating agreement with the Town of Southbridge.</w:t>
      </w:r>
    </w:p>
    <w:p>
      <w:pPr>
        <w:spacing w:after="0" w:line="4"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landfill closure project charge (credit) each fiscal year associated with revised costs under the closure plan at Southbridge Landfill.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 from Acquisition Activities</w:t>
      </w:r>
    </w:p>
    <w:p>
      <w:pPr>
        <w:spacing w:after="0" w:line="1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the fiscal years 2023, 2022 and 2021, we recognized expenses of $15,038, $4,613 and $5,304, respectively, comprised primarily of legal, consulting and other similar costs associated with the due diligence, acquisition and integration of acquired businesses, including the GFL Acquisition and the Twin Bridges Acquisition, in fiscal year 2023, or select development projects. See Note 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for disclosure regarding acquisition activity.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Charge</w:t>
      </w:r>
    </w:p>
    <w:p>
      <w:pPr>
        <w:spacing w:after="0" w:line="11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fiscal year 2022, we recorded a charge of $759 associated with the investigation of potential remediation at an inactive waste disposal site that adjoins one of the landfills we operate. In fiscal year 2021, we recorded a charge of $924 associated with a settlement agreement to conduct restoration of a stream bed on lands adjoining one of our landfills.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disclosure regarding environmental remediation liabilities.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 w:hanging="434"/>
        <w:spacing w:after="0"/>
        <w:tabs>
          <w:tab w:leader="none" w:pos="4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numerator and denominators used in the computation of earnings per share is as follows:</w:t>
      </w:r>
    </w:p>
    <w:p>
      <w:pPr>
        <w:spacing w:after="0" w:line="3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41,100</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4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50,423</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Effect of weighted average shares outstanding </w:t>
            </w:r>
            <w:r>
              <w:rPr>
                <w:rFonts w:ascii="Times New Roman" w:cs="Times New Roman" w:eastAsia="Times New Roman" w:hAnsi="Times New Roman"/>
                <w:sz w:val="14"/>
                <w:szCs w:val="14"/>
                <w:color w:val="auto"/>
              </w:rPr>
              <w:t>(1)</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51,312</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4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Impact of potentially dilutive securities: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Dilutive effect of stock options and stock awards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potentially issuable shares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04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640" w:right="520" w:hanging="634"/>
        <w:spacing w:after="0" w:line="305" w:lineRule="auto"/>
        <w:tabs>
          <w:tab w:leader="none" w:pos="632"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 xml:space="preserve">The adjustment in fiscal year 2023 is primarily associated with the 6,053 shares of Class A common stock issued as part of the public offering completed on June 16, 2023. See Note 14, </w:t>
      </w:r>
      <w:r>
        <w:rPr>
          <w:rFonts w:ascii="Times New Roman" w:cs="Times New Roman" w:eastAsia="Times New Roman" w:hAnsi="Times New Roman"/>
          <w:sz w:val="17"/>
          <w:szCs w:val="17"/>
          <w:i w:val="1"/>
          <w:iCs w:val="1"/>
          <w:color w:val="auto"/>
        </w:rPr>
        <w:t>Stockholders’ Equity</w:t>
      </w:r>
      <w:r>
        <w:rPr>
          <w:rFonts w:ascii="Times New Roman" w:cs="Times New Roman" w:eastAsia="Times New Roman" w:hAnsi="Times New Roman"/>
          <w:sz w:val="17"/>
          <w:szCs w:val="17"/>
          <w:color w:val="auto"/>
        </w:rPr>
        <w:t xml:space="preserve"> for disclosure regarding the public offering of Class A common stock.</w:t>
      </w:r>
    </w:p>
    <w:p>
      <w:pPr>
        <w:spacing w:after="0" w:line="139" w:lineRule="exact"/>
        <w:rPr>
          <w:sz w:val="20"/>
          <w:szCs w:val="20"/>
          <w:color w:val="auto"/>
        </w:rPr>
      </w:pPr>
    </w:p>
    <w:p>
      <w:pPr>
        <w:ind w:left="440" w:hanging="434"/>
        <w:spacing w:after="0"/>
        <w:tabs>
          <w:tab w:leader="none" w:pos="4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fiscal years 2023, 2022 and 2021, we retained the services of Casella Construction, Inc. ("CCI"), a company substantially owned by sons of John Casella, our Chairman and Chief Executive Officer, and Douglas Casella, a member of our Board of Directors, as a contractor in developing or closing certain landfills owned by us as well as providing transportation and construction services. Total purchased services charged to operations or capitalized to landfills for fiscal years 2023, 2022 and 2021 were $7,682, $12,297 and $15,206, respectively, of which $595 and $1,891 were outstanding and included in either accounts payable or other current liabilities as of December 31, 2023 and December 31, 2022, respectively.</w:t>
      </w:r>
    </w:p>
    <w:p>
      <w:pPr>
        <w:spacing w:after="0" w:line="7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In addition to the total purchased services, we provided various waste collection and disposal services to CCI. Total revenues recorded for fiscal years 2023, 2022 and 2021 were $241, $141 and $430,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fiscal year ended April 30, 1994, we entered into two leases for operating facilities with a partnership of which John Casella, our Chairman and Chief Executive Officer, and Douglas Casella, a member of our Board of Directors, are the general partners. The leases have since been extended through August 2023 and have since continued on a month-to-month basis. The terms of the lease agreements require monthly payments of approximately $29. Total expense charged to operations for fiscal years 2023, 2022 and 2021 under these agreements was $284, $273 and $297,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Post-closure</w:t>
      </w:r>
    </w:p>
    <w:p>
      <w:pPr>
        <w:spacing w:after="0" w:line="1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agreed to pay the cost of post-closure on a landfill owned by John Casella, our Chairman and Chief Executive Officer, and Douglas Casella, a member of our Board of Directors. We paid the cost of closing this landfill in 1992, and the post-closure maintenance obligations are expected to last until notified by the permitting authority. In fiscal years 2023, 2022 and 2021, we paid $3, $10 and $12, respectively, pursuant to this agreement. As of December 31, 2023 and December 31, 2022, we have accrued $17 and $17, respectively, for costs associated with its post-closure obligations.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 w:hanging="434"/>
        <w:spacing w:after="0"/>
        <w:tabs>
          <w:tab w:leader="none" w:pos="4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1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We report selected information about our reportable operating segments in a manner consistent with that used for internal management reporting. We classify our solid waste operations on a geographic basis through three regional operating segments, our Eastern, Western and Mid-Atlantic regions. The Mid-Atlantic region, which was formed as a result of the GFL Acquisition on June 30, 2023, commenced operations on July 1, 2023. Revenues associated with our solid waste operations are derived mainly from solid waste collection and disposal services, including landfill, transfer station and transportation services, landfill gas-to-energy services, and processing services in the 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are comprised of processing services and non-processing services, which we refer to as our National Accounts business. Revenues from processing services are derived from customers in the form of processing fees, tipping fees, commodity sales, and organic material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Corporate Entities results reflect those costs not allocated to our reportable operating segments.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Outside</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60" w:type="dxa"/>
            <w:vAlign w:val="bottom"/>
          </w:tcPr>
          <w:p>
            <w:pPr>
              <w:spacing w:after="0"/>
              <w:rPr>
                <w:sz w:val="13"/>
                <w:szCs w:val="13"/>
                <w:color w:val="auto"/>
              </w:rPr>
            </w:pPr>
          </w:p>
        </w:tc>
        <w:tc>
          <w:tcPr>
            <w:tcW w:w="96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0" w:type="dxa"/>
            <w:vAlign w:val="bottom"/>
          </w:tcPr>
          <w:p>
            <w:pPr>
              <w:spacing w:after="0"/>
              <w:rPr>
                <w:sz w:val="1"/>
                <w:szCs w:val="1"/>
                <w:color w:val="auto"/>
              </w:rPr>
            </w:pPr>
          </w:p>
        </w:tc>
      </w:tr>
      <w:tr>
        <w:trPr>
          <w:trHeight w:val="192"/>
        </w:trPr>
        <w:tc>
          <w:tcPr>
            <w:tcW w:w="1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14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expense, net</w:t>
            </w: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expenditures</w:t>
            </w: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434,323</w:t>
            </w:r>
          </w:p>
        </w:tc>
        <w:tc>
          <w:tcPr>
            <w:tcW w:w="0" w:type="dxa"/>
            <w:vAlign w:val="bottom"/>
          </w:tcPr>
          <w:p>
            <w:pPr>
              <w:spacing w:after="0"/>
              <w:rPr>
                <w:sz w:val="1"/>
                <w:szCs w:val="1"/>
                <w:color w:val="auto"/>
              </w:rPr>
            </w:pPr>
          </w:p>
        </w:tc>
      </w:tr>
      <w:tr>
        <w:trPr>
          <w:trHeight w:val="226"/>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1,001,090</w:t>
            </w:r>
          </w:p>
        </w:tc>
        <w:tc>
          <w:tcPr>
            <w:tcW w:w="0" w:type="dxa"/>
            <w:vAlign w:val="bottom"/>
          </w:tcPr>
          <w:p>
            <w:pPr>
              <w:spacing w:after="0"/>
              <w:rPr>
                <w:sz w:val="1"/>
                <w:szCs w:val="1"/>
                <w:color w:val="auto"/>
              </w:rPr>
            </w:pPr>
          </w:p>
        </w:tc>
      </w:tr>
      <w:tr>
        <w:trPr>
          <w:trHeight w:val="239"/>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Mid-Atlantic </w:t>
            </w: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553,339</w:t>
            </w:r>
          </w:p>
        </w:tc>
        <w:tc>
          <w:tcPr>
            <w:tcW w:w="0" w:type="dxa"/>
            <w:vAlign w:val="bottom"/>
          </w:tcPr>
          <w:p>
            <w:pPr>
              <w:spacing w:after="0"/>
              <w:rPr>
                <w:sz w:val="1"/>
                <w:szCs w:val="1"/>
                <w:color w:val="auto"/>
              </w:rPr>
            </w:pPr>
          </w:p>
        </w:tc>
      </w:tr>
      <w:tr>
        <w:trPr>
          <w:trHeight w:val="226"/>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253,090</w:t>
            </w:r>
          </w:p>
        </w:tc>
        <w:tc>
          <w:tcPr>
            <w:tcW w:w="0" w:type="dxa"/>
            <w:vAlign w:val="bottom"/>
          </w:tcPr>
          <w:p>
            <w:pPr>
              <w:spacing w:after="0"/>
              <w:rPr>
                <w:sz w:val="1"/>
                <w:szCs w:val="1"/>
                <w:color w:val="auto"/>
              </w:rPr>
            </w:pPr>
          </w:p>
        </w:tc>
      </w:tr>
      <w:tr>
        <w:trPr>
          <w:trHeight w:val="226"/>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293,628</w:t>
            </w:r>
          </w:p>
        </w:tc>
        <w:tc>
          <w:tcPr>
            <w:tcW w:w="0" w:type="dxa"/>
            <w:vAlign w:val="bottom"/>
          </w:tcPr>
          <w:p>
            <w:pPr>
              <w:spacing w:after="0"/>
              <w:rPr>
                <w:sz w:val="1"/>
                <w:szCs w:val="1"/>
                <w:color w:val="auto"/>
              </w:rPr>
            </w:pPr>
          </w:p>
        </w:tc>
      </w:tr>
      <w:tr>
        <w:trPr>
          <w:trHeight w:val="226"/>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17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2,535,470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640" w:hanging="634"/>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under the Mid-Atlantic region commenced July 1,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Outside</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60" w:type="dxa"/>
            <w:vAlign w:val="bottom"/>
          </w:tcPr>
          <w:p>
            <w:pPr>
              <w:spacing w:after="0"/>
              <w:rPr>
                <w:sz w:val="13"/>
                <w:szCs w:val="13"/>
                <w:color w:val="auto"/>
              </w:rPr>
            </w:pPr>
          </w:p>
        </w:tc>
        <w:tc>
          <w:tcPr>
            <w:tcW w:w="96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0" w:type="dxa"/>
            <w:vAlign w:val="bottom"/>
          </w:tcPr>
          <w:p>
            <w:pPr>
              <w:spacing w:after="0"/>
              <w:rPr>
                <w:sz w:val="1"/>
                <w:szCs w:val="1"/>
                <w:color w:val="auto"/>
              </w:rPr>
            </w:pPr>
          </w:p>
        </w:tc>
      </w:tr>
      <w:tr>
        <w:trPr>
          <w:trHeight w:val="192"/>
        </w:trPr>
        <w:tc>
          <w:tcPr>
            <w:tcW w:w="1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 net</w:t>
            </w: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expenditures</w:t>
            </w: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340,058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372,895</w:t>
            </w:r>
          </w:p>
        </w:tc>
        <w:tc>
          <w:tcPr>
            <w:tcW w:w="0" w:type="dxa"/>
            <w:vAlign w:val="bottom"/>
          </w:tcPr>
          <w:p>
            <w:pPr>
              <w:spacing w:after="0"/>
              <w:rPr>
                <w:sz w:val="1"/>
                <w:szCs w:val="1"/>
                <w:color w:val="auto"/>
              </w:rPr>
            </w:pPr>
          </w:p>
        </w:tc>
      </w:tr>
      <w:tr>
        <w:trPr>
          <w:trHeight w:val="226"/>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737,658</w:t>
            </w:r>
          </w:p>
        </w:tc>
        <w:tc>
          <w:tcPr>
            <w:tcW w:w="0" w:type="dxa"/>
            <w:vAlign w:val="bottom"/>
          </w:tcPr>
          <w:p>
            <w:pPr>
              <w:spacing w:after="0"/>
              <w:rPr>
                <w:sz w:val="1"/>
                <w:szCs w:val="1"/>
                <w:color w:val="auto"/>
              </w:rPr>
            </w:pPr>
          </w:p>
        </w:tc>
      </w:tr>
      <w:tr>
        <w:trPr>
          <w:trHeight w:val="239"/>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Mid-Atlantic </w:t>
            </w: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191,118</w:t>
            </w:r>
          </w:p>
        </w:tc>
        <w:tc>
          <w:tcPr>
            <w:tcW w:w="0" w:type="dxa"/>
            <w:vAlign w:val="bottom"/>
          </w:tcPr>
          <w:p>
            <w:pPr>
              <w:spacing w:after="0"/>
              <w:rPr>
                <w:sz w:val="1"/>
                <w:szCs w:val="1"/>
                <w:color w:val="auto"/>
              </w:rPr>
            </w:pPr>
          </w:p>
        </w:tc>
      </w:tr>
      <w:tr>
        <w:trPr>
          <w:trHeight w:val="226"/>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147,544</w:t>
            </w:r>
          </w:p>
        </w:tc>
        <w:tc>
          <w:tcPr>
            <w:tcW w:w="0" w:type="dxa"/>
            <w:vAlign w:val="bottom"/>
          </w:tcPr>
          <w:p>
            <w:pPr>
              <w:spacing w:after="0"/>
              <w:rPr>
                <w:sz w:val="1"/>
                <w:szCs w:val="1"/>
                <w:color w:val="auto"/>
              </w:rPr>
            </w:pPr>
          </w:p>
        </w:tc>
      </w:tr>
      <w:tr>
        <w:trPr>
          <w:trHeight w:val="226"/>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17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1,449,215</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640" w:hanging="63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under the Mid-Atlantic region commenced July 1,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Outside</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60" w:type="dxa"/>
            <w:vAlign w:val="bottom"/>
          </w:tcPr>
          <w:p>
            <w:pPr>
              <w:spacing w:after="0"/>
              <w:rPr>
                <w:sz w:val="13"/>
                <w:szCs w:val="13"/>
                <w:color w:val="auto"/>
              </w:rPr>
            </w:pPr>
          </w:p>
        </w:tc>
        <w:tc>
          <w:tcPr>
            <w:tcW w:w="96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0" w:type="dxa"/>
            <w:vAlign w:val="bottom"/>
          </w:tcPr>
          <w:p>
            <w:pPr>
              <w:spacing w:after="0"/>
              <w:rPr>
                <w:sz w:val="1"/>
                <w:szCs w:val="1"/>
                <w:color w:val="auto"/>
              </w:rPr>
            </w:pPr>
          </w:p>
        </w:tc>
      </w:tr>
      <w:tr>
        <w:trPr>
          <w:trHeight w:val="193"/>
        </w:trPr>
        <w:tc>
          <w:tcPr>
            <w:tcW w:w="1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 net</w:t>
            </w: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expenditures</w:t>
            </w: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264,569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357,446</w:t>
            </w:r>
          </w:p>
        </w:tc>
        <w:tc>
          <w:tcPr>
            <w:tcW w:w="0" w:type="dxa"/>
            <w:vAlign w:val="bottom"/>
          </w:tcPr>
          <w:p>
            <w:pPr>
              <w:spacing w:after="0"/>
              <w:rPr>
                <w:sz w:val="1"/>
                <w:szCs w:val="1"/>
                <w:color w:val="auto"/>
              </w:rPr>
            </w:pPr>
          </w:p>
        </w:tc>
      </w:tr>
      <w:tr>
        <w:trPr>
          <w:trHeight w:val="226"/>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688,826</w:t>
            </w:r>
          </w:p>
        </w:tc>
        <w:tc>
          <w:tcPr>
            <w:tcW w:w="0" w:type="dxa"/>
            <w:vAlign w:val="bottom"/>
          </w:tcPr>
          <w:p>
            <w:pPr>
              <w:spacing w:after="0"/>
              <w:rPr>
                <w:sz w:val="1"/>
                <w:szCs w:val="1"/>
                <w:color w:val="auto"/>
              </w:rPr>
            </w:pPr>
          </w:p>
        </w:tc>
      </w:tr>
      <w:tr>
        <w:trPr>
          <w:trHeight w:val="239"/>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Mid-Atlantic </w:t>
            </w: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127,304</w:t>
            </w:r>
          </w:p>
        </w:tc>
        <w:tc>
          <w:tcPr>
            <w:tcW w:w="0" w:type="dxa"/>
            <w:vAlign w:val="bottom"/>
          </w:tcPr>
          <w:p>
            <w:pPr>
              <w:spacing w:after="0"/>
              <w:rPr>
                <w:sz w:val="1"/>
                <w:szCs w:val="1"/>
                <w:color w:val="auto"/>
              </w:rPr>
            </w:pPr>
          </w:p>
        </w:tc>
      </w:tr>
      <w:tr>
        <w:trPr>
          <w:trHeight w:val="226"/>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110,004</w:t>
            </w:r>
          </w:p>
        </w:tc>
        <w:tc>
          <w:tcPr>
            <w:tcW w:w="0" w:type="dxa"/>
            <w:vAlign w:val="bottom"/>
          </w:tcPr>
          <w:p>
            <w:pPr>
              <w:spacing w:after="0"/>
              <w:rPr>
                <w:sz w:val="1"/>
                <w:szCs w:val="1"/>
                <w:color w:val="auto"/>
              </w:rPr>
            </w:pPr>
          </w:p>
        </w:tc>
      </w:tr>
      <w:tr>
        <w:trPr>
          <w:trHeight w:val="226"/>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17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1,283,580</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right="5780" w:firstLine="6"/>
        <w:spacing w:after="0" w:line="347" w:lineRule="auto"/>
        <w:tabs>
          <w:tab w:leader="none" w:pos="63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Operations under the Mid-Atlantic region commenced July 1, 2023. Amount of our total revenue attributable to services provided are as follows:</w:t>
      </w:r>
    </w:p>
    <w:p>
      <w:pPr>
        <w:ind w:left="680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3"/>
          </w:tcPr>
          <w:p>
            <w:pPr>
              <w:jc w:val="right"/>
              <w:ind w:right="101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3"/>
          </w:tcPr>
          <w:p>
            <w:pPr>
              <w:jc w:val="right"/>
              <w:ind w:right="1031"/>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539,587</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442,685</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r>
      <w:tr>
        <w:trPr>
          <w:trHeight w:val="22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244,582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227,971</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196,985</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22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generation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19"/>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Solid waste operations</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971,743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785,211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654,089</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73.6 %</w:t>
            </w:r>
          </w:p>
        </w:tc>
      </w:tr>
      <w:tr>
        <w:trPr>
          <w:trHeight w:val="22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119,045</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93,323</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33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186,802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180,833</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141,799</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19"/>
        </w:trPr>
        <w:tc>
          <w:tcPr>
            <w:tcW w:w="3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Resource Solutions operations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292,799</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299,878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235,122</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26.4 %</w:t>
            </w: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1,264,542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1,085,089</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889,211</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180"/>
        <w:spacing w:after="0" w:line="46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2023. The term “disclosure controls and procedures,” as defined in Rules 13a-15(e) and 15d-15(e) under the Securities Exchange Act of 1934, as amended, means controls and other procedures of a company that are designed to ensure that information required to be disclosed by a company in the reports that it files or submits under the Securities Exchange Act of 1934, as amended,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Securities Exchange Act of 1934, as amended,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1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as amended.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Our management assessed the effectiveness of our internal control over financial reporting as of December 31, 2023. In making this assessment, our management used the criteria set forth by the Committee of Sponsoring Organizations of the Treadway Commission in Internal Control-Integrated Framework in 2013. Based on its assessment, management concluded that, as of December 31, 2023, our internal control over financial reporting is effective based on those criteria. The effectiveness of our internal control over financial reporting as of December 31, 2023 has been audited by RSM US LLP, an independent registered public accounting firm. RSM US LLP has issued an attestation report on our internal control over financial reporting, which is included herein.</w:t>
      </w:r>
    </w:p>
    <w:p>
      <w:pPr>
        <w:spacing w:after="0" w:line="8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We completed the acquisitions of four wholly owned subsidiaries of GFL Environmental Inc. ("GFL Subsidiaries") on June 30, 2023; Consolidated Waste Services, LLC and its affiliates (dba Twin Bridges) ("Twin Bridges") on September 1, 2023; Taylor Garbage Services, Inc. and Southern Tier Recyclers, Inc. (collectively "Taylor") on August 1, 2023; and Pinard Waste Systems Co., Inc.(dba Pinard Waste Systems) and Group Pinard, LLC. (collectively "Pinard") on September 1, 2023. Since we have not yet fully incorporated the internal controls and procedures of the GFL Subsidiaries, Twin Bridges, Taylor and Pinard into our internal control over financial reporting, management excluded the GFL Subsidiaries, Twin Bridges, Taylor and Pinard from its assessment of the effectiveness of the Company’s internal control over financial reporting as of December 31, 2023. Collectively, the GFL Subsidiaries, Twin Bridges, Taylor and Pinard constituted approximately 34% of our total assets as of December 31, 2023 and 10% of our total revenues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4"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occurred during the fiscal quarter ended December 31, 2023 that has materially affected, or is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01" w:lineRule="exact"/>
        <w:rPr>
          <w:sz w:val="20"/>
          <w:szCs w:val="20"/>
          <w:color w:val="auto"/>
        </w:rPr>
      </w:pPr>
    </w:p>
    <w:p>
      <w:pPr>
        <w:jc w:val="both"/>
        <w:ind w:right="80"/>
        <w:spacing w:after="0"/>
        <w:rPr>
          <w:sz w:val="20"/>
          <w:szCs w:val="20"/>
          <w:color w:val="auto"/>
        </w:rPr>
      </w:pPr>
      <w:r>
        <w:rPr>
          <w:rFonts w:ascii="Times New Roman" w:cs="Times New Roman" w:eastAsia="Times New Roman" w:hAnsi="Times New Roman"/>
          <w:sz w:val="18"/>
          <w:szCs w:val="18"/>
          <w:color w:val="auto"/>
        </w:rPr>
        <w:t>A portion of the compensation of our directors and officers (as defined in Rule 16a-1(f) under the Securities Exchange Act of 1934, as amended (“Exchange Act”)) is in the form of equity awards, including restricted stock units (“RSU(s)”) and performance stock units (“PSU(s)”), and, from time to time, directors and officers engage in open-market transactions with respect to the securities acquired pursuant to such equity awards or other securities of ours, including to satisfy tax withholding obligations when equity awards vest or are exercised, and for diversification or other personal reasons.</w:t>
      </w:r>
    </w:p>
    <w:p>
      <w:pPr>
        <w:spacing w:after="0" w:line="89"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18"/>
          <w:szCs w:val="18"/>
          <w:color w:val="auto"/>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enables directors and officers to prearrange transactions in our securities in a manner that avoids concerns about initiating transactions while in possession of material nonpublic information.</w:t>
      </w:r>
    </w:p>
    <w:p>
      <w:pPr>
        <w:spacing w:after="0" w:line="57"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The following table describes, for the fourth quarter of fiscal year 2023, each trading arrangement for the sale or purchase of our securities adopted or terminated by our directors and officers that is either (1) a contract, instruction or written plan intended to satisfy the affirmative defense conditions of Rule 10b5-1(c) (a “Rule 10b5-1 trading arrangement”) or (2) a “non-Rule 10b5-1 trading arrangement” (as defined in Item 408(c) of Regulation S-K):</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Name (Title)</w:t>
            </w: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w w:val="98"/>
              </w:rPr>
              <w:t>Action Taken (Date</w:t>
            </w:r>
          </w:p>
        </w:tc>
        <w:tc>
          <w:tcPr>
            <w:tcW w:w="29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Type of Trading Arrangement</w:t>
            </w:r>
          </w:p>
        </w:tc>
        <w:tc>
          <w:tcPr>
            <w:tcW w:w="1380" w:type="dxa"/>
            <w:vAlign w:val="bottom"/>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Nature of Trading</w:t>
            </w:r>
          </w:p>
        </w:tc>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Duration of Trading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Number of</w:t>
            </w:r>
          </w:p>
        </w:tc>
        <w:tc>
          <w:tcPr>
            <w:tcW w:w="0" w:type="dxa"/>
            <w:vAlign w:val="bottom"/>
          </w:tcPr>
          <w:p>
            <w:pPr>
              <w:spacing w:after="0"/>
              <w:rPr>
                <w:sz w:val="1"/>
                <w:szCs w:val="1"/>
                <w:color w:val="auto"/>
              </w:rPr>
            </w:pPr>
          </w:p>
        </w:tc>
      </w:tr>
      <w:tr>
        <w:trPr>
          <w:trHeight w:val="192"/>
        </w:trPr>
        <w:tc>
          <w:tcPr>
            <w:tcW w:w="234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rPr>
              <w:t>of Action)</w:t>
            </w:r>
          </w:p>
        </w:tc>
        <w:tc>
          <w:tcPr>
            <w:tcW w:w="29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80"/>
        </w:trPr>
        <w:tc>
          <w:tcPr>
            <w:tcW w:w="2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c>
          <w:tcPr>
            <w:tcW w:w="1420" w:type="dxa"/>
            <w:vAlign w:val="bottom"/>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Adoption</w:t>
            </w:r>
          </w:p>
        </w:tc>
        <w:tc>
          <w:tcPr>
            <w:tcW w:w="29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Durable Rule 10b5-1 trading</w:t>
            </w:r>
          </w:p>
        </w:tc>
        <w:tc>
          <w:tcPr>
            <w:tcW w:w="1380" w:type="dxa"/>
            <w:vAlign w:val="bottom"/>
            <w:shd w:val="clear" w:color="auto" w:fill="CCEEFF"/>
          </w:tcPr>
          <w:p>
            <w:pPr>
              <w:spacing w:after="0"/>
              <w:rPr>
                <w:sz w:val="15"/>
                <w:szCs w:val="15"/>
                <w:color w:val="auto"/>
              </w:rPr>
            </w:pPr>
          </w:p>
        </w:tc>
        <w:tc>
          <w:tcPr>
            <w:tcW w:w="1500" w:type="dxa"/>
            <w:vAlign w:val="bottom"/>
            <w:shd w:val="clear" w:color="auto" w:fill="CCEEFF"/>
          </w:tcPr>
          <w:p>
            <w:pPr>
              <w:ind w:left="120"/>
              <w:spacing w:after="0" w:line="180" w:lineRule="exact"/>
              <w:rPr>
                <w:sz w:val="20"/>
                <w:szCs w:val="20"/>
                <w:color w:val="auto"/>
              </w:rPr>
            </w:pPr>
            <w:r>
              <w:rPr>
                <w:rFonts w:ascii="Times New Roman" w:cs="Times New Roman" w:eastAsia="Times New Roman" w:hAnsi="Times New Roman"/>
                <w:sz w:val="18"/>
                <w:szCs w:val="18"/>
                <w:color w:val="auto"/>
              </w:rPr>
              <w:t>Until final</w:t>
            </w: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340" w:type="dxa"/>
            <w:vAlign w:val="bottom"/>
            <w:vMerge w:val="continue"/>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29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arrangement for sell-to-cover</w:t>
            </w:r>
          </w:p>
        </w:tc>
        <w:tc>
          <w:tcPr>
            <w:tcW w:w="1380" w:type="dxa"/>
            <w:vAlign w:val="bottom"/>
            <w:shd w:val="clear" w:color="auto" w:fill="CCEEFF"/>
          </w:tcPr>
          <w:p>
            <w:pPr>
              <w:spacing w:after="0"/>
              <w:rPr>
                <w:sz w:val="6"/>
                <w:szCs w:val="6"/>
                <w:color w:val="auto"/>
              </w:rPr>
            </w:pPr>
          </w:p>
        </w:tc>
        <w:tc>
          <w:tcPr>
            <w:tcW w:w="15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 of any</w:t>
            </w:r>
          </w:p>
        </w:tc>
        <w:tc>
          <w:tcPr>
            <w:tcW w:w="1680" w:type="dxa"/>
            <w:vAlign w:val="bottom"/>
            <w:vMerge w:val="restart"/>
            <w:shd w:val="clear" w:color="auto" w:fill="CCEEFF"/>
          </w:tcPr>
          <w:p>
            <w:pPr>
              <w:jc w:val="center"/>
              <w:spacing w:after="0" w:line="257" w:lineRule="exact"/>
              <w:rPr>
                <w:sz w:val="20"/>
                <w:szCs w:val="20"/>
                <w:color w:val="auto"/>
              </w:rPr>
            </w:pPr>
            <w:r>
              <w:rPr>
                <w:rFonts w:ascii="Times New Roman" w:cs="Times New Roman" w:eastAsia="Times New Roman" w:hAnsi="Times New Roman"/>
                <w:sz w:val="18"/>
                <w:szCs w:val="18"/>
                <w:color w:val="auto"/>
                <w:w w:val="94"/>
              </w:rPr>
              <w:t>Indeterminable</w:t>
            </w:r>
            <w:r>
              <w:rPr>
                <w:rFonts w:ascii="Times New Roman" w:cs="Times New Roman" w:eastAsia="Times New Roman" w:hAnsi="Times New Roman"/>
                <w:sz w:val="23"/>
                <w:szCs w:val="23"/>
                <w:color w:val="auto"/>
                <w:w w:val="94"/>
                <w:vertAlign w:val="superscript"/>
              </w:rPr>
              <w:t>(1)</w:t>
            </w:r>
          </w:p>
        </w:tc>
        <w:tc>
          <w:tcPr>
            <w:tcW w:w="0" w:type="dxa"/>
            <w:vAlign w:val="bottom"/>
          </w:tcPr>
          <w:p>
            <w:pPr>
              <w:spacing w:after="0"/>
              <w:rPr>
                <w:sz w:val="1"/>
                <w:szCs w:val="1"/>
                <w:color w:val="auto"/>
              </w:rPr>
            </w:pPr>
          </w:p>
        </w:tc>
      </w:tr>
      <w:tr>
        <w:trPr>
          <w:trHeight w:val="178"/>
        </w:trPr>
        <w:tc>
          <w:tcPr>
            <w:tcW w:w="23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(Executive Vice president and</w:t>
            </w:r>
          </w:p>
        </w:tc>
        <w:tc>
          <w:tcPr>
            <w:tcW w:w="1420" w:type="dxa"/>
            <w:vAlign w:val="bottom"/>
            <w:vMerge w:val="continue"/>
            <w:shd w:val="clear" w:color="auto" w:fill="CCEEFF"/>
          </w:tcPr>
          <w:p>
            <w:pPr>
              <w:spacing w:after="0"/>
              <w:rPr>
                <w:sz w:val="15"/>
                <w:szCs w:val="15"/>
                <w:color w:val="auto"/>
              </w:rPr>
            </w:pPr>
          </w:p>
        </w:tc>
        <w:tc>
          <w:tcPr>
            <w:tcW w:w="2920" w:type="dxa"/>
            <w:vAlign w:val="bottom"/>
            <w:vMerge w:val="continue"/>
            <w:shd w:val="clear" w:color="auto" w:fill="CCEEFF"/>
          </w:tcPr>
          <w:p>
            <w:pPr>
              <w:spacing w:after="0"/>
              <w:rPr>
                <w:sz w:val="15"/>
                <w:szCs w:val="15"/>
                <w:color w:val="auto"/>
              </w:rPr>
            </w:pPr>
          </w:p>
        </w:tc>
        <w:tc>
          <w:tcPr>
            <w:tcW w:w="1380" w:type="dxa"/>
            <w:vAlign w:val="bottom"/>
            <w:shd w:val="clear" w:color="auto" w:fill="CCEEFF"/>
          </w:tcPr>
          <w:p>
            <w:pPr>
              <w:jc w:val="center"/>
              <w:ind w:left="3"/>
              <w:spacing w:after="0" w:line="178" w:lineRule="exact"/>
              <w:rPr>
                <w:sz w:val="20"/>
                <w:szCs w:val="20"/>
                <w:color w:val="auto"/>
              </w:rPr>
            </w:pPr>
            <w:r>
              <w:rPr>
                <w:rFonts w:ascii="Times New Roman" w:cs="Times New Roman" w:eastAsia="Times New Roman" w:hAnsi="Times New Roman"/>
                <w:sz w:val="18"/>
                <w:szCs w:val="18"/>
                <w:color w:val="auto"/>
                <w:w w:val="96"/>
              </w:rPr>
              <w:t>Sale</w:t>
            </w:r>
          </w:p>
        </w:tc>
        <w:tc>
          <w:tcPr>
            <w:tcW w:w="1500" w:type="dxa"/>
            <w:vAlign w:val="bottom"/>
            <w:vMerge w:val="continue"/>
            <w:shd w:val="clear" w:color="auto" w:fill="CCEEFF"/>
          </w:tcPr>
          <w:p>
            <w:pPr>
              <w:spacing w:after="0"/>
              <w:rPr>
                <w:sz w:val="15"/>
                <w:szCs w:val="15"/>
                <w:color w:val="auto"/>
              </w:rPr>
            </w:pPr>
          </w:p>
        </w:tc>
        <w:tc>
          <w:tcPr>
            <w:tcW w:w="1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20" w:type="dxa"/>
            <w:vAlign w:val="bottom"/>
            <w:shd w:val="clear" w:color="auto" w:fill="CCEEFF"/>
          </w:tcPr>
          <w:p>
            <w:pPr>
              <w:jc w:val="center"/>
              <w:ind w:left="30"/>
              <w:spacing w:after="0" w:line="93" w:lineRule="exact"/>
              <w:rPr>
                <w:sz w:val="20"/>
                <w:szCs w:val="20"/>
                <w:color w:val="auto"/>
              </w:rPr>
            </w:pPr>
            <w:r>
              <w:rPr>
                <w:rFonts w:ascii="Times New Roman" w:cs="Times New Roman" w:eastAsia="Times New Roman" w:hAnsi="Times New Roman"/>
                <w:sz w:val="10"/>
                <w:szCs w:val="10"/>
                <w:color w:val="auto"/>
              </w:rPr>
              <w:t>(11/16/2023)</w:t>
            </w:r>
          </w:p>
        </w:tc>
        <w:tc>
          <w:tcPr>
            <w:tcW w:w="2920" w:type="dxa"/>
            <w:vAlign w:val="bottom"/>
            <w:shd w:val="clear" w:color="auto" w:fill="CCEEFF"/>
          </w:tcPr>
          <w:p>
            <w:pPr>
              <w:ind w:left="100"/>
              <w:spacing w:after="0" w:line="93" w:lineRule="exact"/>
              <w:rPr>
                <w:sz w:val="20"/>
                <w:szCs w:val="20"/>
                <w:color w:val="auto"/>
              </w:rPr>
            </w:pPr>
            <w:r>
              <w:rPr>
                <w:rFonts w:ascii="Times New Roman" w:cs="Times New Roman" w:eastAsia="Times New Roman" w:hAnsi="Times New Roman"/>
                <w:sz w:val="10"/>
                <w:szCs w:val="10"/>
                <w:color w:val="auto"/>
              </w:rPr>
              <w:t>transactions relating to certain equity</w:t>
            </w:r>
          </w:p>
        </w:tc>
        <w:tc>
          <w:tcPr>
            <w:tcW w:w="1380" w:type="dxa"/>
            <w:vAlign w:val="bottom"/>
            <w:shd w:val="clear" w:color="auto" w:fill="CCEEFF"/>
          </w:tcPr>
          <w:p>
            <w:pPr>
              <w:spacing w:after="0"/>
              <w:rPr>
                <w:sz w:val="8"/>
                <w:szCs w:val="8"/>
                <w:color w:val="auto"/>
              </w:rPr>
            </w:pPr>
          </w:p>
        </w:tc>
        <w:tc>
          <w:tcPr>
            <w:tcW w:w="1500" w:type="dxa"/>
            <w:vAlign w:val="bottom"/>
            <w:shd w:val="clear" w:color="auto" w:fill="CCEEFF"/>
          </w:tcPr>
          <w:p>
            <w:pPr>
              <w:ind w:left="120"/>
              <w:spacing w:after="0" w:line="93" w:lineRule="exact"/>
              <w:rPr>
                <w:sz w:val="20"/>
                <w:szCs w:val="20"/>
                <w:color w:val="auto"/>
              </w:rPr>
            </w:pPr>
            <w:r>
              <w:rPr>
                <w:rFonts w:ascii="Times New Roman" w:cs="Times New Roman" w:eastAsia="Times New Roman" w:hAnsi="Times New Roman"/>
                <w:sz w:val="10"/>
                <w:szCs w:val="10"/>
                <w:color w:val="auto"/>
              </w:rPr>
              <w:t>covered RSU or</w:t>
            </w:r>
          </w:p>
        </w:tc>
        <w:tc>
          <w:tcPr>
            <w:tcW w:w="1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340" w:type="dxa"/>
            <w:vAlign w:val="bottom"/>
            <w:vMerge w:val="continue"/>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9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awards that have or may be granted</w:t>
            </w:r>
          </w:p>
        </w:tc>
        <w:tc>
          <w:tcPr>
            <w:tcW w:w="138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PSU</w:t>
            </w: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34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2920" w:type="dxa"/>
            <w:vAlign w:val="bottom"/>
            <w:vMerge w:val="continue"/>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500" w:type="dxa"/>
            <w:vAlign w:val="bottom"/>
            <w:vMerge w:val="continue"/>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640" w:right="40" w:hanging="634"/>
        <w:spacing w:after="0" w:line="237" w:lineRule="auto"/>
        <w:tabs>
          <w:tab w:leader="none" w:pos="63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subject to covered RSUs or PSUs that will be sold to satisfy applicable tax withholding obligations upon vesting is unknown as the number will vary based on the extent to which vesting conditions are satisfied, the market price of our common stock at the time of settlement and the potential future grant of additional RSUs or PSUs subject to this arrangement. This trading arrangement, which applies to RSUs or PSUs whether vesting is based on the passage of time and/or the achievement of performance goals, provides for the automatic sale of shares that would otherwise be issuable on each settlement date of a covered RSU or PSU in an amount sufficient to satisfy the applicable withholding obligation, with the proceeds of the sale delivered to us in satisfaction of the applicable withholding obligation.</w:t>
      </w:r>
    </w:p>
    <w:p>
      <w:pPr>
        <w:spacing w:after="0" w:line="7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None of our directors or officers terminated a Rule 10b5-1 trading arrangement or adopted or terminated a non-Rule 10b5-1 trading arrangement (as defined in Item 408(c) of Regulation S-K) during the fourth quarter of fiscal year 2023.</w:t>
      </w:r>
    </w:p>
    <w:p>
      <w:pPr>
        <w:spacing w:after="0" w:line="161" w:lineRule="exact"/>
        <w:rPr>
          <w:sz w:val="20"/>
          <w:szCs w:val="20"/>
          <w:color w:val="auto"/>
        </w:rPr>
      </w:pPr>
    </w:p>
    <w:p>
      <w:pPr>
        <w:ind w:right="314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information required by this Item (except for information required with respect to our executive officers which is set forth under “Information about our Executive Officers” in Item 1 of Part I of this Annual Report on Form 10-K) has been omitted from this Annual Report on Form 10-K, and is incorporated herein by reference from our definitive proxy statement for the 2024 Annual Meeting of Stockholders that we intend to file with the Securities and Exchange Commission within 120 days after the end of fiscal year ended December 31, 2023 (the "Proxy Statement"), under the sections captioned "Board of Directors", "Corporate Governance" and "Ownership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4" w:lineRule="exact"/>
        <w:rPr>
          <w:sz w:val="20"/>
          <w:szCs w:val="20"/>
          <w:color w:val="auto"/>
        </w:rPr>
      </w:pPr>
    </w:p>
    <w:p>
      <w:pPr>
        <w:jc w:val="both"/>
        <w:ind w:right="220"/>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required by Item 402(v) of Regulation S-K) is incorporated herein by reference from the Proxy Statement under the sections captioned "Executive and Director Compensation and Related Matters" and "Corporate Governance".</w:t>
      </w:r>
    </w:p>
    <w:p>
      <w:pPr>
        <w:spacing w:after="0" w:line="162"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6"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(except for the information required with respect to equity compensation plan information, which is set forth under “Equity Compensation Plan Information” below) is incorporated herein by reference from the Proxy Statement under the section captioned “Ownership of Our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about the securities authorized for issuance under our equity compensation plans as of December 31,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4"/>
        </w:trPr>
        <w:tc>
          <w:tcPr>
            <w:tcW w:w="54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4"/>
        </w:trPr>
        <w:tc>
          <w:tcPr>
            <w:tcW w:w="5400" w:type="dxa"/>
            <w:vAlign w:val="bottom"/>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4"/>
        </w:trPr>
        <w:tc>
          <w:tcPr>
            <w:tcW w:w="5400" w:type="dxa"/>
            <w:vAlign w:val="bottom"/>
          </w:tcPr>
          <w:p>
            <w:pPr>
              <w:spacing w:after="0"/>
              <w:rPr>
                <w:sz w:val="12"/>
                <w:szCs w:val="12"/>
                <w:color w:val="auto"/>
              </w:rPr>
            </w:pPr>
          </w:p>
        </w:tc>
        <w:tc>
          <w:tcPr>
            <w:tcW w:w="18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1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under equity</w:t>
            </w: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1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b w:val="1"/>
                <w:bCs w:val="1"/>
                <w:color w:val="auto"/>
                <w:w w:val="98"/>
              </w:rPr>
              <w:t>outstanding</w:t>
            </w:r>
          </w:p>
        </w:tc>
        <w:tc>
          <w:tcPr>
            <w:tcW w:w="18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6"/>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94"/>
        </w:trPr>
        <w:tc>
          <w:tcPr>
            <w:tcW w:w="5400" w:type="dxa"/>
            <w:vAlign w:val="bottom"/>
            <w:vMerge w:val="continue"/>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rights (2)</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 (3))</w:t>
            </w:r>
          </w:p>
        </w:tc>
        <w:tc>
          <w:tcPr>
            <w:tcW w:w="0" w:type="dxa"/>
            <w:vAlign w:val="bottom"/>
          </w:tcPr>
          <w:p>
            <w:pPr>
              <w:spacing w:after="0"/>
              <w:rPr>
                <w:sz w:val="1"/>
                <w:szCs w:val="1"/>
                <w:color w:val="auto"/>
              </w:rPr>
            </w:pPr>
          </w:p>
        </w:tc>
      </w:tr>
      <w:tr>
        <w:trPr>
          <w:trHeight w:val="225"/>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309,657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1,023,141</w:t>
            </w:r>
          </w:p>
        </w:tc>
        <w:tc>
          <w:tcPr>
            <w:tcW w:w="0" w:type="dxa"/>
            <w:vAlign w:val="bottom"/>
          </w:tcPr>
          <w:p>
            <w:pPr>
              <w:spacing w:after="0"/>
              <w:rPr>
                <w:sz w:val="1"/>
                <w:szCs w:val="1"/>
                <w:color w:val="auto"/>
              </w:rPr>
            </w:pPr>
          </w:p>
        </w:tc>
      </w:tr>
      <w:tr>
        <w:trPr>
          <w:trHeight w:val="226"/>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309,657</w:t>
            </w:r>
          </w:p>
        </w:tc>
        <w:tc>
          <w:tcPr>
            <w:tcW w:w="340" w:type="dxa"/>
            <w:vAlign w:val="bottom"/>
            <w:tcBorders>
              <w:bottom w:val="single" w:sz="8" w:color="CCEEFF"/>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1,023,141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ind w:left="480" w:right="620" w:hanging="314"/>
        <w:spacing w:after="0" w:line="293" w:lineRule="auto"/>
        <w:tabs>
          <w:tab w:leader="none" w:pos="47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stock units, including market-based performance stock, units are included at the 100% attainment level. Attainment of maximum performance targets and market achievements could result in the issuance of an additional 106,700 shares of Class A common stock.</w:t>
      </w:r>
    </w:p>
    <w:p>
      <w:pPr>
        <w:spacing w:after="0" w:line="1" w:lineRule="exact"/>
        <w:rPr>
          <w:rFonts w:ascii="Times New Roman" w:cs="Times New Roman" w:eastAsia="Times New Roman" w:hAnsi="Times New Roman"/>
          <w:sz w:val="17"/>
          <w:szCs w:val="17"/>
          <w:color w:val="auto"/>
        </w:rPr>
      </w:pPr>
    </w:p>
    <w:p>
      <w:pPr>
        <w:ind w:left="480" w:right="120" w:hanging="314"/>
        <w:spacing w:after="0" w:line="275" w:lineRule="auto"/>
        <w:tabs>
          <w:tab w:leader="none" w:pos="47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of outstanding options, warrants and rights excludes restricted stock units and other equity-based awards that do not have an exercise price.</w:t>
      </w:r>
    </w:p>
    <w:p>
      <w:pPr>
        <w:spacing w:after="0" w:line="4" w:lineRule="exact"/>
        <w:rPr>
          <w:rFonts w:ascii="Times New Roman" w:cs="Times New Roman" w:eastAsia="Times New Roman" w:hAnsi="Times New Roman"/>
          <w:sz w:val="18"/>
          <w:szCs w:val="18"/>
          <w:color w:val="auto"/>
        </w:rPr>
      </w:pPr>
    </w:p>
    <w:p>
      <w:pPr>
        <w:ind w:left="480" w:right="480" w:hanging="314"/>
        <w:spacing w:after="0" w:line="275" w:lineRule="auto"/>
        <w:tabs>
          <w:tab w:leader="none" w:pos="47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615,787 shares of our Class A common stock issuable under our 2016 Incentive Plan and 407,354 shares of our Class A common stock issuable under our Second Amended and Restated 1997 Employee Stock Purchase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 under the section captioned "Corporate Governance".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Proxy Statement under the section captioned "Proposal 3 - Ratification of the Appointment of Independent Auditors".</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460" w:type="dxa"/>
            <w:vAlign w:val="bottom"/>
          </w:tcPr>
          <w:p>
            <w:pPr>
              <w:jc w:val="right"/>
              <w:ind w:right="954"/>
              <w:spacing w:after="0"/>
              <w:rPr>
                <w:sz w:val="20"/>
                <w:szCs w:val="20"/>
                <w:color w:val="auto"/>
              </w:rPr>
            </w:pPr>
            <w:r>
              <w:rPr>
                <w:rFonts w:ascii="Times New Roman" w:cs="Times New Roman" w:eastAsia="Times New Roman" w:hAnsi="Times New Roman"/>
                <w:sz w:val="18"/>
                <w:szCs w:val="18"/>
                <w:color w:val="auto"/>
                <w:w w:val="97"/>
              </w:rPr>
              <w:t>(a)(1)</w:t>
            </w:r>
          </w:p>
        </w:tc>
        <w:tc>
          <w:tcPr>
            <w:tcW w:w="9780" w:type="dxa"/>
            <w:vAlign w:val="bottom"/>
            <w:gridSpan w:val="29"/>
          </w:tcPr>
          <w:p>
            <w:pPr>
              <w:ind w:left="420"/>
              <w:spacing w:after="0"/>
              <w:rPr>
                <w:sz w:val="20"/>
                <w:szCs w:val="20"/>
                <w:color w:val="auto"/>
              </w:rPr>
            </w:pPr>
            <w:r>
              <w:rPr>
                <w:rFonts w:ascii="Times New Roman" w:cs="Times New Roman" w:eastAsia="Times New Roman" w:hAnsi="Times New Roman"/>
                <w:sz w:val="18"/>
                <w:szCs w:val="18"/>
                <w:color w:val="auto"/>
              </w:rPr>
              <w:t>Consolidated Financial Statements included under Item 8.</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29"/>
          </w:tcPr>
          <w:p>
            <w:pPr>
              <w:ind w:left="4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 RSM US LLP.</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29"/>
          </w:tcPr>
          <w:p>
            <w:pPr>
              <w:ind w:left="420"/>
              <w:spacing w:after="0"/>
              <w:rPr>
                <w:sz w:val="20"/>
                <w:szCs w:val="20"/>
                <w:color w:val="auto"/>
              </w:rPr>
            </w:pPr>
            <w:r>
              <w:rPr>
                <w:rFonts w:ascii="Times New Roman" w:cs="Times New Roman" w:eastAsia="Times New Roman" w:hAnsi="Times New Roman"/>
                <w:sz w:val="18"/>
                <w:szCs w:val="18"/>
                <w:color w:val="auto"/>
              </w:rPr>
              <w:t>Consolidated Balance Sheets as of December 31, 2023 and December 31, 2022.</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29"/>
          </w:tcPr>
          <w:p>
            <w:pPr>
              <w:ind w:left="420"/>
              <w:spacing w:after="0"/>
              <w:rPr>
                <w:sz w:val="20"/>
                <w:szCs w:val="20"/>
                <w:color w:val="auto"/>
              </w:rPr>
            </w:pPr>
            <w:r>
              <w:rPr>
                <w:rFonts w:ascii="Times New Roman" w:cs="Times New Roman" w:eastAsia="Times New Roman" w:hAnsi="Times New Roman"/>
                <w:sz w:val="18"/>
                <w:szCs w:val="18"/>
                <w:color w:val="auto"/>
              </w:rPr>
              <w:t>Consolidated Statements of Operations for fiscal years 2023, 2022 and 2021.</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29"/>
          </w:tcPr>
          <w:p>
            <w:pPr>
              <w:ind w:left="420"/>
              <w:spacing w:after="0"/>
              <w:rPr>
                <w:sz w:val="20"/>
                <w:szCs w:val="20"/>
                <w:color w:val="auto"/>
              </w:rPr>
            </w:pPr>
            <w:r>
              <w:rPr>
                <w:rFonts w:ascii="Times New Roman" w:cs="Times New Roman" w:eastAsia="Times New Roman" w:hAnsi="Times New Roman"/>
                <w:sz w:val="18"/>
                <w:szCs w:val="18"/>
                <w:color w:val="auto"/>
              </w:rPr>
              <w:t>Consolidated Statements of Comprehensive Income for fiscal years 2023, 2022 and 2021.</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29"/>
          </w:tcPr>
          <w:p>
            <w:pPr>
              <w:ind w:left="420"/>
              <w:spacing w:after="0"/>
              <w:rPr>
                <w:sz w:val="20"/>
                <w:szCs w:val="20"/>
                <w:color w:val="auto"/>
              </w:rPr>
            </w:pPr>
            <w:r>
              <w:rPr>
                <w:rFonts w:ascii="Times New Roman" w:cs="Times New Roman" w:eastAsia="Times New Roman" w:hAnsi="Times New Roman"/>
                <w:sz w:val="18"/>
                <w:szCs w:val="18"/>
                <w:color w:val="auto"/>
              </w:rPr>
              <w:t>Consolidated Statement of Stockholders’ Equity for fiscal years 2023, 2022 and 2021.</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29"/>
          </w:tcPr>
          <w:p>
            <w:pPr>
              <w:ind w:left="420"/>
              <w:spacing w:after="0"/>
              <w:rPr>
                <w:sz w:val="20"/>
                <w:szCs w:val="20"/>
                <w:color w:val="auto"/>
              </w:rPr>
            </w:pPr>
            <w:r>
              <w:rPr>
                <w:rFonts w:ascii="Times New Roman" w:cs="Times New Roman" w:eastAsia="Times New Roman" w:hAnsi="Times New Roman"/>
                <w:sz w:val="18"/>
                <w:szCs w:val="18"/>
                <w:color w:val="auto"/>
              </w:rPr>
              <w:t>Consolidated Statements of Cash Flows for fiscal years 2023, 2022 and 2021.</w:t>
            </w:r>
          </w:p>
        </w:tc>
        <w:tc>
          <w:tcPr>
            <w:tcW w:w="0" w:type="dxa"/>
            <w:vAlign w:val="bottom"/>
          </w:tcPr>
          <w:p>
            <w:pPr>
              <w:spacing w:after="0"/>
              <w:rPr>
                <w:sz w:val="1"/>
                <w:szCs w:val="1"/>
                <w:color w:val="auto"/>
              </w:rPr>
            </w:pPr>
          </w:p>
        </w:tc>
      </w:tr>
      <w:tr>
        <w:trPr>
          <w:trHeight w:val="232"/>
        </w:trPr>
        <w:tc>
          <w:tcPr>
            <w:tcW w:w="1460" w:type="dxa"/>
            <w:vAlign w:val="bottom"/>
          </w:tcPr>
          <w:p>
            <w:pPr>
              <w:spacing w:after="0"/>
              <w:rPr>
                <w:sz w:val="20"/>
                <w:szCs w:val="20"/>
                <w:color w:val="auto"/>
              </w:rPr>
            </w:pPr>
          </w:p>
        </w:tc>
        <w:tc>
          <w:tcPr>
            <w:tcW w:w="9780" w:type="dxa"/>
            <w:vAlign w:val="bottom"/>
            <w:gridSpan w:val="29"/>
          </w:tcPr>
          <w:p>
            <w:pPr>
              <w:ind w:left="4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0" w:type="dxa"/>
            <w:vAlign w:val="bottom"/>
          </w:tcPr>
          <w:p>
            <w:pPr>
              <w:spacing w:after="0"/>
              <w:rPr>
                <w:sz w:val="1"/>
                <w:szCs w:val="1"/>
                <w:color w:val="auto"/>
              </w:rPr>
            </w:pPr>
          </w:p>
        </w:tc>
      </w:tr>
      <w:tr>
        <w:trPr>
          <w:trHeight w:val="486"/>
        </w:trPr>
        <w:tc>
          <w:tcPr>
            <w:tcW w:w="1460" w:type="dxa"/>
            <w:vAlign w:val="bottom"/>
          </w:tcPr>
          <w:p>
            <w:pPr>
              <w:jc w:val="right"/>
              <w:ind w:right="954"/>
              <w:spacing w:after="0"/>
              <w:rPr>
                <w:sz w:val="20"/>
                <w:szCs w:val="20"/>
                <w:color w:val="auto"/>
              </w:rPr>
            </w:pPr>
            <w:r>
              <w:rPr>
                <w:rFonts w:ascii="Times New Roman" w:cs="Times New Roman" w:eastAsia="Times New Roman" w:hAnsi="Times New Roman"/>
                <w:sz w:val="18"/>
                <w:szCs w:val="18"/>
                <w:color w:val="auto"/>
                <w:w w:val="97"/>
              </w:rPr>
              <w:t>(a)(2)</w:t>
            </w:r>
          </w:p>
        </w:tc>
        <w:tc>
          <w:tcPr>
            <w:tcW w:w="9780" w:type="dxa"/>
            <w:vAlign w:val="bottom"/>
            <w:gridSpan w:val="29"/>
          </w:tcPr>
          <w:p>
            <w:pPr>
              <w:ind w:left="420"/>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9780" w:type="dxa"/>
            <w:vAlign w:val="bottom"/>
            <w:gridSpan w:val="29"/>
          </w:tcPr>
          <w:p>
            <w:pPr>
              <w:ind w:left="420"/>
              <w:spacing w:after="0" w:line="178" w:lineRule="exact"/>
              <w:rPr>
                <w:sz w:val="20"/>
                <w:szCs w:val="20"/>
                <w:color w:val="auto"/>
              </w:rPr>
            </w:pPr>
            <w:r>
              <w:rPr>
                <w:rFonts w:ascii="Times New Roman" w:cs="Times New Roman" w:eastAsia="Times New Roman" w:hAnsi="Times New Roman"/>
                <w:sz w:val="18"/>
                <w:szCs w:val="18"/>
                <w:color w:val="auto"/>
              </w:rPr>
              <w:t>All schedules have been omitted because the required information is not significant or is included in the consolidated financial</w:t>
            </w:r>
          </w:p>
        </w:tc>
        <w:tc>
          <w:tcPr>
            <w:tcW w:w="0" w:type="dxa"/>
            <w:vAlign w:val="bottom"/>
          </w:tcPr>
          <w:p>
            <w:pPr>
              <w:spacing w:after="0"/>
              <w:rPr>
                <w:sz w:val="1"/>
                <w:szCs w:val="1"/>
                <w:color w:val="auto"/>
              </w:rPr>
            </w:pPr>
          </w:p>
        </w:tc>
      </w:tr>
      <w:tr>
        <w:trPr>
          <w:trHeight w:val="232"/>
        </w:trPr>
        <w:tc>
          <w:tcPr>
            <w:tcW w:w="1460" w:type="dxa"/>
            <w:vAlign w:val="bottom"/>
          </w:tcPr>
          <w:p>
            <w:pPr>
              <w:spacing w:after="0"/>
              <w:rPr>
                <w:sz w:val="20"/>
                <w:szCs w:val="20"/>
                <w:color w:val="auto"/>
              </w:rPr>
            </w:pPr>
          </w:p>
        </w:tc>
        <w:tc>
          <w:tcPr>
            <w:tcW w:w="9780" w:type="dxa"/>
            <w:vAlign w:val="bottom"/>
            <w:gridSpan w:val="29"/>
          </w:tcPr>
          <w:p>
            <w:pPr>
              <w:ind w:left="420"/>
              <w:spacing w:after="0"/>
              <w:rPr>
                <w:sz w:val="20"/>
                <w:szCs w:val="20"/>
                <w:color w:val="auto"/>
              </w:rPr>
            </w:pPr>
            <w:r>
              <w:rPr>
                <w:rFonts w:ascii="Times New Roman" w:cs="Times New Roman" w:eastAsia="Times New Roman" w:hAnsi="Times New Roman"/>
                <w:sz w:val="18"/>
                <w:szCs w:val="18"/>
                <w:color w:val="auto"/>
              </w:rPr>
              <w:t>statements or notes thereto, or is not applicable.</w:t>
            </w:r>
          </w:p>
        </w:tc>
        <w:tc>
          <w:tcPr>
            <w:tcW w:w="0" w:type="dxa"/>
            <w:vAlign w:val="bottom"/>
          </w:tcPr>
          <w:p>
            <w:pPr>
              <w:spacing w:after="0"/>
              <w:rPr>
                <w:sz w:val="1"/>
                <w:szCs w:val="1"/>
                <w:color w:val="auto"/>
              </w:rPr>
            </w:pPr>
          </w:p>
        </w:tc>
      </w:tr>
      <w:tr>
        <w:trPr>
          <w:trHeight w:val="500"/>
        </w:trPr>
        <w:tc>
          <w:tcPr>
            <w:tcW w:w="1460" w:type="dxa"/>
            <w:vAlign w:val="bottom"/>
          </w:tcPr>
          <w:p>
            <w:pPr>
              <w:jc w:val="right"/>
              <w:ind w:right="954"/>
              <w:spacing w:after="0"/>
              <w:rPr>
                <w:sz w:val="20"/>
                <w:szCs w:val="20"/>
                <w:color w:val="auto"/>
              </w:rPr>
            </w:pPr>
            <w:r>
              <w:rPr>
                <w:rFonts w:ascii="Times New Roman" w:cs="Times New Roman" w:eastAsia="Times New Roman" w:hAnsi="Times New Roman"/>
                <w:sz w:val="18"/>
                <w:szCs w:val="18"/>
                <w:color w:val="auto"/>
                <w:w w:val="97"/>
              </w:rPr>
              <w:t>(a)(3)</w:t>
            </w:r>
          </w:p>
        </w:tc>
        <w:tc>
          <w:tcPr>
            <w:tcW w:w="9780" w:type="dxa"/>
            <w:vAlign w:val="bottom"/>
            <w:gridSpan w:val="29"/>
          </w:tcPr>
          <w:p>
            <w:pPr>
              <w:ind w:left="420"/>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252"/>
        </w:trPr>
        <w:tc>
          <w:tcPr>
            <w:tcW w:w="14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5280" w:type="dxa"/>
            <w:vAlign w:val="bottom"/>
            <w:gridSpan w:val="2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4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5280" w:type="dxa"/>
            <w:vAlign w:val="bottom"/>
            <w:tcBorders>
              <w:bottom w:val="single" w:sz="8" w:color="auto"/>
            </w:tcBorders>
            <w:gridSpan w:val="24"/>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46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Equity Purchase Agreement, dated as of April 21, 2023, by and among the sellers identified therein, GFL Environmental Inc.,</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14"/>
          </w:tcPr>
          <w:p>
            <w:pPr>
              <w:spacing w:after="0" w:line="153"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Casella Mid-Atlantic, LLC, and, solely with respect to Section 9.17 thereof, Casella Waste Systems, Inc. (incorporated herein</w:t>
              </w:r>
            </w:hyperlink>
          </w:p>
        </w:tc>
        <w:tc>
          <w:tcPr>
            <w:tcW w:w="400" w:type="dxa"/>
            <w:vAlign w:val="bottom"/>
            <w:gridSpan w:val="13"/>
          </w:tcPr>
          <w:p>
            <w:pPr>
              <w:jc w:val="right"/>
              <w:ind w:right="200"/>
              <w:spacing w:after="0" w:line="153"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by</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0"/>
          </w:tcPr>
          <w:p>
            <w:pPr>
              <w:spacing w:after="0" w:line="153"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reference to Exhibit 2.1 to the quarterly report on Form 10-Q of Casella as filed on July 27, 2023 (file no. 000-23211)).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46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Second Amended and Restated Certificate of Incorporation of Casella Waste Systems, Inc., as amended (incorporated herein by</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19"/>
          </w:tcPr>
          <w:p>
            <w:pPr>
              <w:spacing w:after="0" w:line="153"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reference to Exhibit 3.1 to the quarterly report on Form 10-Q of Casella as filed on December 7, 2007(file no. 000-23211)).</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46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Fourth Amended and Restated By-Laws of Casella Waste Systems, Inc. (incorporated herein by reference to Exhibit 3.2 to the</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5"/>
          </w:tcPr>
          <w:p>
            <w:pPr>
              <w:spacing w:after="0" w:line="153"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annual report on Form 10-K of Casella as filed on February 17, 2023 (file no. 000-23211).</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46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27"/>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Form of stock certificate of Casella Class A common stock (incorporated herein by reference to Exhibit 4 to Amendment No. 2 to</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3"/>
          </w:tcPr>
          <w:p>
            <w:pPr>
              <w:spacing w:after="0" w:line="153"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the registration statement on Form S-1 of Casella as filed on October 9, 1997 (file no. 333-33135)).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46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Certificate of Designation creating Series A Convertible Preferred Stock (incorporated herein by reference to Exhibit 4.1 to the</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6"/>
          </w:tcPr>
          <w:p>
            <w:pPr>
              <w:spacing w:after="0" w:line="153"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current report on Form 8-K of Casella as filed on August 18, 2000 (file no. 000-23211)).</w:t>
              </w:r>
            </w:hyperlink>
          </w:p>
        </w:tc>
        <w:tc>
          <w:tcPr>
            <w:tcW w:w="27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46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27"/>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 xml:space="preserve">Description of Securities Registered Under Section 12 of the Exchange Act </w:t>
              </w:r>
            </w:hyperlink>
            <w:r>
              <w:rPr>
                <w:rFonts w:ascii="Times New Roman" w:cs="Times New Roman" w:eastAsia="Times New Roman" w:hAnsi="Times New Roman"/>
                <w:sz w:val="18"/>
                <w:szCs w:val="18"/>
                <w:color w:val="0000FF"/>
                <w:w w:val="99"/>
              </w:rPr>
              <w:t>(incorporated herein by reference to Exhibit 4.3 to the</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2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20" w:type="dxa"/>
            <w:vAlign w:val="bottom"/>
            <w:gridSpan w:val="27"/>
          </w:tcPr>
          <w:p>
            <w:pPr>
              <w:spacing w:after="0" w:line="180" w:lineRule="exact"/>
              <w:rPr>
                <w:sz w:val="20"/>
                <w:szCs w:val="20"/>
                <w:color w:val="auto"/>
              </w:rPr>
            </w:pPr>
            <w:r>
              <w:rPr>
                <w:rFonts w:ascii="Times New Roman" w:cs="Times New Roman" w:eastAsia="Times New Roman" w:hAnsi="Times New Roman"/>
                <w:sz w:val="18"/>
                <w:szCs w:val="18"/>
                <w:color w:val="0000FF"/>
              </w:rPr>
              <w:t>annual report on Form 10-K of Casella as filed on February 19, 2021 (file no. 000-23211)).</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46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FAME Financing Agreement, dated as of August 1, 2015, between Casella and the Finance Authority of Maine (incorporated</w:t>
              </w:r>
            </w:hyperlink>
          </w:p>
        </w:tc>
        <w:tc>
          <w:tcPr>
            <w:tcW w:w="4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bottom w:val="single" w:sz="8" w:color="0000FF"/>
            </w:tcBorders>
            <w:gridSpan w:val="22"/>
          </w:tcPr>
          <w:p>
            <w:pPr>
              <w:spacing w:after="0" w:line="153"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herein by reference to Exhibit 4.1 to the current report on Form 8-K of Casella as filed on August 27, 2015 (file no. 000-23211)).</w:t>
              </w:r>
            </w:hyperlink>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46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FAME Guaranty Agreement, dated as of August 1, 2015, by and between the guarantors named therein and U.S. Bank National</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8"/>
          </w:tcPr>
          <w:p>
            <w:pPr>
              <w:spacing w:after="0" w:line="153"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Association, as trustee (incorporated herein by reference to Exhibit 4.2 to the current report on Form 8-K of Casella Waste</w:t>
              </w:r>
            </w:hyperlink>
          </w:p>
        </w:tc>
        <w:tc>
          <w:tcPr>
            <w:tcW w:w="8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bottom w:val="single" w:sz="8" w:color="0000FF"/>
            </w:tcBorders>
            <w:gridSpan w:val="3"/>
          </w:tcPr>
          <w:p>
            <w:pPr>
              <w:spacing w:after="0" w:line="153"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Systems, Inc. as filed on August 27, 2015 (file no. 000-23211)).</w:t>
              </w:r>
            </w:hyperlink>
          </w:p>
        </w:tc>
        <w:tc>
          <w:tcPr>
            <w:tcW w:w="4200" w:type="dxa"/>
            <w:vAlign w:val="bottom"/>
            <w:tcBorders>
              <w:top w:val="single" w:sz="8" w:color="0000FF"/>
            </w:tcBorders>
            <w:gridSpan w:val="8"/>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5"/>
          </w:tcPr>
          <w:p>
            <w:pPr>
              <w:spacing w:after="0"/>
              <w:rPr>
                <w:sz w:val="13"/>
                <w:szCs w:val="13"/>
                <w:color w:val="auto"/>
              </w:rPr>
            </w:pPr>
          </w:p>
        </w:tc>
        <w:tc>
          <w:tcPr>
            <w:tcW w:w="10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46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20" w:type="dxa"/>
            <w:vAlign w:val="bottom"/>
            <w:gridSpan w:val="27"/>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Loan Agreement, dated as of December 1, 2014, between New York State Environmental Facilities Corporation and Casella</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(incorporated herein by reference to Exhibit 4.1 to the current report on Form 8-K of Casella as filed on December 18, 2014</w:t>
              </w:r>
            </w:hyperlink>
          </w:p>
        </w:tc>
        <w:tc>
          <w:tcPr>
            <w:tcW w:w="500" w:type="dxa"/>
            <w:vAlign w:val="bottom"/>
            <w:gridSpan w:val="15"/>
          </w:tcPr>
          <w:p>
            <w:pPr>
              <w:jc w:val="right"/>
              <w:ind w:right="200"/>
              <w:spacing w:after="0" w:line="153" w:lineRule="exact"/>
              <w:rPr>
                <w:rFonts w:ascii="Times New Roman" w:cs="Times New Roman" w:eastAsia="Times New Roman" w:hAnsi="Times New Roman"/>
                <w:sz w:val="17"/>
                <w:szCs w:val="17"/>
                <w:color w:val="0000FF"/>
                <w:w w:val="98"/>
              </w:rPr>
            </w:pPr>
            <w:hyperlink r:id="rId162">
              <w:r>
                <w:rPr>
                  <w:rFonts w:ascii="Times New Roman" w:cs="Times New Roman" w:eastAsia="Times New Roman" w:hAnsi="Times New Roman"/>
                  <w:sz w:val="17"/>
                  <w:szCs w:val="17"/>
                  <w:color w:val="0000FF"/>
                  <w:w w:val="98"/>
                </w:rPr>
                <w:t>(file</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no. 000-23211)).</w:t>
              </w:r>
            </w:hyperlink>
          </w:p>
        </w:tc>
        <w:tc>
          <w:tcPr>
            <w:tcW w:w="7940" w:type="dxa"/>
            <w:vAlign w:val="bottom"/>
            <w:tcBorders>
              <w:top w:val="single" w:sz="8" w:color="0000FF"/>
            </w:tcBorders>
            <w:gridSpan w:val="20"/>
          </w:tcPr>
          <w:p>
            <w:pPr>
              <w:spacing w:after="0"/>
              <w:rPr>
                <w:sz w:val="13"/>
                <w:szCs w:val="13"/>
                <w:color w:val="auto"/>
              </w:rPr>
            </w:pPr>
          </w:p>
        </w:tc>
        <w:tc>
          <w:tcPr>
            <w:tcW w:w="10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46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NYSEFC Amended and Restated Guaranty Agreement, dated as of June 1, 2016, by and between the guarantors named therein</w:t>
              </w:r>
            </w:hyperlink>
          </w:p>
        </w:tc>
        <w:tc>
          <w:tcPr>
            <w:tcW w:w="280" w:type="dxa"/>
            <w:vAlign w:val="bottom"/>
            <w:gridSpan w:val="10"/>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27"/>
          </w:tcPr>
          <w:p>
            <w:pPr>
              <w:spacing w:after="0" w:line="153"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and U.S. Bank National Association, as Trustee (incorporated herein by reference to Exhibit 4.1 to the current report on Form 8-K</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2"/>
          </w:tcPr>
          <w:p>
            <w:pPr>
              <w:spacing w:after="0" w:line="153"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of Casella as filed on June 2, 2016 (file no. 000-23211)).</w:t>
              </w:r>
            </w:hyperlink>
          </w:p>
        </w:tc>
        <w:tc>
          <w:tcPr>
            <w:tcW w:w="5220" w:type="dxa"/>
            <w:vAlign w:val="bottom"/>
            <w:tcBorders>
              <w:top w:val="single" w:sz="8" w:color="0000FF"/>
            </w:tcBorders>
            <w:gridSpan w:val="23"/>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1460" w:type="dxa"/>
            <w:vAlign w:val="bottom"/>
          </w:tcPr>
          <w:p>
            <w:pPr>
              <w:spacing w:after="0"/>
              <w:rPr>
                <w:sz w:val="24"/>
                <w:szCs w:val="24"/>
                <w:color w:val="auto"/>
              </w:rPr>
            </w:pPr>
          </w:p>
        </w:tc>
        <w:tc>
          <w:tcPr>
            <w:tcW w:w="4480" w:type="dxa"/>
            <w:vAlign w:val="bottom"/>
            <w:gridSpan w:val="4"/>
          </w:tcPr>
          <w:p>
            <w:pPr>
              <w:ind w:left="4040"/>
              <w:spacing w:after="0"/>
              <w:rPr>
                <w:sz w:val="20"/>
                <w:szCs w:val="20"/>
                <w:color w:val="auto"/>
              </w:rPr>
            </w:pPr>
            <w:r>
              <w:rPr>
                <w:rFonts w:ascii="Times New Roman" w:cs="Times New Roman" w:eastAsia="Times New Roman" w:hAnsi="Times New Roman"/>
                <w:sz w:val="18"/>
                <w:szCs w:val="18"/>
                <w:color w:val="auto"/>
              </w:rPr>
              <w:t>109</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4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0000FF"/>
                <w:w w:val="99"/>
              </w:rPr>
              <w:t>Table of Contents</w:t>
            </w:r>
          </w:p>
        </w:tc>
        <w:tc>
          <w:tcPr>
            <w:tcW w:w="8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6"/>
        </w:trPr>
        <w:tc>
          <w:tcPr>
            <w:tcW w:w="19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80" w:type="dxa"/>
            <w:vAlign w:val="bottom"/>
            <w:gridSpan w:val="31"/>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9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80" w:type="dxa"/>
            <w:vAlign w:val="bottom"/>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360" w:type="dxa"/>
            <w:vAlign w:val="bottom"/>
            <w:tcBorders>
              <w:top w:val="single" w:sz="8" w:color="auto"/>
            </w:tcBorders>
            <w:gridSpan w:val="38"/>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BFA Guaranty Agreement, dated as of October 1, 2014, by and among U.S. Bank National Association, as Trustee, and the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guarantors identified therein (incorporated herein by reference to Exhibit 10.1 to the current report on Form 8-K of Casella</w:t>
              </w:r>
            </w:hyperlink>
          </w:p>
        </w:tc>
        <w:tc>
          <w:tcPr>
            <w:tcW w:w="620" w:type="dxa"/>
            <w:vAlign w:val="bottom"/>
            <w:gridSpan w:val="26"/>
          </w:tcPr>
          <w:p>
            <w:pPr>
              <w:ind w:left="20"/>
              <w:spacing w:after="0" w:line="153"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as filed</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40" w:type="dxa"/>
            <w:vAlign w:val="bottom"/>
            <w:tcBorders>
              <w:top w:val="single" w:sz="8" w:color="0000FF"/>
              <w:bottom w:val="single" w:sz="8" w:color="0000FF"/>
            </w:tcBorders>
            <w:gridSpan w:val="6"/>
          </w:tcPr>
          <w:p>
            <w:pPr>
              <w:spacing w:after="0" w:line="166" w:lineRule="exact"/>
              <w:rPr>
                <w:rFonts w:ascii="Times New Roman" w:cs="Times New Roman" w:eastAsia="Times New Roman" w:hAnsi="Times New Roman"/>
                <w:sz w:val="18"/>
                <w:szCs w:val="18"/>
                <w:color w:val="0000FF"/>
                <w:w w:val="97"/>
              </w:rPr>
            </w:pPr>
            <w:hyperlink r:id="rId166">
              <w:r>
                <w:rPr>
                  <w:rFonts w:ascii="Times New Roman" w:cs="Times New Roman" w:eastAsia="Times New Roman" w:hAnsi="Times New Roman"/>
                  <w:sz w:val="18"/>
                  <w:szCs w:val="18"/>
                  <w:color w:val="0000FF"/>
                  <w:w w:val="97"/>
                </w:rPr>
                <w:t>on October 16, 2014 (file no. 000-23211)).</w:t>
              </w:r>
            </w:hyperlink>
          </w:p>
        </w:tc>
        <w:tc>
          <w:tcPr>
            <w:tcW w:w="628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38"/>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Financing Agreement dated as of March 1, 2013 between Casella Waste Systems, Inc. and the Vermont Economic Development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bottom w:val="single" w:sz="8" w:color="0000FF"/>
            </w:tcBorders>
            <w:gridSpan w:val="22"/>
          </w:tcPr>
          <w:p>
            <w:pPr>
              <w:spacing w:after="0" w:line="153"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Authority, relating to issuance of Vermont Economic Development Authority Solid Waste Disposal Revenue Bonds (incorporated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294967257"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0" w:type="dxa"/>
            <w:vAlign w:val="bottom"/>
            <w:gridSpan w:val="29"/>
          </w:tcPr>
          <w:p>
            <w:pPr>
              <w:spacing w:after="0" w:line="16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herein by reference to Exhibit 10.1 to the current report on Form 8-K of Casella as filed April 5, 2013 (file no. 000-23211)).</w:t>
              </w:r>
            </w:hyperlink>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4.10</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38"/>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VEDA Guaranty Agreement, dated as of March 1, 2013, by and among U.S. Bank National Association, as Trustee, and the</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38"/>
          </w:tcPr>
          <w:p>
            <w:pPr>
              <w:spacing w:after="0" w:line="153"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guarantors identified therein (incorporated herein by reference to Exhibit 4.8 to the annual report on Form 10-K of Casella as filed</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tcBorders>
              <w:top w:val="single" w:sz="8" w:color="0000FF"/>
            </w:tcBorders>
            <w:gridSpan w:val="33"/>
          </w:tcPr>
          <w:p>
            <w:pPr>
              <w:spacing w:after="0" w:line="16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on June 27, 2014 (file no. 000-23211)).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4.11</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38"/>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Financing Agreement dated as of March 1, 2013 between Casella Waste Systems, Inc. and the Business Finance Authority of the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24"/>
          </w:tcPr>
          <w:p>
            <w:pPr>
              <w:spacing w:after="0" w:line="153"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State of New Hampshire, relating to issuance of Business Finance Authority of the State of New Hampshire Solid Waste Disposal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294967257"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20" w:type="dxa"/>
            <w:vAlign w:val="bottom"/>
            <w:gridSpan w:val="31"/>
          </w:tcPr>
          <w:p>
            <w:pPr>
              <w:spacing w:after="0" w:line="166" w:lineRule="exact"/>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Revenue Bonds (incorporated herein by reference to Exhibit 10.2 to the current report on Form 8-K of Casella as filed on April 5,</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3"/>
          </w:tcPr>
          <w:p>
            <w:pPr>
              <w:spacing w:after="0" w:line="153"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2013 (file no. 000-23211)).</w:t>
              </w:r>
            </w:hyperlink>
          </w:p>
        </w:tc>
        <w:tc>
          <w:tcPr>
            <w:tcW w:w="7280" w:type="dxa"/>
            <w:vAlign w:val="bottom"/>
            <w:tcBorders>
              <w:top w:val="single" w:sz="8" w:color="0000FF"/>
            </w:tcBorders>
            <w:gridSpan w:val="27"/>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4.12</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Financing Agreement between Casella Waste Systems, Inc. and Finance Authority of Maine, dated as of December 1, 2005,</w:t>
              </w:r>
            </w:hyperlink>
          </w:p>
        </w:tc>
        <w:tc>
          <w:tcPr>
            <w:tcW w:w="560" w:type="dxa"/>
            <w:vAlign w:val="bottom"/>
            <w:gridSpan w:val="24"/>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bottom w:val="single" w:sz="8" w:color="0000FF"/>
            </w:tcBorders>
            <w:gridSpan w:val="20"/>
          </w:tcPr>
          <w:p>
            <w:pPr>
              <w:spacing w:after="0" w:line="153"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relating to issuance of Finance Authority of Maine Solid Waste Disposal Revenue Bonds (Casella Waste Services, Inc. Project)</w:t>
              </w:r>
            </w:hyperlink>
          </w:p>
        </w:tc>
        <w:tc>
          <w:tcPr>
            <w:tcW w:w="34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gridSpan w:val="38"/>
          </w:tcPr>
          <w:p>
            <w:pPr>
              <w:spacing w:after="0" w:line="16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Series 2005 (incorporated herein by reference to Exhibit 10.1 to the current report on Form 8-K of Casella as filed on January 4,</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3"/>
          </w:tcPr>
          <w:p>
            <w:pPr>
              <w:spacing w:after="0" w:line="153"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2006 (file no. 000-23211)).</w:t>
              </w:r>
            </w:hyperlink>
          </w:p>
        </w:tc>
        <w:tc>
          <w:tcPr>
            <w:tcW w:w="718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4.13</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38"/>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First Amendment dated as of February 1, 2012 to Financing Agreement dated as of December 1, 2005, by and among Finance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8"/>
          </w:tcPr>
          <w:p>
            <w:pPr>
              <w:spacing w:after="0" w:line="153"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Authority of Maine, U.S. Bank National Association, as Trustee, Bank of America, as Credit Provider, and Casella (incorporated</w:t>
              </w:r>
            </w:hyperlink>
          </w:p>
        </w:tc>
        <w:tc>
          <w:tcPr>
            <w:tcW w:w="6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gridSpan w:val="25"/>
          </w:tcPr>
          <w:p>
            <w:pPr>
              <w:spacing w:after="0" w:line="16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herein by reference to Exhibit 10.1 to the quarterly report on Form 10-Q of Casella as filed on March 2, 2012 (file no. 000-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w w:val="99"/>
              </w:rPr>
            </w:pPr>
            <w:hyperlink r:id="rId171">
              <w:r>
                <w:rPr>
                  <w:rFonts w:ascii="Times New Roman" w:cs="Times New Roman" w:eastAsia="Times New Roman" w:hAnsi="Times New Roman"/>
                  <w:sz w:val="17"/>
                  <w:szCs w:val="17"/>
                  <w:color w:val="0000FF"/>
                  <w:w w:val="99"/>
                </w:rPr>
                <w:t>23211)</w:t>
              </w:r>
              <w:r>
                <w:rPr>
                  <w:rFonts w:ascii="Times New Roman" w:cs="Times New Roman" w:eastAsia="Times New Roman" w:hAnsi="Times New Roman"/>
                  <w:sz w:val="17"/>
                  <w:szCs w:val="17"/>
                  <w:u w:val="single" w:color="auto"/>
                  <w:color w:val="0000FF"/>
                  <w:w w:val="99"/>
                </w:rPr>
                <w:t>)</w:t>
              </w:r>
              <w:r>
                <w:rPr>
                  <w:rFonts w:ascii="Times New Roman" w:cs="Times New Roman" w:eastAsia="Times New Roman" w:hAnsi="Times New Roman"/>
                  <w:sz w:val="17"/>
                  <w:szCs w:val="17"/>
                  <w:color w:val="0000FF"/>
                  <w:w w:val="99"/>
                </w:rPr>
                <w:t>.</w:t>
              </w:r>
            </w:hyperlink>
          </w:p>
        </w:tc>
        <w:tc>
          <w:tcPr>
            <w:tcW w:w="3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9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4.14</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38"/>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Second Amendment dated as of February 1, 2017 to Financing Agreement dated as of December 1, 2005, by and among Finance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6"/>
          </w:tcPr>
          <w:p>
            <w:pPr>
              <w:spacing w:after="0" w:line="153"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Authority of Maine, U.S. Bank National Association, as Trustee, Bank of America, as Credit Provider, and Casella (incorporated</w:t>
              </w:r>
            </w:hyperlink>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tcBorders>
              <w:top w:val="single" w:sz="8" w:color="0000FF"/>
            </w:tcBorders>
            <w:gridSpan w:val="25"/>
          </w:tcPr>
          <w:p>
            <w:pPr>
              <w:spacing w:after="0" w:line="16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herein by reference to Exhibit 4.2 to the current report on Form 8-K as filed on February 7, 2017 (file no. 000-23211)).</w:t>
              </w:r>
            </w:hyperlink>
          </w:p>
        </w:tc>
        <w:tc>
          <w:tcPr>
            <w:tcW w:w="40" w:type="dxa"/>
            <w:vAlign w:val="bottom"/>
            <w:gridSpan w:val="2"/>
          </w:tcPr>
          <w:p>
            <w:pPr>
              <w:spacing w:after="0"/>
              <w:rPr>
                <w:sz w:val="14"/>
                <w:szCs w:val="14"/>
                <w:color w:val="auto"/>
              </w:rPr>
            </w:pPr>
          </w:p>
        </w:tc>
        <w:tc>
          <w:tcPr>
            <w:tcW w:w="4294967257"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4.15</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38"/>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FAME Amended and Restated Guaranty Agreement, dated as of February 1, 2017, by and among U.S. Bank National Association,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37"/>
          </w:tcPr>
          <w:p>
            <w:pPr>
              <w:spacing w:after="0" w:line="153"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as Trustee, and the guarantors identified therein (incorporated herein by reference to Exhibit 4.1 to the current report on Form 8-K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bottom w:val="single" w:sz="8" w:color="0000FF"/>
            </w:tcBorders>
            <w:gridSpan w:val="8"/>
          </w:tcPr>
          <w:p>
            <w:pPr>
              <w:spacing w:after="0" w:line="166" w:lineRule="exact"/>
              <w:rPr>
                <w:rFonts w:ascii="Times New Roman" w:cs="Times New Roman" w:eastAsia="Times New Roman" w:hAnsi="Times New Roman"/>
                <w:sz w:val="18"/>
                <w:szCs w:val="18"/>
                <w:color w:val="0000FF"/>
                <w:w w:val="98"/>
              </w:rPr>
            </w:pPr>
            <w:hyperlink r:id="rId173">
              <w:r>
                <w:rPr>
                  <w:rFonts w:ascii="Times New Roman" w:cs="Times New Roman" w:eastAsia="Times New Roman" w:hAnsi="Times New Roman"/>
                  <w:sz w:val="18"/>
                  <w:szCs w:val="18"/>
                  <w:color w:val="0000FF"/>
                  <w:w w:val="98"/>
                </w:rPr>
                <w:t>of Casella as filed on February 7, 2017 (file no. 000-23211)).</w:t>
              </w:r>
            </w:hyperlink>
          </w:p>
        </w:tc>
        <w:tc>
          <w:tcPr>
            <w:tcW w:w="4900" w:type="dxa"/>
            <w:vAlign w:val="bottom"/>
            <w:tcBorders>
              <w:top w:val="single" w:sz="8" w:color="0000FF"/>
            </w:tcBorders>
            <w:gridSpan w:val="2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4.16</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38"/>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Loan Agreement, dated as of September 1, 2020, between New York State Environmental Facilities Corporation and Casella</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15"/>
          </w:tcPr>
          <w:p>
            <w:pPr>
              <w:spacing w:after="0" w:line="153"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Waste Systems, Inc (incorporated herein by reference to Exhibit 4.1 to the Current Report on Form 8-K of Casella as filed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294967257"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20" w:type="dxa"/>
            <w:vAlign w:val="bottom"/>
            <w:tcBorders>
              <w:bottom w:val="single" w:sz="8" w:color="0000FF"/>
            </w:tcBorders>
            <w:gridSpan w:val="5"/>
          </w:tcPr>
          <w:p>
            <w:pPr>
              <w:spacing w:after="0" w:line="166" w:lineRule="exact"/>
              <w:rPr>
                <w:rFonts w:ascii="Times New Roman" w:cs="Times New Roman" w:eastAsia="Times New Roman" w:hAnsi="Times New Roman"/>
                <w:sz w:val="18"/>
                <w:szCs w:val="18"/>
                <w:color w:val="0000FF"/>
                <w:w w:val="97"/>
              </w:rPr>
            </w:pPr>
            <w:hyperlink r:id="rId174">
              <w:r>
                <w:rPr>
                  <w:rFonts w:ascii="Times New Roman" w:cs="Times New Roman" w:eastAsia="Times New Roman" w:hAnsi="Times New Roman"/>
                  <w:sz w:val="18"/>
                  <w:szCs w:val="18"/>
                  <w:color w:val="0000FF"/>
                  <w:w w:val="97"/>
                </w:rPr>
                <w:t>September 2, 2020 (file no. 000-23211)).</w:t>
              </w:r>
            </w:hyperlink>
          </w:p>
        </w:tc>
        <w:tc>
          <w:tcPr>
            <w:tcW w:w="5960" w:type="dxa"/>
            <w:vAlign w:val="bottom"/>
            <w:gridSpan w:val="12"/>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4294967257"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4.17</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60" w:type="dxa"/>
            <w:vAlign w:val="bottom"/>
            <w:gridSpan w:val="38"/>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Guaranty Agreement, dated as of September 1, 2020, by and between the guarantors named therein and U.S. Bank National</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300" w:type="dxa"/>
            <w:vAlign w:val="bottom"/>
            <w:gridSpan w:val="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60" w:type="dxa"/>
            <w:vAlign w:val="bottom"/>
            <w:gridSpan w:val="38"/>
          </w:tcPr>
          <w:p>
            <w:pPr>
              <w:spacing w:after="0" w:line="180"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Association, as trustee (incorporated herein by reference to Exhibit 4.2 to the Current Report on Form 8-K of Casella as filed on</w:t>
              </w:r>
            </w:hyperlink>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20" w:type="dxa"/>
            <w:vAlign w:val="bottom"/>
            <w:tcBorders>
              <w:top w:val="single" w:sz="8" w:color="0000FF"/>
              <w:bottom w:val="single" w:sz="8" w:color="0000FF"/>
            </w:tcBorders>
            <w:gridSpan w:val="5"/>
          </w:tcPr>
          <w:p>
            <w:pPr>
              <w:spacing w:after="0" w:line="193" w:lineRule="exact"/>
              <w:rPr>
                <w:rFonts w:ascii="Times New Roman" w:cs="Times New Roman" w:eastAsia="Times New Roman" w:hAnsi="Times New Roman"/>
                <w:sz w:val="18"/>
                <w:szCs w:val="18"/>
                <w:color w:val="0000FF"/>
                <w:w w:val="97"/>
              </w:rPr>
            </w:pPr>
            <w:hyperlink r:id="rId175">
              <w:r>
                <w:rPr>
                  <w:rFonts w:ascii="Times New Roman" w:cs="Times New Roman" w:eastAsia="Times New Roman" w:hAnsi="Times New Roman"/>
                  <w:sz w:val="18"/>
                  <w:szCs w:val="18"/>
                  <w:color w:val="0000FF"/>
                  <w:w w:val="97"/>
                </w:rPr>
                <w:t>September 2, 2020 (file no. 000-23211)).</w:t>
              </w:r>
            </w:hyperlink>
          </w:p>
        </w:tc>
        <w:tc>
          <w:tcPr>
            <w:tcW w:w="6160" w:type="dxa"/>
            <w:vAlign w:val="bottom"/>
            <w:tcBorders>
              <w:top w:val="single" w:sz="8" w:color="0000FF"/>
            </w:tcBorders>
            <w:gridSpan w:val="16"/>
          </w:tcPr>
          <w:p>
            <w:pPr>
              <w:spacing w:after="0"/>
              <w:rPr>
                <w:sz w:val="16"/>
                <w:szCs w:val="16"/>
                <w:color w:val="auto"/>
              </w:rPr>
            </w:pPr>
          </w:p>
        </w:tc>
        <w:tc>
          <w:tcPr>
            <w:tcW w:w="28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4.18</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60" w:type="dxa"/>
            <w:vAlign w:val="bottom"/>
            <w:gridSpan w:val="38"/>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Loan Agreement, dated as of June 1, 2022, between Vermont Economic Development Authority and Casella Waste Systems, Inc.</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8"/>
          </w:tcPr>
          <w:p>
            <w:pPr>
              <w:spacing w:after="0" w:line="153"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(incorporated herein by reference to Exhibit 4.1 to the Current Report on Form 8-K of Casella as filed on June 1, 2022 (file no.</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bottom w:val="single" w:sz="8" w:color="0000FF"/>
            </w:tcBorders>
            <w:gridSpan w:val="2"/>
          </w:tcPr>
          <w:p>
            <w:pPr>
              <w:spacing w:after="0" w:line="166" w:lineRule="exact"/>
              <w:rPr>
                <w:rFonts w:ascii="Times New Roman" w:cs="Times New Roman" w:eastAsia="Times New Roman" w:hAnsi="Times New Roman"/>
                <w:sz w:val="18"/>
                <w:szCs w:val="18"/>
                <w:color w:val="0000FF"/>
                <w:w w:val="95"/>
              </w:rPr>
            </w:pPr>
            <w:hyperlink r:id="rId176">
              <w:r>
                <w:rPr>
                  <w:rFonts w:ascii="Times New Roman" w:cs="Times New Roman" w:eastAsia="Times New Roman" w:hAnsi="Times New Roman"/>
                  <w:sz w:val="18"/>
                  <w:szCs w:val="18"/>
                  <w:color w:val="0000FF"/>
                  <w:w w:val="95"/>
                </w:rPr>
                <w:t>000-23211)).</w:t>
              </w:r>
            </w:hyperlink>
          </w:p>
        </w:tc>
        <w:tc>
          <w:tcPr>
            <w:tcW w:w="102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9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4.19</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38"/>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Guaranty Agreement, dated as of June 1, 2022, by and between the guarantors named therein and U.S. Bank Trust Company,</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6"/>
          </w:tcPr>
          <w:p>
            <w:pPr>
              <w:spacing w:after="0" w:line="153"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National Association, as trustee (incorporated herein by reference to Exhibit 4.2 to the Current Report on Form 8-K of Casella</w:t>
              </w:r>
            </w:hyperlink>
          </w:p>
        </w:tc>
        <w:tc>
          <w:tcPr>
            <w:tcW w:w="500" w:type="dxa"/>
            <w:vAlign w:val="bottom"/>
            <w:gridSpan w:val="22"/>
          </w:tcPr>
          <w:p>
            <w:pPr>
              <w:ind w:left="140"/>
              <w:spacing w:after="0" w:line="153"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as</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7"/>
          </w:tcPr>
          <w:p>
            <w:pPr>
              <w:spacing w:after="0" w:line="166" w:lineRule="exact"/>
              <w:rPr>
                <w:rFonts w:ascii="Times New Roman" w:cs="Times New Roman" w:eastAsia="Times New Roman" w:hAnsi="Times New Roman"/>
                <w:sz w:val="18"/>
                <w:szCs w:val="18"/>
                <w:color w:val="0000FF"/>
                <w:w w:val="98"/>
              </w:rPr>
            </w:pPr>
            <w:hyperlink r:id="rId177">
              <w:r>
                <w:rPr>
                  <w:rFonts w:ascii="Times New Roman" w:cs="Times New Roman" w:eastAsia="Times New Roman" w:hAnsi="Times New Roman"/>
                  <w:sz w:val="18"/>
                  <w:szCs w:val="18"/>
                  <w:color w:val="0000FF"/>
                  <w:w w:val="98"/>
                </w:rPr>
                <w:t>filed on June 1, 2022 (file no. 000-23211)).</w:t>
              </w:r>
            </w:hyperlink>
          </w:p>
        </w:tc>
        <w:tc>
          <w:tcPr>
            <w:tcW w:w="6120" w:type="dxa"/>
            <w:vAlign w:val="bottom"/>
            <w:tcBorders>
              <w:top w:val="single" w:sz="8" w:color="0000FF"/>
            </w:tcBorders>
            <w:gridSpan w:val="20"/>
          </w:tcPr>
          <w:p>
            <w:pPr>
              <w:spacing w:after="0"/>
              <w:rPr>
                <w:sz w:val="14"/>
                <w:szCs w:val="14"/>
                <w:color w:val="auto"/>
              </w:rPr>
            </w:pPr>
          </w:p>
        </w:tc>
        <w:tc>
          <w:tcPr>
            <w:tcW w:w="4294967257"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4.20</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8"/>
              </w:rPr>
            </w:pPr>
            <w:hyperlink r:id="rId178">
              <w:r>
                <w:rPr>
                  <w:rFonts w:ascii="Times New Roman" w:cs="Times New Roman" w:eastAsia="Times New Roman" w:hAnsi="Times New Roman"/>
                  <w:sz w:val="18"/>
                  <w:szCs w:val="18"/>
                  <w:color w:val="0000FF"/>
                  <w:w w:val="98"/>
                </w:rPr>
                <w:t>Amended and Restated Guaranty Agreement, dated as of August 1, 2023, by the guarantors named therein, in favor of U.S. Bank</w:t>
              </w:r>
            </w:hyperlink>
          </w:p>
        </w:tc>
        <w:tc>
          <w:tcPr>
            <w:tcW w:w="20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38"/>
          </w:tcPr>
          <w:p>
            <w:pPr>
              <w:spacing w:after="0" w:line="153"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Trust Company, National Association, as trustee (incorporated herein by reference to Exhibit 4.2 to the Current Report on Form 8-</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top w:val="single" w:sz="8" w:color="0000FF"/>
            </w:tcBorders>
            <w:gridSpan w:val="34"/>
          </w:tcPr>
          <w:p>
            <w:pPr>
              <w:spacing w:after="0" w:line="16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K of Casella as filed on August 24, 2023 (file no. 000-23211)).</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520" w:type="dxa"/>
            <w:vAlign w:val="bottom"/>
            <w:gridSpan w:val="6"/>
            <w:shd w:val="clear" w:color="auto" w:fill="0000FF"/>
          </w:tcPr>
          <w:p>
            <w:pPr>
              <w:spacing w:after="0" w:line="20" w:lineRule="exact"/>
              <w:rPr>
                <w:sz w:val="1"/>
                <w:szCs w:val="1"/>
                <w:color w:val="auto"/>
              </w:rPr>
            </w:pPr>
          </w:p>
        </w:tc>
        <w:tc>
          <w:tcPr>
            <w:tcW w:w="4760" w:type="dxa"/>
            <w:vAlign w:val="bottom"/>
            <w:gridSpan w:val="2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8"/>
              </w:rPr>
            </w:pPr>
            <w:hyperlink r:id="rId179">
              <w:r>
                <w:rPr>
                  <w:rFonts w:ascii="Times New Roman" w:cs="Times New Roman" w:eastAsia="Times New Roman" w:hAnsi="Times New Roman"/>
                  <w:sz w:val="18"/>
                  <w:szCs w:val="18"/>
                  <w:color w:val="0000FF"/>
                  <w:w w:val="98"/>
                </w:rPr>
                <w:t>Lease Agreement, as Amended, between Casella Associates and Casella Waste Management, Inc., dated August 1, 1993 (Rutland</w:t>
              </w:r>
            </w:hyperlink>
          </w:p>
        </w:tc>
        <w:tc>
          <w:tcPr>
            <w:tcW w:w="14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38"/>
          </w:tcPr>
          <w:p>
            <w:pPr>
              <w:spacing w:after="0" w:line="153"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lease) (incorporated herein by reference to Exhibit 10.17 to the registration statement on Form S-1 of Casella as filed on August 7,</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top w:val="single" w:sz="8" w:color="0000FF"/>
              <w:bottom w:val="single" w:sz="8" w:color="0000FF"/>
            </w:tcBorders>
            <w:gridSpan w:val="3"/>
          </w:tcPr>
          <w:p>
            <w:pPr>
              <w:spacing w:after="0" w:line="166" w:lineRule="exact"/>
              <w:rPr>
                <w:rFonts w:ascii="Times New Roman" w:cs="Times New Roman" w:eastAsia="Times New Roman" w:hAnsi="Times New Roman"/>
                <w:sz w:val="18"/>
                <w:szCs w:val="18"/>
                <w:color w:val="0000FF"/>
                <w:w w:val="97"/>
              </w:rPr>
            </w:pPr>
            <w:hyperlink r:id="rId179">
              <w:r>
                <w:rPr>
                  <w:rFonts w:ascii="Times New Roman" w:cs="Times New Roman" w:eastAsia="Times New Roman" w:hAnsi="Times New Roman"/>
                  <w:sz w:val="18"/>
                  <w:szCs w:val="18"/>
                  <w:color w:val="0000FF"/>
                  <w:w w:val="97"/>
                </w:rPr>
                <w:t>1997 (file no. 333-33135)).</w:t>
              </w:r>
            </w:hyperlink>
          </w:p>
        </w:tc>
        <w:tc>
          <w:tcPr>
            <w:tcW w:w="7360" w:type="dxa"/>
            <w:vAlign w:val="bottom"/>
            <w:tcBorders>
              <w:top w:val="single" w:sz="8" w:color="0000FF"/>
            </w:tcBorders>
            <w:gridSpan w:val="3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38"/>
          </w:tcPr>
          <w:p>
            <w:pPr>
              <w:spacing w:after="0"/>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Second Amendment to Lease Agreement, by and between Casella Associates and Casella Waste Management, Inc., dated as of</w:t>
              </w:r>
            </w:hyperlink>
          </w:p>
        </w:tc>
        <w:tc>
          <w:tcPr>
            <w:tcW w:w="0" w:type="dxa"/>
            <w:vAlign w:val="bottom"/>
          </w:tcPr>
          <w:p>
            <w:pPr>
              <w:spacing w:after="0"/>
              <w:rPr>
                <w:sz w:val="1"/>
                <w:szCs w:val="1"/>
                <w:color w:val="auto"/>
              </w:rPr>
            </w:pPr>
          </w:p>
        </w:tc>
      </w:tr>
    </w:tbl>
    <w:p>
      <w:pPr>
        <w:ind w:left="1920" w:right="160"/>
        <w:spacing w:after="0" w:line="230"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November 20, 1997 (Rutland lease). (incorporated herein by reference to Exhibit 10.25 to the registration statement on Form S-1</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of Casella as filed on June 25, 1998 (file no. 333-57745)).</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0000FF"/>
                <w:w w:val="99"/>
              </w:rPr>
              <w:t>Table of Contents</w:t>
            </w:r>
          </w:p>
        </w:tc>
        <w:tc>
          <w:tcPr>
            <w:tcW w:w="8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6"/>
        </w:trPr>
        <w:tc>
          <w:tcPr>
            <w:tcW w:w="19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40" w:type="dxa"/>
            <w:vAlign w:val="bottom"/>
            <w:gridSpan w:val="27"/>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9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40" w:type="dxa"/>
            <w:vAlign w:val="bottom"/>
            <w:gridSpan w:val="2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300" w:type="dxa"/>
            <w:vAlign w:val="bottom"/>
            <w:tcBorders>
              <w:top w:val="single" w:sz="8" w:color="auto"/>
            </w:tcBorders>
            <w:gridSpan w:val="34"/>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Amendment to Lease Agreement dated as of March 13, 2008, between Casella Associates and Casella Waste Systems, Inc.,</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5"/>
          </w:tcPr>
          <w:p>
            <w:pPr>
              <w:spacing w:after="0" w:line="153"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amending Lease Agreement dated August 1, 1993, as amended (Rutland lease) (incorporated herein by reference to Exhibit</w:t>
              </w:r>
            </w:hyperlink>
          </w:p>
        </w:tc>
        <w:tc>
          <w:tcPr>
            <w:tcW w:w="380" w:type="dxa"/>
            <w:vAlign w:val="bottom"/>
            <w:gridSpan w:val="12"/>
          </w:tcPr>
          <w:p>
            <w:pPr>
              <w:jc w:val="center"/>
              <w:ind w:right="20"/>
              <w:spacing w:after="0" w:line="153"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10.7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0" w:type="dxa"/>
            <w:vAlign w:val="bottom"/>
            <w:tcBorders>
              <w:top w:val="single" w:sz="8" w:color="0000FF"/>
              <w:bottom w:val="single" w:sz="8" w:color="0000FF"/>
            </w:tcBorders>
            <w:gridSpan w:val="8"/>
          </w:tcPr>
          <w:p>
            <w:pPr>
              <w:spacing w:after="0" w:line="166"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to the annual report on Form 10-K of Casella as filed on June 27, 2014 (file no. 000-23211)).</w:t>
              </w:r>
            </w:hyperlink>
          </w:p>
        </w:tc>
        <w:tc>
          <w:tcPr>
            <w:tcW w:w="252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34"/>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Lease Agreement, as Amended, between Casella Associates and Casella Waste Management, Inc., dated August 1, 1993</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(Montpelier lease) (incorporated herein by reference to Exhibit 10.18 to the registration statement on Form S-1 of Casella</w:t>
              </w:r>
            </w:hyperlink>
          </w:p>
        </w:tc>
        <w:tc>
          <w:tcPr>
            <w:tcW w:w="760" w:type="dxa"/>
            <w:vAlign w:val="bottom"/>
            <w:gridSpan w:val="22"/>
          </w:tcPr>
          <w:p>
            <w:pPr>
              <w:ind w:left="140"/>
              <w:spacing w:after="0" w:line="153"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as filed</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tcBorders>
              <w:top w:val="single" w:sz="8" w:color="0000FF"/>
              <w:bottom w:val="single" w:sz="8" w:color="0000FF"/>
            </w:tcBorders>
            <w:gridSpan w:val="6"/>
          </w:tcPr>
          <w:p>
            <w:pPr>
              <w:spacing w:after="0" w:line="166" w:lineRule="exact"/>
              <w:rPr>
                <w:rFonts w:ascii="Times New Roman" w:cs="Times New Roman" w:eastAsia="Times New Roman" w:hAnsi="Times New Roman"/>
                <w:sz w:val="18"/>
                <w:szCs w:val="18"/>
                <w:color w:val="0000FF"/>
                <w:w w:val="98"/>
              </w:rPr>
            </w:pPr>
            <w:hyperlink r:id="rId179">
              <w:r>
                <w:rPr>
                  <w:rFonts w:ascii="Times New Roman" w:cs="Times New Roman" w:eastAsia="Times New Roman" w:hAnsi="Times New Roman"/>
                  <w:sz w:val="18"/>
                  <w:szCs w:val="18"/>
                  <w:color w:val="0000FF"/>
                  <w:w w:val="98"/>
                </w:rPr>
                <w:t>on August 7, 1997 (file no. 333-33135)).</w:t>
              </w:r>
            </w:hyperlink>
          </w:p>
        </w:tc>
        <w:tc>
          <w:tcPr>
            <w:tcW w:w="630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7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Amendment to Lease Agreement dated as of March 13, 2008, between Casella Associates and Casella Waste Systems, Inc.,</w:t>
              </w:r>
            </w:hyperlink>
          </w:p>
        </w:tc>
        <w:tc>
          <w:tcPr>
            <w:tcW w:w="520" w:type="dxa"/>
            <w:vAlign w:val="bottom"/>
            <w:gridSpan w:val="18"/>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34"/>
          </w:tcPr>
          <w:p>
            <w:pPr>
              <w:spacing w:after="0" w:line="153"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amending Lease Agreement dated August 1, 1993, as amended (Montpelier lease) (incorporated herein by reference to Exhibit</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80" w:type="dxa"/>
            <w:vAlign w:val="bottom"/>
            <w:tcBorders>
              <w:top w:val="single" w:sz="8" w:color="0000FF"/>
            </w:tcBorders>
            <w:gridSpan w:val="21"/>
          </w:tcPr>
          <w:p>
            <w:pPr>
              <w:spacing w:after="0" w:line="16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0000FF"/>
                </w:rPr>
                <w:t xml:space="preserve"> to the annual report on Form 10-K of Casella as filed on June 27, 2014 (file no. 000-23211)).</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8"/>
              </w:rPr>
            </w:pPr>
            <w:hyperlink r:id="rId179">
              <w:r>
                <w:rPr>
                  <w:rFonts w:ascii="Times New Roman" w:cs="Times New Roman" w:eastAsia="Times New Roman" w:hAnsi="Times New Roman"/>
                  <w:sz w:val="18"/>
                  <w:szCs w:val="18"/>
                  <w:color w:val="0000FF"/>
                  <w:w w:val="98"/>
                </w:rPr>
                <w:t>Lease, Operations and Maintenance Agreement between CV Landfill, Inc. and Casella Waste Systems, Inc. dated June 30, 1994</w:t>
              </w:r>
            </w:hyperlink>
          </w:p>
        </w:tc>
        <w:tc>
          <w:tcPr>
            <w:tcW w:w="20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34"/>
          </w:tcPr>
          <w:p>
            <w:pPr>
              <w:spacing w:after="0" w:line="153"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(incorporated herein by reference to Exhibit 10.20 to the registration statement on Form S-1 of Casella as filed on August 7, 1997</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top w:val="single" w:sz="8" w:color="0000FF"/>
            </w:tcBorders>
            <w:gridSpan w:val="32"/>
          </w:tcPr>
          <w:p>
            <w:pPr>
              <w:spacing w:after="0" w:line="16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(file no. 333-33135)).</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34"/>
          </w:tcPr>
          <w:p>
            <w:pPr>
              <w:spacing w:after="0"/>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Employment Agreement between Casella Waste Systems, Inc. and John W. Casella dated December 8, 1999 (incorporated herein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9"/>
          </w:tcPr>
          <w:p>
            <w:pPr>
              <w:spacing w:after="0" w:line="153"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by reference to Exhibit 10.43 to the annual report on Form 10-K of Casella as filed on August 4, 2000 (file no. 000-23211)).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00" w:type="dxa"/>
            <w:vAlign w:val="bottom"/>
            <w:gridSpan w:val="34"/>
          </w:tcPr>
          <w:p>
            <w:pPr>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Amendment to Employment Agreement by and between Casella Waste Systems, Inc. and John W. Casella dated as of December</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7"/>
          </w:tcPr>
          <w:p>
            <w:pPr>
              <w:spacing w:after="0" w:line="153"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30, 2008 (incorporated herein by reference to Exhibit 10.3 to the quarterly report on Form 10-Q of Casella as filed on March 6,</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top w:val="single" w:sz="8" w:color="0000FF"/>
              <w:bottom w:val="single" w:sz="8" w:color="0000FF"/>
            </w:tcBorders>
            <w:gridSpan w:val="3"/>
          </w:tcPr>
          <w:p>
            <w:pPr>
              <w:spacing w:after="0" w:line="166" w:lineRule="exact"/>
              <w:rPr>
                <w:rFonts w:ascii="Times New Roman" w:cs="Times New Roman" w:eastAsia="Times New Roman" w:hAnsi="Times New Roman"/>
                <w:sz w:val="18"/>
                <w:szCs w:val="18"/>
                <w:color w:val="0000FF"/>
                <w:w w:val="97"/>
              </w:rPr>
            </w:pPr>
            <w:hyperlink r:id="rId185">
              <w:r>
                <w:rPr>
                  <w:rFonts w:ascii="Times New Roman" w:cs="Times New Roman" w:eastAsia="Times New Roman" w:hAnsi="Times New Roman"/>
                  <w:sz w:val="18"/>
                  <w:szCs w:val="18"/>
                  <w:color w:val="0000FF"/>
                  <w:w w:val="97"/>
                </w:rPr>
                <w:t>2009 (file no. 000-23211)).</w:t>
              </w:r>
            </w:hyperlink>
          </w:p>
        </w:tc>
        <w:tc>
          <w:tcPr>
            <w:tcW w:w="708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34"/>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2006 Stock Incentive Plan, as amended (incorporated herein by reference to Exhibit 10.13 to the annual report on Form 10-K of</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7"/>
          </w:tcPr>
          <w:p>
            <w:pPr>
              <w:spacing w:after="0" w:line="153"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Casella as filed on March 2, 2016 (file no. 000-023211)).</w:t>
              </w:r>
            </w:hyperlink>
          </w:p>
        </w:tc>
        <w:tc>
          <w:tcPr>
            <w:tcW w:w="50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10.10*</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00" w:type="dxa"/>
            <w:vAlign w:val="bottom"/>
            <w:gridSpan w:val="34"/>
          </w:tcPr>
          <w:p>
            <w:pPr>
              <w:spacing w:after="0"/>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Form of Incentive Stock Option Agreement granted under 2006 Stock Incentive Plan (incorporated herein by reference to Exhibit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40" w:type="dxa"/>
            <w:vAlign w:val="bottom"/>
            <w:tcBorders>
              <w:top w:val="single" w:sz="8" w:color="0000FF"/>
              <w:bottom w:val="single" w:sz="8" w:color="0000FF"/>
            </w:tcBorders>
            <w:gridSpan w:val="10"/>
          </w:tcPr>
          <w:p>
            <w:pPr>
              <w:spacing w:after="0" w:line="153"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14</w:t>
              </w:r>
              <w:r>
                <w:rPr>
                  <w:rFonts w:ascii="Times New Roman" w:cs="Times New Roman" w:eastAsia="Times New Roman" w:hAnsi="Times New Roman"/>
                  <w:sz w:val="17"/>
                  <w:szCs w:val="17"/>
                  <w:color w:val="0000FF"/>
                </w:rPr>
                <w:t xml:space="preserve"> to the annual report on Form 10-K of Casella as filed on June 27, 2014 (file no. 000-23211)).</w:t>
              </w:r>
            </w:hyperlink>
          </w:p>
        </w:tc>
        <w:tc>
          <w:tcPr>
            <w:tcW w:w="218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10.11*</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00" w:type="dxa"/>
            <w:vAlign w:val="bottom"/>
            <w:gridSpan w:val="34"/>
          </w:tcPr>
          <w:p>
            <w:pPr>
              <w:spacing w:after="0"/>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Form of Restricted Stock Agreement granted under 2006 Stock Incentive Plan (incorporated herein by reference to Exhibit 10.15</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0" w:type="dxa"/>
            <w:vAlign w:val="bottom"/>
            <w:tcBorders>
              <w:top w:val="single" w:sz="8" w:color="0000FF"/>
              <w:bottom w:val="single" w:sz="8" w:color="0000FF"/>
            </w:tcBorders>
            <w:gridSpan w:val="8"/>
          </w:tcPr>
          <w:p>
            <w:pPr>
              <w:spacing w:after="0" w:line="153"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to the annual report on Form 10-K of Casella as filed on June 27, 2014 (file no. 000-23211)).</w:t>
              </w:r>
            </w:hyperlink>
          </w:p>
        </w:tc>
        <w:tc>
          <w:tcPr>
            <w:tcW w:w="2560" w:type="dxa"/>
            <w:vAlign w:val="bottom"/>
            <w:tcBorders>
              <w:top w:val="single" w:sz="8" w:color="0000FF"/>
            </w:tcBorders>
            <w:gridSpan w:val="20"/>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10.12*</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00" w:type="dxa"/>
            <w:vAlign w:val="bottom"/>
            <w:gridSpan w:val="34"/>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Restricted Share Unit Agreement granted under 2006 Stock Incentive Plan (employee with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tcBorders>
            <w:gridSpan w:val="13"/>
          </w:tcPr>
          <w:p>
            <w:pPr>
              <w:spacing w:after="0" w:line="153"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(incorporated herein by reference to Exhibit 10.16 to the annual report on Form 10-K of Casella as filed on June 27, 2014</w:t>
              </w:r>
            </w:hyperlink>
          </w:p>
        </w:tc>
        <w:tc>
          <w:tcPr>
            <w:tcW w:w="620" w:type="dxa"/>
            <w:vAlign w:val="bottom"/>
            <w:gridSpan w:val="21"/>
          </w:tcPr>
          <w:p>
            <w:pPr>
              <w:jc w:val="right"/>
              <w:ind w:right="80"/>
              <w:spacing w:after="0" w:line="153" w:lineRule="exact"/>
              <w:rPr>
                <w:rFonts w:ascii="Times New Roman" w:cs="Times New Roman" w:eastAsia="Times New Roman" w:hAnsi="Times New Roman"/>
                <w:sz w:val="17"/>
                <w:szCs w:val="17"/>
                <w:color w:val="0000FF"/>
                <w:w w:val="96"/>
              </w:rPr>
            </w:pPr>
            <w:hyperlink r:id="rId189">
              <w:r>
                <w:rPr>
                  <w:rFonts w:ascii="Times New Roman" w:cs="Times New Roman" w:eastAsia="Times New Roman" w:hAnsi="Times New Roman"/>
                  <w:sz w:val="17"/>
                  <w:szCs w:val="17"/>
                  <w:color w:val="0000FF"/>
                  <w:w w:val="96"/>
                </w:rPr>
                <w:t>(file no.</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5"/>
              </w:rPr>
            </w:pPr>
            <w:hyperlink r:id="rId189">
              <w:r>
                <w:rPr>
                  <w:rFonts w:ascii="Times New Roman" w:cs="Times New Roman" w:eastAsia="Times New Roman" w:hAnsi="Times New Roman"/>
                  <w:sz w:val="18"/>
                  <w:szCs w:val="18"/>
                  <w:color w:val="0000FF"/>
                  <w:w w:val="95"/>
                </w:rPr>
                <w:t>000-23211)).</w:t>
              </w:r>
            </w:hyperlink>
          </w:p>
        </w:tc>
        <w:tc>
          <w:tcPr>
            <w:tcW w:w="6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25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10.13*</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34"/>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Form of Restricted Share Unit Agreement granted under 2006 Stock Incentive Plan (employee with no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9"/>
          </w:tcPr>
          <w:p>
            <w:pPr>
              <w:spacing w:after="0" w:line="153"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(incorporated herein by reference to Exhibit 10.17 to the annual report on Form 10-K of Casella as filed on June 27, 2014 (file</w:t>
              </w:r>
            </w:hyperlink>
          </w:p>
        </w:tc>
        <w:tc>
          <w:tcPr>
            <w:tcW w:w="20" w:type="dxa"/>
            <w:vAlign w:val="bottom"/>
          </w:tcPr>
          <w:p>
            <w:pPr>
              <w:spacing w:after="0"/>
              <w:rPr>
                <w:sz w:val="13"/>
                <w:szCs w:val="13"/>
                <w:color w:val="auto"/>
              </w:rPr>
            </w:pPr>
          </w:p>
        </w:tc>
        <w:tc>
          <w:tcPr>
            <w:tcW w:w="380" w:type="dxa"/>
            <w:vAlign w:val="bottom"/>
            <w:gridSpan w:val="14"/>
          </w:tcPr>
          <w:p>
            <w:pPr>
              <w:jc w:val="right"/>
              <w:ind w:right="80"/>
              <w:spacing w:after="0" w:line="153"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no.</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5"/>
              </w:rPr>
            </w:pPr>
            <w:hyperlink r:id="rId190">
              <w:r>
                <w:rPr>
                  <w:rFonts w:ascii="Times New Roman" w:cs="Times New Roman" w:eastAsia="Times New Roman" w:hAnsi="Times New Roman"/>
                  <w:sz w:val="18"/>
                  <w:szCs w:val="18"/>
                  <w:color w:val="0000FF"/>
                  <w:w w:val="95"/>
                </w:rPr>
                <w:t>000-23211)).</w:t>
              </w:r>
            </w:hyperlink>
          </w:p>
        </w:tc>
        <w:tc>
          <w:tcPr>
            <w:tcW w:w="6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25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10.14*</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34"/>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Form of Restricted Stock Unit Agreement granted under 2006 Stock Incentive Plan (employee with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14"/>
          </w:tcPr>
          <w:p>
            <w:pPr>
              <w:spacing w:after="0" w:line="153"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(incorporated herein by reference to Exhibit 10.18 to the annual report on Form 10-K of Casella as filed on June 27, 2014</w:t>
              </w:r>
            </w:hyperlink>
          </w:p>
        </w:tc>
        <w:tc>
          <w:tcPr>
            <w:tcW w:w="600" w:type="dxa"/>
            <w:vAlign w:val="bottom"/>
            <w:gridSpan w:val="20"/>
          </w:tcPr>
          <w:p>
            <w:pPr>
              <w:jc w:val="right"/>
              <w:ind w:right="80"/>
              <w:spacing w:after="0" w:line="153" w:lineRule="exact"/>
              <w:rPr>
                <w:rFonts w:ascii="Times New Roman" w:cs="Times New Roman" w:eastAsia="Times New Roman" w:hAnsi="Times New Roman"/>
                <w:sz w:val="17"/>
                <w:szCs w:val="17"/>
                <w:color w:val="0000FF"/>
                <w:w w:val="92"/>
              </w:rPr>
            </w:pPr>
            <w:hyperlink r:id="rId191">
              <w:r>
                <w:rPr>
                  <w:rFonts w:ascii="Times New Roman" w:cs="Times New Roman" w:eastAsia="Times New Roman" w:hAnsi="Times New Roman"/>
                  <w:sz w:val="17"/>
                  <w:szCs w:val="17"/>
                  <w:color w:val="0000FF"/>
                  <w:w w:val="92"/>
                </w:rPr>
                <w:t>(file no.</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5"/>
              </w:rPr>
            </w:pPr>
            <w:hyperlink r:id="rId191">
              <w:r>
                <w:rPr>
                  <w:rFonts w:ascii="Times New Roman" w:cs="Times New Roman" w:eastAsia="Times New Roman" w:hAnsi="Times New Roman"/>
                  <w:sz w:val="18"/>
                  <w:szCs w:val="18"/>
                  <w:color w:val="0000FF"/>
                  <w:w w:val="95"/>
                </w:rPr>
                <w:t>000-23211)).</w:t>
              </w:r>
            </w:hyperlink>
          </w:p>
        </w:tc>
        <w:tc>
          <w:tcPr>
            <w:tcW w:w="6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25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10.15*</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34"/>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of Restricted Stock Unit Agreement granted under 2006 Stock Incentive Plan (employee with no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20"/>
          </w:tcPr>
          <w:p>
            <w:pPr>
              <w:spacing w:after="0" w:line="153"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(incorporated herein by reference to Exhibit 10.19 to the annual report on Form 10-K of Casella as filed on June 27, 2014 (file</w:t>
              </w:r>
            </w:hyperlink>
          </w:p>
        </w:tc>
        <w:tc>
          <w:tcPr>
            <w:tcW w:w="380" w:type="dxa"/>
            <w:vAlign w:val="bottom"/>
            <w:gridSpan w:val="14"/>
          </w:tcPr>
          <w:p>
            <w:pPr>
              <w:jc w:val="right"/>
              <w:ind w:right="80"/>
              <w:spacing w:after="0" w:line="153"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no.</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5"/>
              </w:rPr>
            </w:pPr>
            <w:hyperlink r:id="rId192">
              <w:r>
                <w:rPr>
                  <w:rFonts w:ascii="Times New Roman" w:cs="Times New Roman" w:eastAsia="Times New Roman" w:hAnsi="Times New Roman"/>
                  <w:sz w:val="18"/>
                  <w:szCs w:val="18"/>
                  <w:color w:val="0000FF"/>
                  <w:w w:val="95"/>
                </w:rPr>
                <w:t>000-23211)).</w:t>
              </w:r>
            </w:hyperlink>
          </w:p>
        </w:tc>
        <w:tc>
          <w:tcPr>
            <w:tcW w:w="6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25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10.16*</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34"/>
          </w:tcPr>
          <w:p>
            <w:pPr>
              <w:spacing w:after="0"/>
              <w:rPr>
                <w:rFonts w:ascii="Times New Roman" w:cs="Times New Roman" w:eastAsia="Times New Roman" w:hAnsi="Times New Roman"/>
                <w:sz w:val="18"/>
                <w:szCs w:val="18"/>
                <w:color w:val="0000FF"/>
                <w:w w:val="98"/>
              </w:rPr>
            </w:pPr>
            <w:hyperlink r:id="rId193">
              <w:r>
                <w:rPr>
                  <w:rFonts w:ascii="Times New Roman" w:cs="Times New Roman" w:eastAsia="Times New Roman" w:hAnsi="Times New Roman"/>
                  <w:sz w:val="18"/>
                  <w:szCs w:val="18"/>
                  <w:color w:val="0000FF"/>
                  <w:w w:val="98"/>
                </w:rPr>
                <w:t>Form of Performance Share Unit Agreement granted under 2006 Stock Incentive Plan (incorporated herein by reference to Exhibit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60" w:type="dxa"/>
            <w:vAlign w:val="bottom"/>
            <w:tcBorders>
              <w:top w:val="single" w:sz="8" w:color="0000FF"/>
              <w:bottom w:val="single" w:sz="8" w:color="0000FF"/>
            </w:tcBorders>
            <w:gridSpan w:val="11"/>
          </w:tcPr>
          <w:p>
            <w:pPr>
              <w:spacing w:after="0" w:line="153"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FF"/>
                </w:rPr>
                <w:t xml:space="preserve"> to the quarterly report on Form 10-Q of Casella as filed on September 4, 2008 (file no. 000-23211)).</w:t>
              </w:r>
            </w:hyperlink>
          </w:p>
        </w:tc>
        <w:tc>
          <w:tcPr>
            <w:tcW w:w="1800" w:type="dxa"/>
            <w:vAlign w:val="bottom"/>
            <w:tcBorders>
              <w:top w:val="single" w:sz="8" w:color="0000FF"/>
            </w:tcBorders>
            <w:gridSpan w:val="2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10.17*</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00" w:type="dxa"/>
            <w:vAlign w:val="bottom"/>
            <w:gridSpan w:val="34"/>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of Restricted Stock Unit Agreement granted under 2006 Stock Incentive Plan (adopted March 1, 2016) (employee with</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18"/>
          </w:tcPr>
          <w:p>
            <w:pPr>
              <w:spacing w:after="0" w:line="153"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employment contract) (incorporated herein by reference to Exhibit 10.2 to the current report on Form 8-K of Casella as filed</w:t>
              </w:r>
            </w:hyperlink>
          </w:p>
        </w:tc>
        <w:tc>
          <w:tcPr>
            <w:tcW w:w="420" w:type="dxa"/>
            <w:vAlign w:val="bottom"/>
            <w:gridSpan w:val="16"/>
          </w:tcPr>
          <w:p>
            <w:pPr>
              <w:jc w:val="center"/>
              <w:ind w:right="260"/>
              <w:spacing w:after="0" w:line="153" w:lineRule="exact"/>
              <w:rPr>
                <w:rFonts w:ascii="Times New Roman" w:cs="Times New Roman" w:eastAsia="Times New Roman" w:hAnsi="Times New Roman"/>
                <w:sz w:val="17"/>
                <w:szCs w:val="17"/>
                <w:color w:val="0000FF"/>
                <w:w w:val="93"/>
              </w:rPr>
            </w:pPr>
            <w:hyperlink r:id="rId194">
              <w:r>
                <w:rPr>
                  <w:rFonts w:ascii="Times New Roman" w:cs="Times New Roman" w:eastAsia="Times New Roman" w:hAnsi="Times New Roman"/>
                  <w:sz w:val="17"/>
                  <w:szCs w:val="17"/>
                  <w:color w:val="0000FF"/>
                  <w:w w:val="93"/>
                </w:rPr>
                <w:t>on</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Borders>
              <w:top w:val="single" w:sz="8" w:color="0000FF"/>
              <w:bottom w:val="single" w:sz="8" w:color="0000FF"/>
            </w:tcBorders>
            <w:gridSpan w:val="5"/>
          </w:tcPr>
          <w:p>
            <w:pPr>
              <w:spacing w:after="0" w:line="166" w:lineRule="exact"/>
              <w:rPr>
                <w:rFonts w:ascii="Times New Roman" w:cs="Times New Roman" w:eastAsia="Times New Roman" w:hAnsi="Times New Roman"/>
                <w:sz w:val="18"/>
                <w:szCs w:val="18"/>
                <w:color w:val="0000FF"/>
                <w:w w:val="98"/>
              </w:rPr>
            </w:pPr>
            <w:hyperlink r:id="rId194">
              <w:r>
                <w:rPr>
                  <w:rFonts w:ascii="Times New Roman" w:cs="Times New Roman" w:eastAsia="Times New Roman" w:hAnsi="Times New Roman"/>
                  <w:sz w:val="18"/>
                  <w:szCs w:val="18"/>
                  <w:color w:val="0000FF"/>
                  <w:w w:val="98"/>
                </w:rPr>
                <w:t>March 7, 2016 (file no. 000-23211)).</w:t>
              </w:r>
            </w:hyperlink>
          </w:p>
        </w:tc>
        <w:tc>
          <w:tcPr>
            <w:tcW w:w="6400" w:type="dxa"/>
            <w:vAlign w:val="bottom"/>
            <w:tcBorders>
              <w:top w:val="single" w:sz="8" w:color="0000FF"/>
            </w:tcBorders>
            <w:gridSpan w:val="18"/>
          </w:tcPr>
          <w:p>
            <w:pPr>
              <w:spacing w:after="0"/>
              <w:rPr>
                <w:sz w:val="14"/>
                <w:szCs w:val="14"/>
                <w:color w:val="auto"/>
              </w:rPr>
            </w:pPr>
          </w:p>
        </w:tc>
        <w:tc>
          <w:tcPr>
            <w:tcW w:w="60" w:type="dxa"/>
            <w:vAlign w:val="bottom"/>
            <w:gridSpan w:val="2"/>
          </w:tcPr>
          <w:p>
            <w:pPr>
              <w:spacing w:after="0"/>
              <w:rPr>
                <w:sz w:val="14"/>
                <w:szCs w:val="14"/>
                <w:color w:val="auto"/>
              </w:rPr>
            </w:pPr>
          </w:p>
        </w:tc>
        <w:tc>
          <w:tcPr>
            <w:tcW w:w="20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10.18*</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34"/>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Form of Restricted Stock Unit Agreement granted under 2006 Stock Incentive Plan (adopted March 1, 2016) (employee with no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5"/>
          </w:tcPr>
          <w:p>
            <w:pPr>
              <w:spacing w:after="0" w:line="153"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employment contract) (incorporated herein by reference to Exhibit 10.3 to the current report on Form 8-K of Casella as filed on</w:t>
              </w:r>
            </w:hyperlink>
          </w:p>
        </w:tc>
        <w:tc>
          <w:tcPr>
            <w:tcW w:w="2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tcBorders>
              <w:top w:val="single" w:sz="8" w:color="0000FF"/>
              <w:bottom w:val="single" w:sz="8" w:color="0000FF"/>
            </w:tcBorders>
            <w:gridSpan w:val="4"/>
          </w:tcPr>
          <w:p>
            <w:pPr>
              <w:spacing w:after="0" w:line="166" w:lineRule="exact"/>
              <w:rPr>
                <w:rFonts w:ascii="Times New Roman" w:cs="Times New Roman" w:eastAsia="Times New Roman" w:hAnsi="Times New Roman"/>
                <w:sz w:val="18"/>
                <w:szCs w:val="18"/>
                <w:color w:val="0000FF"/>
                <w:w w:val="97"/>
              </w:rPr>
            </w:pPr>
            <w:hyperlink r:id="rId195">
              <w:r>
                <w:rPr>
                  <w:rFonts w:ascii="Times New Roman" w:cs="Times New Roman" w:eastAsia="Times New Roman" w:hAnsi="Times New Roman"/>
                  <w:sz w:val="18"/>
                  <w:szCs w:val="18"/>
                  <w:color w:val="0000FF"/>
                  <w:w w:val="97"/>
                </w:rPr>
                <w:t>March 7, 2016 (file no. 000-23211)).</w:t>
              </w:r>
            </w:hyperlink>
          </w:p>
        </w:tc>
        <w:tc>
          <w:tcPr>
            <w:tcW w:w="6420" w:type="dxa"/>
            <w:vAlign w:val="bottom"/>
            <w:tcBorders>
              <w:top w:val="single" w:sz="8" w:color="0000FF"/>
            </w:tcBorders>
            <w:gridSpan w:val="19"/>
          </w:tcPr>
          <w:p>
            <w:pPr>
              <w:spacing w:after="0"/>
              <w:rPr>
                <w:sz w:val="14"/>
                <w:szCs w:val="14"/>
                <w:color w:val="auto"/>
              </w:rPr>
            </w:pPr>
          </w:p>
        </w:tc>
        <w:tc>
          <w:tcPr>
            <w:tcW w:w="26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10.19*</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34"/>
          </w:tcPr>
          <w:p>
            <w:pPr>
              <w:spacing w:after="0"/>
              <w:rPr>
                <w:rFonts w:ascii="Times New Roman" w:cs="Times New Roman" w:eastAsia="Times New Roman" w:hAnsi="Times New Roman"/>
                <w:sz w:val="18"/>
                <w:szCs w:val="18"/>
                <w:u w:val="single" w:color="auto"/>
                <w:color w:val="0000FF"/>
                <w:w w:val="99"/>
              </w:rPr>
            </w:pPr>
            <w:hyperlink r:id="rId196">
              <w:r>
                <w:rPr>
                  <w:rFonts w:ascii="Times New Roman" w:cs="Times New Roman" w:eastAsia="Times New Roman" w:hAnsi="Times New Roman"/>
                  <w:sz w:val="18"/>
                  <w:szCs w:val="18"/>
                  <w:u w:val="single" w:color="auto"/>
                  <w:color w:val="0000FF"/>
                  <w:w w:val="99"/>
                </w:rPr>
                <w:t>Amended and Restated Employment Agreement between Casella Waste Systems, Inc. and Edwin D. Johnson dated as of June 20,</w:t>
              </w:r>
            </w:hyperlink>
          </w:p>
        </w:tc>
        <w:tc>
          <w:tcPr>
            <w:tcW w:w="0" w:type="dxa"/>
            <w:vAlign w:val="bottom"/>
          </w:tcPr>
          <w:p>
            <w:pPr>
              <w:spacing w:after="0"/>
              <w:rPr>
                <w:sz w:val="1"/>
                <w:szCs w:val="1"/>
                <w:color w:val="auto"/>
              </w:rPr>
            </w:pPr>
          </w:p>
        </w:tc>
      </w:tr>
    </w:tbl>
    <w:p>
      <w:pPr>
        <w:ind w:left="1920" w:right="320"/>
        <w:spacing w:after="0" w:line="230" w:lineRule="auto"/>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2022 (incorporated herein by reference to Exhibit 10.1 to the Current Report on Form 8-K of Casella as filed on June 22, 2022</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(file no. 000-23211)).</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0000FF"/>
                <w:w w:val="99"/>
              </w:rPr>
              <w:t>Table of Contents</w:t>
            </w:r>
          </w:p>
        </w:tc>
        <w:tc>
          <w:tcPr>
            <w:tcW w:w="8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6"/>
        </w:trPr>
        <w:tc>
          <w:tcPr>
            <w:tcW w:w="19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80" w:type="dxa"/>
            <w:vAlign w:val="bottom"/>
            <w:gridSpan w:val="29"/>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9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980" w:type="dxa"/>
            <w:vAlign w:val="bottom"/>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10.20*</w:t>
            </w: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340" w:type="dxa"/>
            <w:vAlign w:val="bottom"/>
            <w:tcBorders>
              <w:top w:val="single" w:sz="8" w:color="auto"/>
            </w:tcBorders>
            <w:gridSpan w:val="36"/>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Amendment to Amended and Restated Employment Agreement between Casella Waste Systems, Inc. and Edwin D. Johnson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7"/>
          </w:tcPr>
          <w:p>
            <w:pPr>
              <w:spacing w:after="0" w:line="153"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dated as of July 21, 2022 (incorporated herein by reference to Exhibit 10.5 to the quarterly report on Form 10-Q of Casella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16"/>
          </w:tcPr>
          <w:p>
            <w:pPr>
              <w:ind w:left="20"/>
              <w:spacing w:after="0" w:line="153"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filed</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6"/>
          </w:tcPr>
          <w:p>
            <w:pPr>
              <w:spacing w:after="0" w:line="166" w:lineRule="exact"/>
              <w:rPr>
                <w:rFonts w:ascii="Times New Roman" w:cs="Times New Roman" w:eastAsia="Times New Roman" w:hAnsi="Times New Roman"/>
                <w:sz w:val="18"/>
                <w:szCs w:val="18"/>
                <w:color w:val="0000FF"/>
                <w:w w:val="98"/>
              </w:rPr>
            </w:pPr>
            <w:hyperlink r:id="rId198">
              <w:r>
                <w:rPr>
                  <w:rFonts w:ascii="Times New Roman" w:cs="Times New Roman" w:eastAsia="Times New Roman" w:hAnsi="Times New Roman"/>
                  <w:sz w:val="18"/>
                  <w:szCs w:val="18"/>
                  <w:color w:val="0000FF"/>
                  <w:w w:val="98"/>
                </w:rPr>
                <w:t>on July 29, 2022 (file no. 000-23211)).</w:t>
              </w:r>
            </w:hyperlink>
          </w:p>
        </w:tc>
        <w:tc>
          <w:tcPr>
            <w:tcW w:w="6520" w:type="dxa"/>
            <w:vAlign w:val="bottom"/>
            <w:tcBorders>
              <w:top w:val="single" w:sz="8" w:color="0000FF"/>
            </w:tcBorders>
            <w:gridSpan w:val="2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10.21*</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6"/>
          </w:tcPr>
          <w:p>
            <w:pPr>
              <w:spacing w:after="0"/>
              <w:rPr>
                <w:rFonts w:ascii="Times New Roman" w:cs="Times New Roman" w:eastAsia="Times New Roman" w:hAnsi="Times New Roman"/>
                <w:sz w:val="18"/>
                <w:szCs w:val="18"/>
                <w:color w:val="0000FF"/>
                <w:w w:val="98"/>
              </w:rPr>
            </w:pPr>
            <w:hyperlink r:id="rId199">
              <w:r>
                <w:rPr>
                  <w:rFonts w:ascii="Times New Roman" w:cs="Times New Roman" w:eastAsia="Times New Roman" w:hAnsi="Times New Roman"/>
                  <w:sz w:val="18"/>
                  <w:szCs w:val="18"/>
                  <w:color w:val="0000FF"/>
                  <w:w w:val="98"/>
                </w:rPr>
                <w:t>Amended and Restated Employment Agreement between Casella Waste Systems, Inc. and Edmond R. Coletta dated as of June 20,</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35"/>
          </w:tcPr>
          <w:p>
            <w:pPr>
              <w:spacing w:after="0" w:line="153"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2022 (incorporated herein by reference to Exhibit 10.1 to the Current Report on Form 8-K/A of Casella as filed on June 22,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4"/>
          </w:tcPr>
          <w:p>
            <w:pPr>
              <w:spacing w:after="0" w:line="166" w:lineRule="exact"/>
              <w:rPr>
                <w:rFonts w:ascii="Times New Roman" w:cs="Times New Roman" w:eastAsia="Times New Roman" w:hAnsi="Times New Roman"/>
                <w:sz w:val="18"/>
                <w:szCs w:val="18"/>
                <w:color w:val="0000FF"/>
                <w:w w:val="97"/>
              </w:rPr>
            </w:pPr>
            <w:hyperlink r:id="rId199">
              <w:r>
                <w:rPr>
                  <w:rFonts w:ascii="Times New Roman" w:cs="Times New Roman" w:eastAsia="Times New Roman" w:hAnsi="Times New Roman"/>
                  <w:sz w:val="18"/>
                  <w:szCs w:val="18"/>
                  <w:color w:val="0000FF"/>
                  <w:w w:val="97"/>
                </w:rPr>
                <w:t>(file no. 000-23211)).</w:t>
              </w:r>
            </w:hyperlink>
          </w:p>
        </w:tc>
        <w:tc>
          <w:tcPr>
            <w:tcW w:w="7660" w:type="dxa"/>
            <w:vAlign w:val="bottom"/>
            <w:tcBorders>
              <w:top w:val="single" w:sz="8" w:color="0000FF"/>
            </w:tcBorders>
            <w:gridSpan w:val="26"/>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10.22*</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6"/>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Employment Agreement between Casella Waste Systems, Inc. and Shelley E. Sayward dated as of January 1, 2021 (incorporated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9"/>
          </w:tcPr>
          <w:p>
            <w:pPr>
              <w:spacing w:after="0" w:line="153"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herein by reference to exhibit 10.25 to the annual report on Form 10-K of Casella as filed on February 19, 2021 (file no. 000-</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0000FF"/>
              <w:bottom w:val="single" w:sz="8" w:color="0000FF"/>
            </w:tcBorders>
            <w:gridSpan w:val="2"/>
          </w:tcPr>
          <w:p>
            <w:pPr>
              <w:spacing w:after="0" w:line="166" w:lineRule="exact"/>
              <w:rPr>
                <w:rFonts w:ascii="Times New Roman" w:cs="Times New Roman" w:eastAsia="Times New Roman" w:hAnsi="Times New Roman"/>
                <w:sz w:val="18"/>
                <w:szCs w:val="18"/>
                <w:color w:val="0000FF"/>
                <w:w w:val="97"/>
              </w:rPr>
            </w:pPr>
            <w:hyperlink r:id="rId200">
              <w:r>
                <w:rPr>
                  <w:rFonts w:ascii="Times New Roman" w:cs="Times New Roman" w:eastAsia="Times New Roman" w:hAnsi="Times New Roman"/>
                  <w:sz w:val="18"/>
                  <w:szCs w:val="18"/>
                  <w:color w:val="0000FF"/>
                  <w:w w:val="97"/>
                </w:rPr>
                <w:t>23211)</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6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3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10.23*</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6"/>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Amended and Restated Employment Agreement between Casella Waste Systems, Inc. and Christopher B. Heald dated as of</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14"/>
          </w:tcPr>
          <w:p>
            <w:pPr>
              <w:spacing w:after="0" w:line="153"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October 25, 2021 (incorporated herein by reference to Exhibit 10.1 to the quarterly report on Form 10-Q of Casella as filed</w:t>
              </w:r>
            </w:hyperlink>
          </w:p>
        </w:tc>
        <w:tc>
          <w:tcPr>
            <w:tcW w:w="560" w:type="dxa"/>
            <w:vAlign w:val="bottom"/>
            <w:gridSpan w:val="22"/>
          </w:tcPr>
          <w:p>
            <w:pPr>
              <w:spacing w:after="0" w:line="153"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on</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tcBorders>
              <w:top w:val="single" w:sz="8" w:color="0000FF"/>
              <w:bottom w:val="single" w:sz="8" w:color="0000FF"/>
            </w:tcBorders>
            <w:gridSpan w:val="5"/>
          </w:tcPr>
          <w:p>
            <w:pPr>
              <w:spacing w:after="0" w:line="166" w:lineRule="exact"/>
              <w:rPr>
                <w:rFonts w:ascii="Times New Roman" w:cs="Times New Roman" w:eastAsia="Times New Roman" w:hAnsi="Times New Roman"/>
                <w:sz w:val="18"/>
                <w:szCs w:val="18"/>
                <w:color w:val="0000FF"/>
                <w:w w:val="97"/>
              </w:rPr>
            </w:pPr>
            <w:hyperlink r:id="rId201">
              <w:r>
                <w:rPr>
                  <w:rFonts w:ascii="Times New Roman" w:cs="Times New Roman" w:eastAsia="Times New Roman" w:hAnsi="Times New Roman"/>
                  <w:sz w:val="18"/>
                  <w:szCs w:val="18"/>
                  <w:color w:val="0000FF"/>
                  <w:w w:val="97"/>
                </w:rPr>
                <w:t>October 29, 2021 (file no. 000-23211).</w:t>
              </w:r>
            </w:hyperlink>
          </w:p>
        </w:tc>
        <w:tc>
          <w:tcPr>
            <w:tcW w:w="6180" w:type="dxa"/>
            <w:vAlign w:val="bottom"/>
            <w:tcBorders>
              <w:top w:val="single" w:sz="8" w:color="0000FF"/>
            </w:tcBorders>
            <w:gridSpan w:val="16"/>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10.24*</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6"/>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Employment Agreement between Casella Waste Systems, Inc. and Kevin Drohan effective as of April 1, 2022 (incorporated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5"/>
          </w:tcPr>
          <w:p>
            <w:pPr>
              <w:spacing w:after="0" w:line="153"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herein by reference to Exhibit 10.1 to the Current Report on Form 8-K of Casella as filed on March 31, 2022 (file no. 000-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0000FF"/>
              <w:bottom w:val="single" w:sz="8" w:color="0000FF"/>
            </w:tcBorders>
            <w:gridSpan w:val="2"/>
          </w:tcPr>
          <w:p>
            <w:pPr>
              <w:spacing w:after="0" w:line="166" w:lineRule="exact"/>
              <w:rPr>
                <w:rFonts w:ascii="Times New Roman" w:cs="Times New Roman" w:eastAsia="Times New Roman" w:hAnsi="Times New Roman"/>
                <w:sz w:val="18"/>
                <w:szCs w:val="18"/>
                <w:color w:val="0000FF"/>
                <w:w w:val="97"/>
              </w:rPr>
            </w:pPr>
            <w:hyperlink r:id="rId202">
              <w:r>
                <w:rPr>
                  <w:rFonts w:ascii="Times New Roman" w:cs="Times New Roman" w:eastAsia="Times New Roman" w:hAnsi="Times New Roman"/>
                  <w:sz w:val="18"/>
                  <w:szCs w:val="18"/>
                  <w:color w:val="0000FF"/>
                  <w:w w:val="97"/>
                </w:rPr>
                <w:t>23211)</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6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3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10.25*</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6"/>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Employment Agreement between Casella Waste Systems, Inc. and Sean Steves effective as of July 1, 2022 (incorporated herein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16"/>
          </w:tcPr>
          <w:p>
            <w:pPr>
              <w:spacing w:after="0" w:line="153"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by reference to Exhibit 10.2 to the Current Report on Form 8-K/A of Casella as filed on June 22, 2022 (file no. 000-23211)).</w:t>
              </w:r>
            </w:hyperlink>
          </w:p>
        </w:tc>
        <w:tc>
          <w:tcPr>
            <w:tcW w:w="2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10.26</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40" w:type="dxa"/>
            <w:vAlign w:val="bottom"/>
            <w:gridSpan w:val="36"/>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Extension of Lease Agreements dated as of April 23, 2013, between Casella Associates and Casella Waste Management, Inc.,</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20"/>
          </w:tcPr>
          <w:p>
            <w:pPr>
              <w:spacing w:after="0" w:line="153"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amending (i) Lease Agreement dated August 1, 1993, as amended (Montpelier lease) and (ii) Lease Agreement dated August</w:t>
              </w:r>
            </w:hyperlink>
          </w:p>
        </w:tc>
        <w:tc>
          <w:tcPr>
            <w:tcW w:w="140" w:type="dxa"/>
            <w:vAlign w:val="bottom"/>
            <w:tcBorders>
              <w:bottom w:val="single" w:sz="8" w:color="0000FF"/>
            </w:tcBorders>
            <w:gridSpan w:val="5"/>
          </w:tcPr>
          <w:p>
            <w:pPr>
              <w:spacing w:after="0" w:line="153" w:lineRule="exact"/>
              <w:rPr>
                <w:rFonts w:ascii="Times New Roman" w:cs="Times New Roman" w:eastAsia="Times New Roman" w:hAnsi="Times New Roman"/>
                <w:sz w:val="17"/>
                <w:szCs w:val="17"/>
                <w:color w:val="0000FF"/>
                <w:w w:val="93"/>
              </w:rPr>
            </w:pPr>
            <w:hyperlink r:id="rId204">
              <w:r>
                <w:rPr>
                  <w:rFonts w:ascii="Times New Roman" w:cs="Times New Roman" w:eastAsia="Times New Roman" w:hAnsi="Times New Roman"/>
                  <w:sz w:val="17"/>
                  <w:szCs w:val="17"/>
                  <w:color w:val="0000FF"/>
                  <w:w w:val="93"/>
                </w:rPr>
                <w:t>1,</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40" w:type="dxa"/>
            <w:vAlign w:val="bottom"/>
            <w:gridSpan w:val="36"/>
          </w:tcPr>
          <w:p>
            <w:pPr>
              <w:spacing w:after="0" w:line="16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1993, as amended (Rutland lease) (incorporated herein by reference to Exhibit 10.29 to the annual report on Form 10-K of Casella</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7"/>
          </w:tcPr>
          <w:p>
            <w:pPr>
              <w:spacing w:after="0" w:line="153"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as filed on June 27, 2014 (file no. 000-23211)).</w:t>
              </w:r>
            </w:hyperlink>
          </w:p>
        </w:tc>
        <w:tc>
          <w:tcPr>
            <w:tcW w:w="590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10.27*</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6"/>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Casella Waste Systems, Inc. Non-Equity Incentive Plan (incorporated herein by reference to Exhibit 10.1 of the current report on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8"/>
          </w:tcPr>
          <w:p>
            <w:pPr>
              <w:spacing w:after="0" w:line="153"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Form 8-K of Casella as filed on March 7, 2016 (file no. 000-23211)).</w:t>
              </w:r>
            </w:hyperlink>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60" w:type="dxa"/>
            <w:vAlign w:val="bottom"/>
            <w:gridSpan w:val="5"/>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10.28*</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40" w:type="dxa"/>
            <w:vAlign w:val="bottom"/>
            <w:gridSpan w:val="36"/>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Casella Waste Systems, Inc. 2016 Incentive Plan (incorporated herein by reference to Exhibit 99.1 to the Registration Statement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26"/>
          </w:tcPr>
          <w:p>
            <w:pPr>
              <w:spacing w:after="0" w:line="153"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on Form S-8 of Casella as filed on November 17, 2016 (file No. 333-214683)).</w:t>
              </w:r>
            </w:hyperlink>
          </w:p>
        </w:tc>
        <w:tc>
          <w:tcPr>
            <w:tcW w:w="6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360" w:type="dxa"/>
            <w:vAlign w:val="bottom"/>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10.29*</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40" w:type="dxa"/>
            <w:vAlign w:val="bottom"/>
            <w:gridSpan w:val="36"/>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Form of Restricted Stock Unit Agreement under 2016 Incentive Plan (employee with employment contract) (incorporated herein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7"/>
          </w:tcPr>
          <w:p>
            <w:pPr>
              <w:spacing w:after="0" w:line="153"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by reference to Exhibit 10.1 to the current report on Form 8-K of Casella as filed on November 22, 2016 (file No. 000-23211)).</w:t>
              </w:r>
            </w:hyperlink>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10.30*</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80" w:type="dxa"/>
            <w:vAlign w:val="bottom"/>
            <w:tcBorders>
              <w:top w:val="single" w:sz="8" w:color="0000FF"/>
              <w:bottom w:val="single" w:sz="8" w:color="0000FF"/>
            </w:tcBorders>
            <w:gridSpan w:val="18"/>
          </w:tcPr>
          <w:p>
            <w:pPr>
              <w:spacing w:after="0"/>
              <w:rPr>
                <w:rFonts w:ascii="Times New Roman" w:cs="Times New Roman" w:eastAsia="Times New Roman" w:hAnsi="Times New Roman"/>
                <w:sz w:val="18"/>
                <w:szCs w:val="18"/>
                <w:color w:val="0000FF"/>
                <w:w w:val="98"/>
              </w:rPr>
            </w:pPr>
            <w:hyperlink r:id="rId208">
              <w:r>
                <w:rPr>
                  <w:rFonts w:ascii="Times New Roman" w:cs="Times New Roman" w:eastAsia="Times New Roman" w:hAnsi="Times New Roman"/>
                  <w:sz w:val="18"/>
                  <w:szCs w:val="18"/>
                  <w:color w:val="0000FF"/>
                  <w:w w:val="98"/>
                </w:rPr>
                <w:t>Form of Restricted Stock Unit Agreement under 2016 Incentive Plan (employee with no employment contract) (incorporated</w:t>
              </w:r>
            </w:hyperlink>
          </w:p>
        </w:tc>
        <w:tc>
          <w:tcPr>
            <w:tcW w:w="140" w:type="dxa"/>
            <w:vAlign w:val="bottom"/>
            <w:tcBorders>
              <w:top w:val="single" w:sz="8" w:color="0000FF"/>
            </w:tcBorders>
            <w:gridSpan w:val="4"/>
          </w:tcPr>
          <w:p>
            <w:pPr>
              <w:spacing w:after="0"/>
              <w:rPr>
                <w:sz w:val="23"/>
                <w:szCs w:val="23"/>
                <w:color w:val="auto"/>
              </w:rPr>
            </w:pPr>
          </w:p>
        </w:tc>
        <w:tc>
          <w:tcPr>
            <w:tcW w:w="320" w:type="dxa"/>
            <w:vAlign w:val="bottom"/>
            <w:gridSpan w:val="14"/>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gridSpan w:val="36"/>
          </w:tcPr>
          <w:p>
            <w:pPr>
              <w:spacing w:after="0" w:line="153"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herein by reference to Exhibit 10.2 to the current report on Form 8-K of Casella as filed on November 22, 2016 (file No. 000-</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4"/>
              </w:rPr>
            </w:pPr>
            <w:hyperlink r:id="rId208">
              <w:r>
                <w:rPr>
                  <w:rFonts w:ascii="Times New Roman" w:cs="Times New Roman" w:eastAsia="Times New Roman" w:hAnsi="Times New Roman"/>
                  <w:sz w:val="18"/>
                  <w:szCs w:val="18"/>
                  <w:color w:val="0000FF"/>
                  <w:w w:val="94"/>
                </w:rPr>
                <w:t>23211)</w:t>
              </w:r>
              <w:r>
                <w:rPr>
                  <w:rFonts w:ascii="Times New Roman" w:cs="Times New Roman" w:eastAsia="Times New Roman" w:hAnsi="Times New Roman"/>
                  <w:sz w:val="18"/>
                  <w:szCs w:val="18"/>
                  <w:u w:val="single" w:color="auto"/>
                  <w:color w:val="0000FF"/>
                  <w:w w:val="94"/>
                </w:rPr>
                <w:t>)</w:t>
              </w:r>
              <w:r>
                <w:rPr>
                  <w:rFonts w:ascii="Times New Roman" w:cs="Times New Roman" w:eastAsia="Times New Roman" w:hAnsi="Times New Roman"/>
                  <w:sz w:val="18"/>
                  <w:szCs w:val="18"/>
                  <w:color w:val="0000FF"/>
                  <w:w w:val="94"/>
                </w:rPr>
                <w:t>.</w:t>
              </w:r>
            </w:hyperlink>
          </w:p>
        </w:tc>
        <w:tc>
          <w:tcPr>
            <w:tcW w:w="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3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10.31*</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6"/>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of Performance-Based Stock Unit Agreement under 2016 Incentive Plan (employee with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tcBorders>
            <w:gridSpan w:val="11"/>
          </w:tcPr>
          <w:p>
            <w:pPr>
              <w:spacing w:after="0" w:line="153"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(incorporated herein by reference to Exhibit 10.3 to the current report on Form 8-K of Casella as filed on November</w:t>
              </w:r>
            </w:hyperlink>
          </w:p>
        </w:tc>
        <w:tc>
          <w:tcPr>
            <w:tcW w:w="1020" w:type="dxa"/>
            <w:vAlign w:val="bottom"/>
            <w:gridSpan w:val="25"/>
          </w:tcPr>
          <w:p>
            <w:pPr>
              <w:jc w:val="right"/>
              <w:ind w:right="100"/>
              <w:spacing w:after="0" w:line="153" w:lineRule="exact"/>
              <w:rPr>
                <w:rFonts w:ascii="Times New Roman" w:cs="Times New Roman" w:eastAsia="Times New Roman" w:hAnsi="Times New Roman"/>
                <w:sz w:val="17"/>
                <w:szCs w:val="17"/>
                <w:color w:val="0000FF"/>
                <w:w w:val="97"/>
              </w:rPr>
            </w:pPr>
            <w:hyperlink r:id="rId209">
              <w:r>
                <w:rPr>
                  <w:rFonts w:ascii="Times New Roman" w:cs="Times New Roman" w:eastAsia="Times New Roman" w:hAnsi="Times New Roman"/>
                  <w:sz w:val="17"/>
                  <w:szCs w:val="17"/>
                  <w:color w:val="0000FF"/>
                  <w:w w:val="97"/>
                </w:rPr>
                <w:t>22, 2016 (file</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top w:val="single" w:sz="8" w:color="0000FF"/>
              <w:bottom w:val="single" w:sz="8" w:color="0000FF"/>
            </w:tcBorders>
            <w:gridSpan w:val="3"/>
          </w:tcPr>
          <w:p>
            <w:pPr>
              <w:spacing w:after="0" w:line="166" w:lineRule="exact"/>
              <w:rPr>
                <w:rFonts w:ascii="Times New Roman" w:cs="Times New Roman" w:eastAsia="Times New Roman" w:hAnsi="Times New Roman"/>
                <w:sz w:val="18"/>
                <w:szCs w:val="18"/>
                <w:color w:val="0000FF"/>
                <w:w w:val="97"/>
              </w:rPr>
            </w:pPr>
            <w:hyperlink r:id="rId209">
              <w:r>
                <w:rPr>
                  <w:rFonts w:ascii="Times New Roman" w:cs="Times New Roman" w:eastAsia="Times New Roman" w:hAnsi="Times New Roman"/>
                  <w:sz w:val="18"/>
                  <w:szCs w:val="18"/>
                  <w:color w:val="0000FF"/>
                  <w:w w:val="97"/>
                </w:rPr>
                <w:t>No. 000-23211)).</w:t>
              </w:r>
            </w:hyperlink>
          </w:p>
        </w:tc>
        <w:tc>
          <w:tcPr>
            <w:tcW w:w="8000" w:type="dxa"/>
            <w:vAlign w:val="bottom"/>
            <w:tcBorders>
              <w:top w:val="single" w:sz="8" w:color="0000FF"/>
            </w:tcBorders>
            <w:gridSpan w:val="28"/>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10.32*</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6"/>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Form of Performance-Based Stock Unit Agreement under 2016 Incentive Plan (employee with no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(incorporated herein by reference to Exhibit 10.4 to the current report on Form 8-K of Casella as filed on November 22,</w:t>
              </w:r>
            </w:hyperlink>
          </w:p>
        </w:tc>
        <w:tc>
          <w:tcPr>
            <w:tcW w:w="800" w:type="dxa"/>
            <w:vAlign w:val="bottom"/>
            <w:gridSpan w:val="24"/>
          </w:tcPr>
          <w:p>
            <w:pPr>
              <w:jc w:val="right"/>
              <w:ind w:right="100"/>
              <w:spacing w:after="0" w:line="153"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2016 (file</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top w:val="single" w:sz="8" w:color="0000FF"/>
              <w:bottom w:val="single" w:sz="8" w:color="0000FF"/>
            </w:tcBorders>
            <w:gridSpan w:val="3"/>
          </w:tcPr>
          <w:p>
            <w:pPr>
              <w:spacing w:after="0" w:line="166" w:lineRule="exact"/>
              <w:rPr>
                <w:rFonts w:ascii="Times New Roman" w:cs="Times New Roman" w:eastAsia="Times New Roman" w:hAnsi="Times New Roman"/>
                <w:sz w:val="18"/>
                <w:szCs w:val="18"/>
                <w:color w:val="0000FF"/>
                <w:w w:val="97"/>
              </w:rPr>
            </w:pPr>
            <w:hyperlink r:id="rId210">
              <w:r>
                <w:rPr>
                  <w:rFonts w:ascii="Times New Roman" w:cs="Times New Roman" w:eastAsia="Times New Roman" w:hAnsi="Times New Roman"/>
                  <w:sz w:val="18"/>
                  <w:szCs w:val="18"/>
                  <w:color w:val="0000FF"/>
                  <w:w w:val="97"/>
                </w:rPr>
                <w:t>No. 000-23211)).</w:t>
              </w:r>
            </w:hyperlink>
          </w:p>
        </w:tc>
        <w:tc>
          <w:tcPr>
            <w:tcW w:w="8000" w:type="dxa"/>
            <w:vAlign w:val="bottom"/>
            <w:tcBorders>
              <w:top w:val="single" w:sz="8" w:color="0000FF"/>
            </w:tcBorders>
            <w:gridSpan w:val="28"/>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10.33*</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6"/>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of Restricted Stock Agreement under 2016 Incentive Plan (incorporated herein by reference to Exhibit 10.5 to the current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4"/>
          </w:tcPr>
          <w:p>
            <w:pPr>
              <w:spacing w:after="0" w:line="153"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report on Form 8-K of Casella as filed on November 22, 2016 (file No. 000-23211)).</w:t>
              </w:r>
            </w:hyperlink>
          </w:p>
        </w:tc>
        <w:tc>
          <w:tcPr>
            <w:tcW w:w="22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gridSpan w:val="10"/>
            <w:shd w:val="clear" w:color="auto" w:fill="0000FF"/>
          </w:tcPr>
          <w:p>
            <w:pPr>
              <w:spacing w:after="0" w:line="20" w:lineRule="exact"/>
              <w:rPr>
                <w:sz w:val="1"/>
                <w:szCs w:val="1"/>
                <w:color w:val="auto"/>
              </w:rPr>
            </w:pPr>
          </w:p>
        </w:tc>
        <w:tc>
          <w:tcPr>
            <w:tcW w:w="30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10.34*</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40" w:type="dxa"/>
            <w:vAlign w:val="bottom"/>
            <w:gridSpan w:val="36"/>
          </w:tcPr>
          <w:p>
            <w:pPr>
              <w:spacing w:after="0"/>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Form of Incentive Stock Option Agreement under 2016 Incentive Plan (employee with employment contract) (incorporated herein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33"/>
          </w:tcPr>
          <w:p>
            <w:pPr>
              <w:spacing w:after="0" w:line="153"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by reference to Exhibit 10.6 to the current report on Form 8-K of Casella as filed on November 22, 2016 (file No. 000-23211)).</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20" w:type="dxa"/>
            <w:vAlign w:val="bottom"/>
            <w:tcBorders>
              <w:right w:val="single" w:sz="8" w:color="0000FF"/>
            </w:tcBorders>
            <w:gridSpan w:val="2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10.35*</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40" w:type="dxa"/>
            <w:vAlign w:val="bottom"/>
            <w:gridSpan w:val="36"/>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Form of Nonstatutory Stock Option Agreement under 2016 Incentive Plan (employee with employment contract) (incorporated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3"/>
          </w:tcPr>
          <w:p>
            <w:pPr>
              <w:spacing w:after="0" w:line="153"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herein by reference to Exhibit 10.7 to the current report on Form 8-K of Casella as filed on November 22, 2016 (file No. 000-</w:t>
              </w:r>
            </w:hyperlink>
          </w:p>
        </w:tc>
        <w:tc>
          <w:tcPr>
            <w:tcW w:w="30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4"/>
              </w:rPr>
            </w:pPr>
            <w:hyperlink r:id="rId213">
              <w:r>
                <w:rPr>
                  <w:rFonts w:ascii="Times New Roman" w:cs="Times New Roman" w:eastAsia="Times New Roman" w:hAnsi="Times New Roman"/>
                  <w:sz w:val="18"/>
                  <w:szCs w:val="18"/>
                  <w:color w:val="0000FF"/>
                  <w:w w:val="94"/>
                </w:rPr>
                <w:t>23211)</w:t>
              </w:r>
              <w:r>
                <w:rPr>
                  <w:rFonts w:ascii="Times New Roman" w:cs="Times New Roman" w:eastAsia="Times New Roman" w:hAnsi="Times New Roman"/>
                  <w:sz w:val="18"/>
                  <w:szCs w:val="18"/>
                  <w:u w:val="single" w:color="auto"/>
                  <w:color w:val="0000FF"/>
                  <w:w w:val="94"/>
                </w:rPr>
                <w:t>)</w:t>
              </w:r>
              <w:r>
                <w:rPr>
                  <w:rFonts w:ascii="Times New Roman" w:cs="Times New Roman" w:eastAsia="Times New Roman" w:hAnsi="Times New Roman"/>
                  <w:sz w:val="18"/>
                  <w:szCs w:val="18"/>
                  <w:color w:val="0000FF"/>
                  <w:w w:val="94"/>
                </w:rPr>
                <w:t>.</w:t>
              </w:r>
            </w:hyperlink>
          </w:p>
        </w:tc>
        <w:tc>
          <w:tcPr>
            <w:tcW w:w="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3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10.36*</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40" w:type="dxa"/>
            <w:vAlign w:val="bottom"/>
            <w:gridSpan w:val="36"/>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Form of Incentive Stock Option Agreement under 2016 Incentive Plan (employee with no employment contract) (incorporated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22"/>
          </w:tcPr>
          <w:p>
            <w:pPr>
              <w:spacing w:after="0" w:line="153"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herein by reference to Exhibit 10.8 to the current report on Form 8-K of Casella as filed on November 22, 2016 (file No. 000-</w:t>
              </w:r>
            </w:hyperlink>
          </w:p>
        </w:tc>
        <w:tc>
          <w:tcPr>
            <w:tcW w:w="3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4"/>
              </w:rPr>
            </w:pPr>
            <w:hyperlink r:id="rId214">
              <w:r>
                <w:rPr>
                  <w:rFonts w:ascii="Times New Roman" w:cs="Times New Roman" w:eastAsia="Times New Roman" w:hAnsi="Times New Roman"/>
                  <w:sz w:val="18"/>
                  <w:szCs w:val="18"/>
                  <w:color w:val="0000FF"/>
                  <w:w w:val="94"/>
                </w:rPr>
                <w:t>23211)</w:t>
              </w:r>
              <w:r>
                <w:rPr>
                  <w:rFonts w:ascii="Times New Roman" w:cs="Times New Roman" w:eastAsia="Times New Roman" w:hAnsi="Times New Roman"/>
                  <w:sz w:val="18"/>
                  <w:szCs w:val="18"/>
                  <w:u w:val="single" w:color="auto"/>
                  <w:color w:val="0000FF"/>
                  <w:w w:val="94"/>
                </w:rPr>
                <w:t>)</w:t>
              </w:r>
              <w:r>
                <w:rPr>
                  <w:rFonts w:ascii="Times New Roman" w:cs="Times New Roman" w:eastAsia="Times New Roman" w:hAnsi="Times New Roman"/>
                  <w:sz w:val="18"/>
                  <w:szCs w:val="18"/>
                  <w:color w:val="0000FF"/>
                  <w:w w:val="94"/>
                </w:rPr>
                <w:t>.</w:t>
              </w:r>
            </w:hyperlink>
          </w:p>
        </w:tc>
        <w:tc>
          <w:tcPr>
            <w:tcW w:w="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3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5"/>
        </w:trPr>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20" w:type="dxa"/>
            <w:vAlign w:val="bottom"/>
            <w:gridSpan w:val="9"/>
          </w:tcPr>
          <w:p>
            <w:pPr>
              <w:jc w:val="right"/>
              <w:ind w:right="989"/>
              <w:spacing w:after="0"/>
              <w:rPr>
                <w:sz w:val="20"/>
                <w:szCs w:val="20"/>
                <w:color w:val="auto"/>
              </w:rPr>
            </w:pPr>
            <w:r>
              <w:rPr>
                <w:rFonts w:ascii="Times New Roman" w:cs="Times New Roman" w:eastAsia="Times New Roman" w:hAnsi="Times New Roman"/>
                <w:sz w:val="18"/>
                <w:szCs w:val="18"/>
                <w:color w:val="auto"/>
              </w:rPr>
              <w:t>112</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0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0000FF"/>
                <w:w w:val="99"/>
              </w:rPr>
              <w:t>Table of Contents</w:t>
            </w:r>
          </w:p>
        </w:tc>
        <w:tc>
          <w:tcPr>
            <w:tcW w:w="8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6"/>
        </w:trPr>
        <w:tc>
          <w:tcPr>
            <w:tcW w:w="19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300" w:type="dxa"/>
            <w:vAlign w:val="bottom"/>
            <w:gridSpan w:val="31"/>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9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300" w:type="dxa"/>
            <w:vAlign w:val="bottom"/>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10.37*</w:t>
            </w: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440" w:type="dxa"/>
            <w:vAlign w:val="bottom"/>
            <w:tcBorders>
              <w:top w:val="single" w:sz="8" w:color="auto"/>
            </w:tcBorders>
            <w:gridSpan w:val="38"/>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Form of Nonstatutory Stock Option Agreement under 2016 Incentive Plan (employee with no employment contract) (incorporated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34"/>
          </w:tcPr>
          <w:p>
            <w:pPr>
              <w:spacing w:after="0" w:line="153"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herein by reference to Exhibit 10.9 to the current report on Form 8-K of Casella as filed on November 22, 2016 (file No. 000-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Borders>
              <w:top w:val="single" w:sz="8" w:color="0000FF"/>
            </w:tcBorders>
            <w:gridSpan w:val="2"/>
          </w:tcPr>
          <w:p>
            <w:pPr>
              <w:spacing w:after="0" w:line="16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23211)</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w:t>
              </w:r>
            </w:hyperlink>
          </w:p>
        </w:tc>
        <w:tc>
          <w:tcPr>
            <w:tcW w:w="3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10.38*</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8"/>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 of Performance-Based Stock Option Agreement under 2016 Incentive Plan (employee with employment contract)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38"/>
          </w:tcPr>
          <w:p>
            <w:pPr>
              <w:spacing w:after="0" w:line="153"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(incorporated herein by reference to Exhibit 10.10 to the current report on Form 8-K of Casella as filed on November 22, 2016</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4"/>
          </w:tcPr>
          <w:p>
            <w:pPr>
              <w:spacing w:after="0" w:line="166" w:lineRule="exact"/>
              <w:rPr>
                <w:rFonts w:ascii="Times New Roman" w:cs="Times New Roman" w:eastAsia="Times New Roman" w:hAnsi="Times New Roman"/>
                <w:sz w:val="18"/>
                <w:szCs w:val="18"/>
                <w:color w:val="0000FF"/>
                <w:w w:val="97"/>
              </w:rPr>
            </w:pPr>
            <w:hyperlink r:id="rId218">
              <w:r>
                <w:rPr>
                  <w:rFonts w:ascii="Times New Roman" w:cs="Times New Roman" w:eastAsia="Times New Roman" w:hAnsi="Times New Roman"/>
                  <w:sz w:val="18"/>
                  <w:szCs w:val="18"/>
                  <w:color w:val="0000FF"/>
                  <w:w w:val="97"/>
                </w:rPr>
                <w:t>(file No. 000-23211)).</w:t>
              </w:r>
            </w:hyperlink>
          </w:p>
        </w:tc>
        <w:tc>
          <w:tcPr>
            <w:tcW w:w="742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10.39*</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8"/>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Form of Performance-Based Stock Option Agreement under 2016 Incentive Plan (employee with no employment contract)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38"/>
          </w:tcPr>
          <w:p>
            <w:pPr>
              <w:spacing w:after="0" w:line="153"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(incorporated herein by reference to Exhibit 10.11 to the current report on Form 8-K of Casella as filed on November 22, 2016</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4"/>
          </w:tcPr>
          <w:p>
            <w:pPr>
              <w:spacing w:after="0" w:line="166" w:lineRule="exact"/>
              <w:rPr>
                <w:rFonts w:ascii="Times New Roman" w:cs="Times New Roman" w:eastAsia="Times New Roman" w:hAnsi="Times New Roman"/>
                <w:sz w:val="18"/>
                <w:szCs w:val="18"/>
                <w:color w:val="0000FF"/>
                <w:w w:val="97"/>
              </w:rPr>
            </w:pPr>
            <w:hyperlink r:id="rId219">
              <w:r>
                <w:rPr>
                  <w:rFonts w:ascii="Times New Roman" w:cs="Times New Roman" w:eastAsia="Times New Roman" w:hAnsi="Times New Roman"/>
                  <w:sz w:val="18"/>
                  <w:szCs w:val="18"/>
                  <w:color w:val="0000FF"/>
                  <w:w w:val="97"/>
                </w:rPr>
                <w:t>(file No. 000-23211)).</w:t>
              </w:r>
            </w:hyperlink>
          </w:p>
        </w:tc>
        <w:tc>
          <w:tcPr>
            <w:tcW w:w="7400" w:type="dxa"/>
            <w:vAlign w:val="bottom"/>
            <w:tcBorders>
              <w:top w:val="single" w:sz="8" w:color="0000FF"/>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10.40*</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8"/>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Form of Restricted Stock Unit Agreement under 2016 Incentive Plan (non-employee director) (incorporated herein by reference 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9"/>
          </w:tcPr>
          <w:p>
            <w:pPr>
              <w:spacing w:after="0" w:line="153"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Exhibit 10.1 to the quarterly report on Form 10-Q of Casella as filed on November 2, 2017 (file No. 000-23211)).</w:t>
              </w:r>
            </w:hyperlink>
          </w:p>
        </w:tc>
        <w:tc>
          <w:tcPr>
            <w:tcW w:w="132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10.41</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40" w:type="dxa"/>
            <w:vAlign w:val="bottom"/>
            <w:gridSpan w:val="38"/>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Amended and Restated Credit Agreement, dated as of December 22, 2021, among Casella Waste Systems, Inc., the subsidiaries of</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33"/>
          </w:tcPr>
          <w:p>
            <w:pPr>
              <w:spacing w:after="0" w:line="153"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Casella identified therein, Bank of America, N.A., as administrative agent, Merrill Lynch, Pierce Fenner &amp; Smith Incorporated,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top w:val="single" w:sz="8" w:color="0000FF"/>
            </w:tcBorders>
            <w:gridSpan w:val="19"/>
          </w:tcPr>
          <w:p>
            <w:pPr>
              <w:spacing w:after="0" w:line="16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Citizens Bank, N.A., JPMorgan Chase Bank, N.A. and Comerica Bank as joint lead arrangers, and the lenders party thereto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38"/>
          </w:tcPr>
          <w:p>
            <w:pPr>
              <w:spacing w:after="0" w:line="153"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(incorporated herein by reference to Exhibit 10.1 to the current report on Form 8-K of Casella as filed on December 28, 2021 (file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2"/>
          </w:tcPr>
          <w:p>
            <w:pPr>
              <w:spacing w:after="0" w:line="153"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No. 000-23211).</w:t>
              </w:r>
            </w:hyperlink>
          </w:p>
        </w:tc>
        <w:tc>
          <w:tcPr>
            <w:tcW w:w="810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10.42</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40" w:type="dxa"/>
            <w:vAlign w:val="bottom"/>
            <w:gridSpan w:val="38"/>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First Amendment, dated as of February 9, 2023, to Amended and Restated the Credit Agreement dated as of December 22, 2021,</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8"/>
          </w:tcPr>
          <w:p>
            <w:pPr>
              <w:spacing w:after="0" w:line="153"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including Annex A to First Amendment (incorporated herein by reference to Exhibit 10.1 to the Current Report on Form 8-K of</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80" w:type="dxa"/>
            <w:vAlign w:val="bottom"/>
            <w:tcBorders>
              <w:top w:val="single" w:sz="8" w:color="0000FF"/>
            </w:tcBorders>
            <w:gridSpan w:val="20"/>
          </w:tcPr>
          <w:p>
            <w:pPr>
              <w:spacing w:after="0" w:line="16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Casella as filed on February 9, 2023 (file no. 000-23211)).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10.43</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8"/>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Second Amendment, dated as of February 9, 2023, to Amended and Restated Credit Agreement dated as of December 22, 2021,</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3"/>
          </w:tcPr>
          <w:p>
            <w:pPr>
              <w:spacing w:after="0" w:line="153"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including Annex A to Second Amendment (incorporated herein by reference to Exhibit 10.2 to the Current Report on Form 8-K</w:t>
              </w:r>
            </w:hyperlink>
          </w:p>
        </w:tc>
        <w:tc>
          <w:tcPr>
            <w:tcW w:w="300" w:type="dxa"/>
            <w:vAlign w:val="bottom"/>
            <w:gridSpan w:val="15"/>
          </w:tcPr>
          <w:p>
            <w:pPr>
              <w:spacing w:after="0" w:line="153"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of</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20" w:type="dxa"/>
            <w:vAlign w:val="bottom"/>
            <w:tcBorders>
              <w:top w:val="single" w:sz="8" w:color="0000FF"/>
            </w:tcBorders>
            <w:gridSpan w:val="37"/>
          </w:tcPr>
          <w:p>
            <w:pPr>
              <w:spacing w:after="0" w:line="16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Casella as filed on February 9, 2023 (file no. 000-23211)).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10.44</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8"/>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Third Amendment to Amended and Restated Credit Agreement, dated as of April 25, 2023, by and among Casella Waste Systems,</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36"/>
          </w:tcPr>
          <w:p>
            <w:pPr>
              <w:spacing w:after="0" w:line="153"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Inc., its subsidiaries party thereto, Bank of America, N.A., JPMorgan Chase Bank, N.A., Comerica Bank, Citizens Bank, N.A.,</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20" w:type="dxa"/>
            <w:vAlign w:val="bottom"/>
            <w:tcBorders>
              <w:top w:val="single" w:sz="8" w:color="0000FF"/>
            </w:tcBorders>
            <w:gridSpan w:val="17"/>
          </w:tcPr>
          <w:p>
            <w:pPr>
              <w:spacing w:after="0" w:line="166" w:lineRule="exact"/>
              <w:rPr>
                <w:rFonts w:ascii="Times New Roman" w:cs="Times New Roman" w:eastAsia="Times New Roman" w:hAnsi="Times New Roman"/>
                <w:sz w:val="18"/>
                <w:szCs w:val="18"/>
                <w:color w:val="0000FF"/>
                <w:w w:val="98"/>
              </w:rPr>
            </w:pPr>
            <w:hyperlink r:id="rId224">
              <w:r>
                <w:rPr>
                  <w:rFonts w:ascii="Times New Roman" w:cs="Times New Roman" w:eastAsia="Times New Roman" w:hAnsi="Times New Roman"/>
                  <w:sz w:val="18"/>
                  <w:szCs w:val="18"/>
                  <w:color w:val="0000FF"/>
                  <w:w w:val="98"/>
                </w:rPr>
                <w:t>TD Bank, N.A., and M&amp;T Bank (incorporated herein by reference to Exhibit 10.1 to the current report on Form 8-K of Casella</w:t>
              </w:r>
            </w:hyperlink>
          </w:p>
        </w:tc>
        <w:tc>
          <w:tcPr>
            <w:tcW w:w="20" w:type="dxa"/>
            <w:vAlign w:val="bottom"/>
          </w:tcPr>
          <w:p>
            <w:pPr>
              <w:spacing w:after="0"/>
              <w:rPr>
                <w:sz w:val="14"/>
                <w:szCs w:val="14"/>
                <w:color w:val="auto"/>
              </w:rPr>
            </w:pPr>
          </w:p>
        </w:tc>
        <w:tc>
          <w:tcPr>
            <w:tcW w:w="400" w:type="dxa"/>
            <w:vAlign w:val="bottom"/>
            <w:gridSpan w:val="20"/>
          </w:tcPr>
          <w:p>
            <w:pPr>
              <w:spacing w:after="0" w:line="16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as</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9"/>
          </w:tcPr>
          <w:p>
            <w:pPr>
              <w:spacing w:after="0" w:line="153"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filed on July 3, 2023 (file no. 000-23211)).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10.45</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8"/>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Master Lease Agreement dated as of July 20, 2020 by and between Bank of America Leasing &amp; Capital, LLC and Casella Waste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25"/>
          </w:tcPr>
          <w:p>
            <w:pPr>
              <w:spacing w:after="0" w:line="153"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Systems, Inc. (incorporated herein by reference to Exhibit 10.1 to the Current Report on Form 8-K of Casella as filed on July 22,</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bottom w:val="single" w:sz="8" w:color="0000FF"/>
            </w:tcBorders>
            <w:gridSpan w:val="5"/>
          </w:tcPr>
          <w:p>
            <w:pPr>
              <w:spacing w:after="0" w:line="166" w:lineRule="exact"/>
              <w:rPr>
                <w:rFonts w:ascii="Times New Roman" w:cs="Times New Roman" w:eastAsia="Times New Roman" w:hAnsi="Times New Roman"/>
                <w:sz w:val="18"/>
                <w:szCs w:val="18"/>
                <w:color w:val="0000FF"/>
                <w:w w:val="97"/>
              </w:rPr>
            </w:pPr>
            <w:hyperlink r:id="rId225">
              <w:r>
                <w:rPr>
                  <w:rFonts w:ascii="Times New Roman" w:cs="Times New Roman" w:eastAsia="Times New Roman" w:hAnsi="Times New Roman"/>
                  <w:sz w:val="18"/>
                  <w:szCs w:val="18"/>
                  <w:color w:val="0000FF"/>
                  <w:w w:val="97"/>
                </w:rPr>
                <w:t>2020 (file no. 000-23211)).</w:t>
              </w:r>
            </w:hyperlink>
          </w:p>
        </w:tc>
        <w:tc>
          <w:tcPr>
            <w:tcW w:w="7280" w:type="dxa"/>
            <w:vAlign w:val="bottom"/>
            <w:gridSpan w:val="2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10.46</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8"/>
              </w:rPr>
            </w:pPr>
            <w:hyperlink r:id="rId226">
              <w:r>
                <w:rPr>
                  <w:rFonts w:ascii="Times New Roman" w:cs="Times New Roman" w:eastAsia="Times New Roman" w:hAnsi="Times New Roman"/>
                  <w:sz w:val="18"/>
                  <w:szCs w:val="18"/>
                  <w:color w:val="0000FF"/>
                  <w:w w:val="98"/>
                </w:rPr>
                <w:t>Addendum to Master Lease Agreement No. 36629-90000 dated as of July 20, 2020 by and among Bank of America Leasing &amp;</w:t>
              </w:r>
            </w:hyperlink>
          </w:p>
        </w:tc>
        <w:tc>
          <w:tcPr>
            <w:tcW w:w="400" w:type="dxa"/>
            <w:vAlign w:val="bottom"/>
            <w:gridSpan w:val="20"/>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38"/>
          </w:tcPr>
          <w:p>
            <w:pPr>
              <w:spacing w:after="0" w:line="153"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Capital, LLC, Casella Waste Systems, Inc. and certain of its subsidiaries (incorporated herein by reference to Exhibit 10.2 to the</w:t>
              </w:r>
            </w:hyperlink>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tcBorders>
              <w:top w:val="single" w:sz="8" w:color="0000FF"/>
            </w:tcBorders>
            <w:gridSpan w:val="22"/>
          </w:tcPr>
          <w:p>
            <w:pPr>
              <w:spacing w:after="0" w:line="16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Current Report on Form 8-K of Casella as filed on July 22, 2020 (file no. 000-23211)).</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4620" w:type="dxa"/>
            <w:vAlign w:val="bottom"/>
            <w:gridSpan w:val="5"/>
            <w:shd w:val="clear" w:color="auto" w:fill="0000FF"/>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10.47</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8"/>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Purchase and Sale Agreement dated as of January 23, 2011 among Casella, KTI, CE Holdings II, LLC and CE Holding Company,</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31"/>
          </w:tcPr>
          <w:p>
            <w:pPr>
              <w:spacing w:after="0" w:line="153"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LLC (incorporated herein by reference to Exhibit 2.1 to the quarterly report on Form 10-Q of Casella as filed on March 3, 2011</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3"/>
          </w:tcPr>
          <w:p>
            <w:pPr>
              <w:spacing w:after="0" w:line="166" w:lineRule="exact"/>
              <w:rPr>
                <w:rFonts w:ascii="Times New Roman" w:cs="Times New Roman" w:eastAsia="Times New Roman" w:hAnsi="Times New Roman"/>
                <w:sz w:val="18"/>
                <w:szCs w:val="18"/>
                <w:color w:val="0000FF"/>
                <w:w w:val="97"/>
              </w:rPr>
            </w:pPr>
            <w:hyperlink r:id="rId227">
              <w:r>
                <w:rPr>
                  <w:rFonts w:ascii="Times New Roman" w:cs="Times New Roman" w:eastAsia="Times New Roman" w:hAnsi="Times New Roman"/>
                  <w:sz w:val="18"/>
                  <w:szCs w:val="18"/>
                  <w:color w:val="0000FF"/>
                  <w:w w:val="97"/>
                </w:rPr>
                <w:t>(file no. 000-23211)).</w:t>
              </w:r>
            </w:hyperlink>
          </w:p>
        </w:tc>
        <w:tc>
          <w:tcPr>
            <w:tcW w:w="7500" w:type="dxa"/>
            <w:vAlign w:val="bottom"/>
            <w:tcBorders>
              <w:top w:val="single" w:sz="8" w:color="0000FF"/>
            </w:tcBorders>
            <w:gridSpan w:val="15"/>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10.48*</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8"/>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Employment Agreement between Casella Waste Systems, Inc. and Paul J. Ligon, dated as of March 6, 2012 (incorporated herein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13"/>
          </w:tcPr>
          <w:p>
            <w:pPr>
              <w:spacing w:after="0" w:line="153"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by reference to Exhibit 10.1 to the quarterly report on Form 10-Q of Casella as filed on April 28, 2023 (file no. 000-23211)).</w:t>
              </w:r>
            </w:hyperlink>
          </w:p>
        </w:tc>
        <w:tc>
          <w:tcPr>
            <w:tcW w:w="360" w:type="dxa"/>
            <w:vAlign w:val="bottom"/>
            <w:tcBorders>
              <w:top w:val="single" w:sz="8" w:color="0000FF"/>
            </w:tcBorders>
            <w:gridSpan w:val="13"/>
          </w:tcPr>
          <w:p>
            <w:pPr>
              <w:spacing w:after="0"/>
              <w:rPr>
                <w:sz w:val="13"/>
                <w:szCs w:val="13"/>
                <w:color w:val="auto"/>
              </w:rPr>
            </w:pPr>
          </w:p>
        </w:tc>
        <w:tc>
          <w:tcPr>
            <w:tcW w:w="12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10.49</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40" w:type="dxa"/>
            <w:vAlign w:val="bottom"/>
            <w:gridSpan w:val="38"/>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Specified Acquisition Loan Joinder, dated as of May 25, 2023, by and among Casella Waste Systems, Inc., its subsidiaries party</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1"/>
          </w:tcPr>
          <w:p>
            <w:pPr>
              <w:spacing w:after="0" w:line="153"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thereto, BofA Securities, Inc., Bank of America, N.A., JPMorgan Chase Bank, N.A., The Huntington National Bank, Citizens</w:t>
              </w:r>
            </w:hyperlink>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920" w:type="dxa"/>
            <w:vAlign w:val="bottom"/>
            <w:gridSpan w:val="14"/>
            <w:shd w:val="clear" w:color="auto" w:fill="0000FF"/>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40" w:type="dxa"/>
            <w:vAlign w:val="bottom"/>
            <w:gridSpan w:val="38"/>
          </w:tcPr>
          <w:p>
            <w:pPr>
              <w:spacing w:after="0" w:line="16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Bank, N.A., Comerica Bank, TD Bank, N.A., Capital One, National Association, CoBank, ACB, U.S. Bank National Association,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32"/>
          </w:tcPr>
          <w:p>
            <w:pPr>
              <w:spacing w:after="0" w:line="153"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and M&amp;T Bank (incorporated herein by reference to Exhibit 10.2 to the current report on Form 8-K of Casella as filed on July 3,</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5"/>
          </w:tcPr>
          <w:p>
            <w:pPr>
              <w:spacing w:after="0" w:line="153"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2023 (file no. 000-23211)).</w:t>
              </w:r>
            </w:hyperlink>
          </w:p>
        </w:tc>
        <w:tc>
          <w:tcPr>
            <w:tcW w:w="7220" w:type="dxa"/>
            <w:vAlign w:val="bottom"/>
            <w:tcBorders>
              <w:top w:val="single" w:sz="8" w:color="0000FF"/>
            </w:tcBorders>
            <w:gridSpan w:val="19"/>
          </w:tcPr>
          <w:p>
            <w:pPr>
              <w:spacing w:after="0"/>
              <w:rPr>
                <w:sz w:val="13"/>
                <w:szCs w:val="13"/>
                <w:color w:val="auto"/>
              </w:rPr>
            </w:pPr>
          </w:p>
        </w:tc>
        <w:tc>
          <w:tcPr>
            <w:tcW w:w="2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10.50*</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40" w:type="dxa"/>
            <w:vAlign w:val="bottom"/>
            <w:gridSpan w:val="38"/>
          </w:tcPr>
          <w:p>
            <w:pPr>
              <w:spacing w:after="0"/>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Employment Agreement between Casella Waste Systems, Inc. and Bradford J. Helgeson dated as of October 31, 2023</w:t>
              </w:r>
            </w:hyperlink>
          </w:p>
        </w:tc>
        <w:tc>
          <w:tcPr>
            <w:tcW w:w="0" w:type="dxa"/>
            <w:vAlign w:val="bottom"/>
          </w:tcPr>
          <w:p>
            <w:pPr>
              <w:spacing w:after="0"/>
              <w:rPr>
                <w:sz w:val="1"/>
                <w:szCs w:val="1"/>
                <w:color w:val="auto"/>
              </w:rPr>
            </w:pPr>
          </w:p>
        </w:tc>
      </w:tr>
    </w:tbl>
    <w:p>
      <w:pPr>
        <w:ind w:left="1920" w:right="260"/>
        <w:spacing w:after="0" w:line="230" w:lineRule="auto"/>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(incorporated herein by reference to Exhibit 10.2 to the quarterly report on Form 10-Q of Casella as filed on November 2, 2023</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(file no. 000-23211)).</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8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6"/>
        </w:trPr>
        <w:tc>
          <w:tcPr>
            <w:tcW w:w="19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40" w:type="dxa"/>
            <w:vAlign w:val="bottom"/>
            <w:gridSpan w:val="6"/>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9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3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10.51*</w:t>
            </w: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300" w:type="dxa"/>
            <w:vAlign w:val="bottom"/>
            <w:tcBorders>
              <w:top w:val="single" w:sz="8" w:color="auto"/>
            </w:tcBorders>
            <w:gridSpan w:val="11"/>
          </w:tcPr>
          <w:p>
            <w:pPr>
              <w:spacing w:after="0"/>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Offer Letter between Casella Waste Systems, Inc. and Bradford J. Helgeson dated as of October 31, 2023 (incorporated herein by</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8"/>
          </w:tcPr>
          <w:p>
            <w:pPr>
              <w:spacing w:after="0" w:line="153" w:lineRule="exact"/>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reference to Exhibit 10.3 to the quarterly report on Form 10-Q of Casella as filed on November 2, 2023 (file no. 000-23211)).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21.1 +</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Subsidiaries of Casella Waste Systems, Inc.</w:t>
            </w:r>
          </w:p>
        </w:tc>
        <w:tc>
          <w:tcPr>
            <w:tcW w:w="5800" w:type="dxa"/>
            <w:vAlign w:val="bottom"/>
            <w:tcBorders>
              <w:top w:val="single" w:sz="8" w:color="0000FF"/>
            </w:tcBorders>
            <w:gridSpan w:val="3"/>
          </w:tcPr>
          <w:p>
            <w:pPr>
              <w:spacing w:after="0"/>
              <w:rPr>
                <w:sz w:val="19"/>
                <w:szCs w:val="19"/>
                <w:color w:val="auto"/>
              </w:rPr>
            </w:pPr>
          </w:p>
        </w:tc>
        <w:tc>
          <w:tcPr>
            <w:tcW w:w="40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23.1 +</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Consent of RSM US LLP</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31.1 +</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Certification of Principal Executive Officer required by Rule 13a-14(a) or Rule 15d-14(a) of the Securities Exchange Act of 1934,</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10"/>
          </w:tcPr>
          <w:p>
            <w:pPr>
              <w:spacing w:after="0" w:line="153" w:lineRule="exact"/>
              <w:rPr>
                <w:sz w:val="20"/>
                <w:szCs w:val="20"/>
                <w:color w:val="auto"/>
              </w:rPr>
            </w:pPr>
            <w:r>
              <w:rPr>
                <w:rFonts w:ascii="Times New Roman" w:cs="Times New Roman" w:eastAsia="Times New Roman" w:hAnsi="Times New Roman"/>
                <w:sz w:val="17"/>
                <w:szCs w:val="17"/>
                <w:color w:val="0000FF"/>
              </w:rPr>
              <w:t>as amended.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31.2 +</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required by Rule 13a-14(a) or Rule 15d-14(a) of the Securities Exchange Act of 1934,</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9"/>
          </w:tcPr>
          <w:p>
            <w:pPr>
              <w:spacing w:after="0" w:line="153" w:lineRule="exact"/>
              <w:rPr>
                <w:sz w:val="20"/>
                <w:szCs w:val="20"/>
                <w:color w:val="auto"/>
              </w:rPr>
            </w:pPr>
            <w:r>
              <w:rPr>
                <w:rFonts w:ascii="Times New Roman" w:cs="Times New Roman" w:eastAsia="Times New Roman" w:hAnsi="Times New Roman"/>
                <w:sz w:val="17"/>
                <w:szCs w:val="17"/>
                <w:color w:val="0000FF"/>
              </w:rPr>
              <w:t>as amended.</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32.1 +</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4"/>
          </w:tcPr>
          <w:p>
            <w:pPr>
              <w:spacing w:after="0" w:line="153" w:lineRule="exact"/>
              <w:rPr>
                <w:sz w:val="20"/>
                <w:szCs w:val="20"/>
                <w:color w:val="auto"/>
              </w:rPr>
            </w:pPr>
            <w:r>
              <w:rPr>
                <w:rFonts w:ascii="Times New Roman" w:cs="Times New Roman" w:eastAsia="Times New Roman" w:hAnsi="Times New Roman"/>
                <w:sz w:val="17"/>
                <w:szCs w:val="17"/>
                <w:color w:val="0000FF"/>
              </w:rPr>
              <w:t>Section 906 of the Sarbanes- Oxley Act of 2002.</w:t>
            </w:r>
          </w:p>
        </w:tc>
        <w:tc>
          <w:tcPr>
            <w:tcW w:w="5600" w:type="dxa"/>
            <w:vAlign w:val="bottom"/>
            <w:tcBorders>
              <w:top w:val="single" w:sz="8" w:color="0000FF"/>
            </w:tcBorders>
            <w:gridSpan w:val="3"/>
          </w:tcPr>
          <w:p>
            <w:pPr>
              <w:spacing w:after="0"/>
              <w:rPr>
                <w:sz w:val="13"/>
                <w:szCs w:val="13"/>
                <w:color w:val="auto"/>
              </w:rPr>
            </w:pPr>
          </w:p>
        </w:tc>
        <w:tc>
          <w:tcPr>
            <w:tcW w:w="2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97* +</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Amended and Restated Compensation Clawback Policy</w:t>
            </w:r>
          </w:p>
        </w:tc>
        <w:tc>
          <w:tcPr>
            <w:tcW w:w="0" w:type="dxa"/>
            <w:vAlign w:val="bottom"/>
          </w:tcPr>
          <w:p>
            <w:pPr>
              <w:spacing w:after="0"/>
              <w:rPr>
                <w:sz w:val="1"/>
                <w:szCs w:val="1"/>
                <w:color w:val="auto"/>
              </w:rPr>
            </w:pPr>
          </w:p>
        </w:tc>
      </w:tr>
      <w:tr>
        <w:trPr>
          <w:trHeight w:val="20"/>
        </w:trPr>
        <w:tc>
          <w:tcPr>
            <w:tcW w:w="1900" w:type="dxa"/>
            <w:vAlign w:val="bottom"/>
            <w:gridSpan w:val="3"/>
            <w:vMerge w:val="restart"/>
          </w:tcPr>
          <w:p>
            <w:pPr>
              <w:jc w:val="center"/>
              <w:ind w:right="86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9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232"/>
        </w:trPr>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306"/>
        </w:trPr>
        <w:tc>
          <w:tcPr>
            <w:tcW w:w="19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9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79"/>
        </w:trPr>
        <w:tc>
          <w:tcPr>
            <w:tcW w:w="19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24"/>
                <w:szCs w:val="24"/>
                <w:color w:val="auto"/>
              </w:rPr>
            </w:pPr>
          </w:p>
        </w:tc>
        <w:tc>
          <w:tcPr>
            <w:tcW w:w="9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279"/>
        </w:trPr>
        <w:tc>
          <w:tcPr>
            <w:tcW w:w="19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7"/>
              </w:rPr>
              <w:t>101.LAB</w:t>
            </w:r>
          </w:p>
        </w:tc>
        <w:tc>
          <w:tcPr>
            <w:tcW w:w="20" w:type="dxa"/>
            <w:vAlign w:val="bottom"/>
          </w:tcPr>
          <w:p>
            <w:pPr>
              <w:spacing w:after="0"/>
              <w:rPr>
                <w:sz w:val="24"/>
                <w:szCs w:val="24"/>
                <w:color w:val="auto"/>
              </w:rPr>
            </w:pPr>
          </w:p>
        </w:tc>
        <w:tc>
          <w:tcPr>
            <w:tcW w:w="9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0" w:type="dxa"/>
            <w:vAlign w:val="bottom"/>
          </w:tcPr>
          <w:p>
            <w:pPr>
              <w:spacing w:after="0"/>
              <w:rPr>
                <w:sz w:val="1"/>
                <w:szCs w:val="1"/>
                <w:color w:val="auto"/>
              </w:rPr>
            </w:pPr>
          </w:p>
        </w:tc>
      </w:tr>
      <w:tr>
        <w:trPr>
          <w:trHeight w:val="279"/>
        </w:trPr>
        <w:tc>
          <w:tcPr>
            <w:tcW w:w="19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9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r>
        <w:trPr>
          <w:trHeight w:val="279"/>
        </w:trPr>
        <w:tc>
          <w:tcPr>
            <w:tcW w:w="19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7"/>
              </w:rPr>
              <w:t>101.DEF</w:t>
            </w:r>
          </w:p>
        </w:tc>
        <w:tc>
          <w:tcPr>
            <w:tcW w:w="20" w:type="dxa"/>
            <w:vAlign w:val="bottom"/>
          </w:tcPr>
          <w:p>
            <w:pPr>
              <w:spacing w:after="0"/>
              <w:rPr>
                <w:sz w:val="24"/>
                <w:szCs w:val="24"/>
                <w:color w:val="auto"/>
              </w:rPr>
            </w:pPr>
          </w:p>
        </w:tc>
        <w:tc>
          <w:tcPr>
            <w:tcW w:w="9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5"/>
        </w:trPr>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w:t>
            </w:r>
          </w:p>
        </w:tc>
        <w:tc>
          <w:tcPr>
            <w:tcW w:w="0" w:type="dxa"/>
            <w:vAlign w:val="bottom"/>
          </w:tcPr>
          <w:p>
            <w:pPr>
              <w:spacing w:after="0"/>
              <w:rPr>
                <w:sz w:val="1"/>
                <w:szCs w:val="1"/>
                <w:color w:val="auto"/>
              </w:rPr>
            </w:pPr>
          </w:p>
        </w:tc>
      </w:tr>
      <w:tr>
        <w:trPr>
          <w:trHeight w:val="232"/>
        </w:trPr>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Exhibits 101.)</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5" w:lineRule="exact"/>
        <w:rPr>
          <w:sz w:val="20"/>
          <w:szCs w:val="20"/>
          <w:color w:val="auto"/>
        </w:rPr>
      </w:pPr>
    </w:p>
    <w:p>
      <w:pPr>
        <w:ind w:left="320" w:hanging="314"/>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 w:lineRule="exact"/>
        <w:rPr>
          <w:sz w:val="20"/>
          <w:szCs w:val="20"/>
          <w:color w:val="auto"/>
        </w:rPr>
      </w:pPr>
    </w:p>
    <w:p>
      <w:pPr>
        <w:ind w:left="320" w:hanging="314"/>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management contract or compensatory plan or arrangement.</w:t>
      </w:r>
    </w:p>
    <w:p>
      <w:pPr>
        <w:spacing w:after="0" w:line="6" w:lineRule="exact"/>
        <w:rPr>
          <w:sz w:val="20"/>
          <w:szCs w:val="20"/>
          <w:color w:val="auto"/>
        </w:rPr>
      </w:pPr>
    </w:p>
    <w:p>
      <w:pPr>
        <w:ind w:firstLine="6"/>
        <w:spacing w:after="0" w:line="248" w:lineRule="auto"/>
        <w:tabs>
          <w:tab w:leader="none" w:pos="39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 Attached as Exhibit 101 to this report are the following formatted in inline XBRL (Extensible Business Reporting Language): (i) Consolidated Balance Sheets as of December 31, 2023 and December 31, 2022, (ii) Consolidated Statements of Operations for fiscal years 2023, 2022 and 2021, (iii) Consolidated Statements of Comprehensive Income for fiscal years 2023, 2022 and 2021, (iv) Consolidated Statement of Stockholders’ Equity for fiscal years 2023, 2022 and 2021, (v) Consolidated Statements of Cash Flows for fiscal years 2023, 2022 and 2021,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7"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Section 13 or 15(d) of Securities Exchange Act of 1934, the Registrant has duly caused this report to be signed on its behalf by the undersigned, thereunto duly authorized.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32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Casella Waste Systems, Inc.</w:t>
            </w:r>
          </w:p>
        </w:tc>
      </w:tr>
      <w:tr>
        <w:trPr>
          <w:trHeight w:val="385"/>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16, 2024</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John W. Casella</w:t>
            </w:r>
          </w:p>
        </w:tc>
      </w:tr>
      <w:tr>
        <w:trPr>
          <w:trHeight w:val="214"/>
        </w:trPr>
        <w:tc>
          <w:tcPr>
            <w:tcW w:w="632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W. Casella</w:t>
            </w:r>
          </w:p>
        </w:tc>
      </w:tr>
      <w:tr>
        <w:trPr>
          <w:trHeight w:val="186"/>
        </w:trPr>
        <w:tc>
          <w:tcPr>
            <w:tcW w:w="6320" w:type="dxa"/>
            <w:vAlign w:val="bottom"/>
          </w:tcPr>
          <w:p>
            <w:pPr>
              <w:spacing w:after="0"/>
              <w:rPr>
                <w:sz w:val="16"/>
                <w:szCs w:val="16"/>
                <w:color w:val="auto"/>
              </w:rPr>
            </w:pPr>
          </w:p>
        </w:tc>
        <w:tc>
          <w:tcPr>
            <w:tcW w:w="48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Chairman of the Board of Directors and Chief</w:t>
            </w:r>
          </w:p>
        </w:tc>
      </w:tr>
      <w:tr>
        <w:trPr>
          <w:trHeight w:val="178"/>
        </w:trPr>
        <w:tc>
          <w:tcPr>
            <w:tcW w:w="6320" w:type="dxa"/>
            <w:vAlign w:val="bottom"/>
          </w:tcPr>
          <w:p>
            <w:pPr>
              <w:spacing w:after="0"/>
              <w:rPr>
                <w:sz w:val="15"/>
                <w:szCs w:val="15"/>
                <w:color w:val="auto"/>
              </w:rPr>
            </w:pPr>
          </w:p>
        </w:tc>
        <w:tc>
          <w:tcPr>
            <w:tcW w:w="488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Executive Officer</w:t>
            </w:r>
          </w:p>
        </w:tc>
      </w:tr>
      <w:tr>
        <w:trPr>
          <w:trHeight w:val="232"/>
        </w:trPr>
        <w:tc>
          <w:tcPr>
            <w:tcW w:w="632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08"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1780" w:type="dxa"/>
            <w:vAlign w:val="bottom"/>
          </w:tcPr>
          <w:p>
            <w:pPr>
              <w:jc w:val="center"/>
              <w:ind w:right="57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4"/>
        </w:trPr>
        <w:tc>
          <w:tcPr>
            <w:tcW w:w="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352"/>
        </w:trPr>
        <w:tc>
          <w:tcPr>
            <w:tcW w:w="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3"/>
              </w:rPr>
              <w:t>/s/</w:t>
            </w:r>
          </w:p>
        </w:tc>
        <w:tc>
          <w:tcPr>
            <w:tcW w:w="17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8"/>
                <w:szCs w:val="18"/>
                <w:color w:val="auto"/>
                <w:w w:val="96"/>
              </w:rPr>
              <w:t>John W. Casella</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Chairman of the Board of Directors and Chief Executive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16, 2024</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John W. Casella</w:t>
            </w:r>
          </w:p>
        </w:tc>
        <w:tc>
          <w:tcPr>
            <w:tcW w:w="120" w:type="dxa"/>
            <w:vAlign w:val="bottom"/>
          </w:tcPr>
          <w:p>
            <w:pPr>
              <w:spacing w:after="0"/>
              <w:rPr>
                <w:sz w:val="19"/>
                <w:szCs w:val="19"/>
                <w:color w:val="auto"/>
              </w:rPr>
            </w:pPr>
          </w:p>
        </w:tc>
        <w:tc>
          <w:tcPr>
            <w:tcW w:w="6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2480" w:type="dxa"/>
            <w:vAlign w:val="bottom"/>
          </w:tcPr>
          <w:p>
            <w:pPr>
              <w:spacing w:after="0"/>
              <w:rPr>
                <w:sz w:val="19"/>
                <w:szCs w:val="19"/>
                <w:color w:val="auto"/>
              </w:rPr>
            </w:pPr>
          </w:p>
        </w:tc>
      </w:tr>
      <w:tr>
        <w:trPr>
          <w:trHeight w:val="366"/>
        </w:trPr>
        <w:tc>
          <w:tcPr>
            <w:tcW w:w="2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Bradford J. Helgeson</w:t>
            </w:r>
          </w:p>
        </w:tc>
        <w:tc>
          <w:tcPr>
            <w:tcW w:w="120" w:type="dxa"/>
            <w:vAlign w:val="bottom"/>
          </w:tcPr>
          <w:p>
            <w:pPr>
              <w:spacing w:after="0"/>
              <w:rPr>
                <w:sz w:val="24"/>
                <w:szCs w:val="24"/>
                <w:color w:val="auto"/>
              </w:rPr>
            </w:pPr>
          </w:p>
        </w:tc>
        <w:tc>
          <w:tcPr>
            <w:tcW w:w="6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16, 2024</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Bradford J. Helgeson</w:t>
            </w:r>
          </w:p>
        </w:tc>
        <w:tc>
          <w:tcPr>
            <w:tcW w:w="120" w:type="dxa"/>
            <w:vAlign w:val="bottom"/>
          </w:tcPr>
          <w:p>
            <w:pPr>
              <w:spacing w:after="0"/>
              <w:rPr>
                <w:sz w:val="19"/>
                <w:szCs w:val="19"/>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(Principal Financial Officer)</w:t>
            </w:r>
          </w:p>
        </w:tc>
        <w:tc>
          <w:tcPr>
            <w:tcW w:w="2480" w:type="dxa"/>
            <w:vAlign w:val="bottom"/>
          </w:tcPr>
          <w:p>
            <w:pPr>
              <w:spacing w:after="0"/>
              <w:rPr>
                <w:sz w:val="19"/>
                <w:szCs w:val="19"/>
                <w:color w:val="auto"/>
              </w:rPr>
            </w:pPr>
          </w:p>
        </w:tc>
      </w:tr>
      <w:tr>
        <w:trPr>
          <w:trHeight w:val="366"/>
        </w:trPr>
        <w:tc>
          <w:tcPr>
            <w:tcW w:w="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3"/>
              </w:rPr>
              <w:t>/s/</w:t>
            </w:r>
          </w:p>
        </w:tc>
        <w:tc>
          <w:tcPr>
            <w:tcW w:w="1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Kevin J. Drohan</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Vice President and Chief Accounting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16, 2024</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Kevin J. Drohan</w:t>
            </w:r>
          </w:p>
        </w:tc>
        <w:tc>
          <w:tcPr>
            <w:tcW w:w="120" w:type="dxa"/>
            <w:vAlign w:val="bottom"/>
          </w:tcPr>
          <w:p>
            <w:pPr>
              <w:spacing w:after="0"/>
              <w:rPr>
                <w:sz w:val="19"/>
                <w:szCs w:val="19"/>
                <w:color w:val="auto"/>
              </w:rPr>
            </w:pPr>
          </w:p>
        </w:tc>
        <w:tc>
          <w:tcPr>
            <w:tcW w:w="6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2480" w:type="dxa"/>
            <w:vAlign w:val="bottom"/>
          </w:tcPr>
          <w:p>
            <w:pPr>
              <w:spacing w:after="0"/>
              <w:rPr>
                <w:sz w:val="19"/>
                <w:szCs w:val="19"/>
                <w:color w:val="auto"/>
              </w:rPr>
            </w:pPr>
          </w:p>
        </w:tc>
      </w:tr>
      <w:tr>
        <w:trPr>
          <w:trHeight w:val="366"/>
        </w:trPr>
        <w:tc>
          <w:tcPr>
            <w:tcW w:w="6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w:t>
            </w:r>
          </w:p>
        </w:tc>
        <w:tc>
          <w:tcPr>
            <w:tcW w:w="17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8"/>
                <w:szCs w:val="18"/>
                <w:color w:val="auto"/>
                <w:w w:val="99"/>
              </w:rPr>
              <w:t>Douglas R. Casella</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16, 2024</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Douglas R. Casella</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6"/>
        </w:trPr>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w:t>
            </w:r>
          </w:p>
        </w:tc>
        <w:tc>
          <w:tcPr>
            <w:tcW w:w="17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8"/>
                <w:szCs w:val="18"/>
                <w:color w:val="auto"/>
                <w:w w:val="97"/>
              </w:rPr>
              <w:t>Joseph G. Doody</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16, 2024</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Joseph G. Doody</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6"/>
        </w:trPr>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w:t>
            </w:r>
          </w:p>
        </w:tc>
        <w:tc>
          <w:tcPr>
            <w:tcW w:w="17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8"/>
                <w:szCs w:val="18"/>
                <w:color w:val="auto"/>
                <w:w w:val="98"/>
              </w:rPr>
              <w:t>Rose Stuckey Kirk</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16, 2024</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Rose Stuckey Kirk</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6"/>
        </w:trPr>
        <w:tc>
          <w:tcPr>
            <w:tcW w:w="6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right="593"/>
              <w:spacing w:after="0"/>
              <w:rPr>
                <w:sz w:val="20"/>
                <w:szCs w:val="20"/>
                <w:color w:val="auto"/>
              </w:rPr>
            </w:pPr>
            <w:r>
              <w:rPr>
                <w:rFonts w:ascii="Times New Roman" w:cs="Times New Roman" w:eastAsia="Times New Roman" w:hAnsi="Times New Roman"/>
                <w:sz w:val="18"/>
                <w:szCs w:val="18"/>
                <w:color w:val="auto"/>
              </w:rPr>
              <w:t>/s/  Gary Sova</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16, 2024</w:t>
            </w:r>
          </w:p>
        </w:tc>
      </w:tr>
      <w:tr>
        <w:trPr>
          <w:trHeight w:val="225"/>
        </w:trPr>
        <w:tc>
          <w:tcPr>
            <w:tcW w:w="680" w:type="dxa"/>
            <w:vAlign w:val="bottom"/>
          </w:tcPr>
          <w:p>
            <w:pPr>
              <w:spacing w:after="0"/>
              <w:rPr>
                <w:sz w:val="19"/>
                <w:szCs w:val="19"/>
                <w:color w:val="auto"/>
              </w:rPr>
            </w:pPr>
          </w:p>
        </w:tc>
        <w:tc>
          <w:tcPr>
            <w:tcW w:w="1780" w:type="dxa"/>
            <w:vAlign w:val="bottom"/>
          </w:tcPr>
          <w:p>
            <w:pPr>
              <w:jc w:val="center"/>
              <w:ind w:right="573"/>
              <w:spacing w:after="0"/>
              <w:rPr>
                <w:sz w:val="20"/>
                <w:szCs w:val="20"/>
                <w:color w:val="auto"/>
              </w:rPr>
            </w:pPr>
            <w:r>
              <w:rPr>
                <w:rFonts w:ascii="Times New Roman" w:cs="Times New Roman" w:eastAsia="Times New Roman" w:hAnsi="Times New Roman"/>
                <w:sz w:val="18"/>
                <w:szCs w:val="18"/>
                <w:color w:val="auto"/>
                <w:w w:val="99"/>
              </w:rPr>
              <w:t>Gary Sova</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6"/>
        </w:trPr>
        <w:tc>
          <w:tcPr>
            <w:tcW w:w="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w:t>
            </w:r>
          </w:p>
        </w:tc>
        <w:tc>
          <w:tcPr>
            <w:tcW w:w="178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8"/>
                <w:szCs w:val="18"/>
                <w:color w:val="auto"/>
                <w:w w:val="96"/>
              </w:rPr>
              <w:t>William P. Hulligan</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16, 2024</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William P. Hulligan</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6"/>
        </w:trPr>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w:t>
            </w:r>
          </w:p>
        </w:tc>
        <w:tc>
          <w:tcPr>
            <w:tcW w:w="17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8"/>
                <w:szCs w:val="18"/>
                <w:color w:val="auto"/>
                <w:w w:val="97"/>
              </w:rPr>
              <w:t>Michael K. Burke</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16, 2024</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Michael K. Burke</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6"/>
        </w:trPr>
        <w:tc>
          <w:tcPr>
            <w:tcW w:w="2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Michael L. Battles</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16, 2024</w:t>
            </w:r>
          </w:p>
        </w:tc>
      </w:tr>
      <w:tr>
        <w:trPr>
          <w:trHeight w:val="225"/>
        </w:trPr>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Michael L. Battles</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67"/>
        </w:trPr>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w:t>
            </w:r>
          </w:p>
        </w:tc>
        <w:tc>
          <w:tcPr>
            <w:tcW w:w="178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8"/>
              </w:rPr>
              <w:t>Emily Nagle Green</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16,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15621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5">
                      <a:extLst>
                        <a:ext uri="{28A0092B-C50C-407E-A947-70E740481C1C}"/>
                      </a:extLst>
                    </a:blip>
                    <a:srcRect/>
                    <a:stretch>
                      <a:fillRect/>
                    </a:stretch>
                  </pic:blipFill>
                  <pic:spPr bwMode="auto">
                    <a:xfrm>
                      <a:off x="0" y="0"/>
                      <a:ext cx="1562100" cy="8255"/>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Emily Nagle Green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15"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4"/>
        </w:trPr>
        <w:tc>
          <w:tcPr>
            <w:tcW w:w="5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19"/>
        </w:trPr>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171 Church Street, LLC</w:t>
            </w:r>
          </w:p>
        </w:tc>
        <w:tc>
          <w:tcPr>
            <w:tcW w:w="140" w:type="dxa"/>
            <w:vAlign w:val="bottom"/>
            <w:shd w:val="clear" w:color="auto" w:fill="CCEEFF"/>
          </w:tcPr>
          <w:p>
            <w:pPr>
              <w:spacing w:after="0"/>
              <w:rPr>
                <w:sz w:val="19"/>
                <w:szCs w:val="19"/>
                <w:color w:val="auto"/>
              </w:rPr>
            </w:pP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AGreen Energy,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All Cycle Waste,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BGreen Energy,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Blow Bros.</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Maine</w:t>
            </w:r>
          </w:p>
        </w:tc>
      </w:tr>
      <w:tr>
        <w:trPr>
          <w:trHeight w:val="226"/>
        </w:trPr>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Brattleboro Salvage Company,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Bristol Waste Management,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C.V. Landfill,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Casella Major Account Services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Casella Mid-Atlantic,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Casella of Holyoke,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Casella Recycling,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Maine</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Casella Transportation,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Casella Waste Management of Massachusetts,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Casella Waste Management of N.Y.,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Casella Waste Management of Pennsylvania,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Casella Waste Management,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Casella Waste Services of Ontario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Chemung Landfill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County Waste of Pennsylvania,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Evergreen National Indemnity Company</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Ohio</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Forest Acquisitions,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Hampshire</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Granite State Landfill,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Hampshire</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GreenerU,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GroundCo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Hakes C &amp; D Disposal,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Hardwick Landfill,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Hiram Hollow Regeneration Corp.</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KTI Environmental Group,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KTI Specialty Waste Services,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Maine</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KTI,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New England Waste Services of ME,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Maine</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New England Waste Services of N.Y.,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New England Waste Services of Vermont,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New England Waste Services,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Newbury Waste Management,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NEWS of Worcester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NEWSME Landfill Operations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Maine</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North Country Environmental Services,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Northern Properties Corporation of Plattsburgh</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North Rd,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Oxford Transfer Station,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Pine Tree Waste,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Maine</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Pink Trash Company,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Portland C&amp;D Site,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Schultz Landfill,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Southbridge Recycling &amp; Disposal Park,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Southern Tier Recyclers,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Sunderland Waste Management,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TAM,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TAM Organics,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TAM Recycling,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Taylor Garbage Service,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The Hyland Facility Associates</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Tompkins County Recycling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Waste Industries of Delaware,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6"/>
        </w:trPr>
        <w:tc>
          <w:tcPr>
            <w:tcW w:w="5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Waste Industries of Maryland, LLC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6"/>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Waste Industries of Pennsylvania, LLC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6"/>
        </w:trPr>
        <w:tc>
          <w:tcPr>
            <w:tcW w:w="5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Waste-Stream Inc.</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32"/>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Willimantic Waste Paper Co., Inc.</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Connecticut</w:t>
            </w:r>
          </w:p>
        </w:tc>
      </w:tr>
    </w:tbl>
    <w:p>
      <w:pPr>
        <w:sectPr>
          <w:pgSz w:w="11900" w:h="16838" w:orient="portrait"/>
          <w:cols w:equalWidth="0" w:num="1">
            <w:col w:w="11240"/>
          </w:cols>
          <w:pgMar w:left="320" w:top="877" w:right="339" w:bottom="1037"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6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(Nos. 333-40267, 333-43537, 333-43539, 333-43541, 333-43543, 333-43635, 333-67487, 333-92735, 333-31022, 333-100553, 333-141038, 333-163645, 333-175010, 333-199685, 333-214683 and 333-272392) and on Form S-3 (Nos. 333-85279, 333-88097, 333-95841, 333-31268, and 333-260602) of Casella Waste Systems, Inc. of our report dated February 16, 2024, relating to the consolidated financial statements, and the effectiveness of internal control over financial reporting of Casella Waste Systems, Inc. and subsidiaries, appearing in this Annual Report on Form 10-K of Casella Waste Systems, Inc.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2024</w:t>
      </w:r>
    </w:p>
    <w:p>
      <w:pPr>
        <w:sectPr>
          <w:pgSz w:w="11900" w:h="16838" w:orient="portrait"/>
          <w:cols w:equalWidth="0" w:num="1">
            <w:col w:w="11240"/>
          </w:cols>
          <w:pgMar w:left="320" w:top="87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Casella, certify that:</w:t>
      </w:r>
    </w:p>
    <w:p>
      <w:pPr>
        <w:spacing w:after="0" w:line="112" w:lineRule="exact"/>
        <w:rPr>
          <w:sz w:val="20"/>
          <w:szCs w:val="20"/>
          <w:color w:val="auto"/>
        </w:rPr>
      </w:pPr>
    </w:p>
    <w:p>
      <w:pPr>
        <w:ind w:left="640" w:hanging="235"/>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Casella Waste Systems, Inc.;</w:t>
      </w:r>
    </w:p>
    <w:p>
      <w:pPr>
        <w:spacing w:after="0" w:line="112" w:lineRule="exact"/>
        <w:rPr>
          <w:rFonts w:ascii="Times New Roman" w:cs="Times New Roman" w:eastAsia="Times New Roman" w:hAnsi="Times New Roman"/>
          <w:sz w:val="18"/>
          <w:szCs w:val="18"/>
          <w:color w:val="auto"/>
        </w:rPr>
      </w:pPr>
    </w:p>
    <w:p>
      <w:pPr>
        <w:jc w:val="center"/>
        <w:ind w:left="400" w:right="40" w:firstLine="5"/>
        <w:spacing w:after="0" w:line="305" w:lineRule="auto"/>
        <w:tabs>
          <w:tab w:leader="none" w:pos="63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400" w:right="260" w:firstLine="5"/>
        <w:spacing w:after="0" w:line="275" w:lineRule="auto"/>
        <w:tabs>
          <w:tab w:leader="none" w:pos="63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400" w:right="100" w:firstLine="5"/>
        <w:spacing w:after="0" w:line="261" w:lineRule="auto"/>
        <w:tabs>
          <w:tab w:leader="none" w:pos="63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400" w:right="80" w:firstLine="484"/>
        <w:spacing w:after="0" w:line="261" w:lineRule="auto"/>
        <w:tabs>
          <w:tab w:leader="none" w:pos="126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400" w:right="300" w:firstLine="484"/>
        <w:spacing w:after="0" w:line="261" w:lineRule="auto"/>
        <w:tabs>
          <w:tab w:leader="none" w:pos="126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400" w:right="420" w:firstLine="484"/>
        <w:spacing w:after="0" w:line="275" w:lineRule="auto"/>
        <w:tabs>
          <w:tab w:leader="none" w:pos="126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ind w:left="400" w:right="20" w:firstLine="484"/>
        <w:spacing w:after="0" w:line="261" w:lineRule="auto"/>
        <w:tabs>
          <w:tab w:leader="none" w:pos="126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400" w:right="180" w:firstLine="5"/>
        <w:spacing w:after="0" w:line="275" w:lineRule="auto"/>
        <w:tabs>
          <w:tab w:leader="none" w:pos="63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400" w:right="620" w:firstLine="484"/>
        <w:spacing w:after="0" w:line="275" w:lineRule="auto"/>
        <w:tabs>
          <w:tab w:leader="none" w:pos="126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400" w:right="320" w:firstLine="484"/>
        <w:spacing w:after="0" w:line="275" w:lineRule="auto"/>
        <w:tabs>
          <w:tab w:leader="none" w:pos="126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16, 2024</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John W. Casella</w:t>
            </w:r>
          </w:p>
        </w:tc>
      </w:tr>
      <w:tr>
        <w:trPr>
          <w:trHeight w:val="212"/>
        </w:trPr>
        <w:tc>
          <w:tcPr>
            <w:tcW w:w="55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W. Casella</w:t>
            </w:r>
          </w:p>
        </w:tc>
      </w:tr>
      <w:tr>
        <w:trPr>
          <w:trHeight w:val="226"/>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r>
      <w:tr>
        <w:trPr>
          <w:trHeight w:val="234"/>
        </w:trPr>
        <w:tc>
          <w:tcPr>
            <w:tcW w:w="5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87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Bradford J. Helgeson, certify that:</w:t>
      </w:r>
    </w:p>
    <w:p>
      <w:pPr>
        <w:spacing w:after="0" w:line="112" w:lineRule="exact"/>
        <w:rPr>
          <w:sz w:val="20"/>
          <w:szCs w:val="20"/>
          <w:color w:val="auto"/>
        </w:rPr>
      </w:pPr>
    </w:p>
    <w:p>
      <w:pPr>
        <w:ind w:left="640" w:hanging="235"/>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Casella Waste Systems, Inc.;</w:t>
      </w:r>
    </w:p>
    <w:p>
      <w:pPr>
        <w:spacing w:after="0" w:line="112" w:lineRule="exact"/>
        <w:rPr>
          <w:rFonts w:ascii="Times New Roman" w:cs="Times New Roman" w:eastAsia="Times New Roman" w:hAnsi="Times New Roman"/>
          <w:sz w:val="18"/>
          <w:szCs w:val="18"/>
          <w:color w:val="auto"/>
        </w:rPr>
      </w:pPr>
    </w:p>
    <w:p>
      <w:pPr>
        <w:jc w:val="center"/>
        <w:ind w:left="400" w:right="40" w:firstLine="5"/>
        <w:spacing w:after="0" w:line="305" w:lineRule="auto"/>
        <w:tabs>
          <w:tab w:leader="none" w:pos="63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400" w:right="260" w:firstLine="5"/>
        <w:spacing w:after="0" w:line="275" w:lineRule="auto"/>
        <w:tabs>
          <w:tab w:leader="none" w:pos="63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400" w:right="100" w:firstLine="5"/>
        <w:spacing w:after="0" w:line="261" w:lineRule="auto"/>
        <w:tabs>
          <w:tab w:leader="none" w:pos="63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400" w:right="80" w:firstLine="484"/>
        <w:spacing w:after="0" w:line="261" w:lineRule="auto"/>
        <w:tabs>
          <w:tab w:leader="none" w:pos="126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400" w:right="300" w:firstLine="484"/>
        <w:spacing w:after="0" w:line="261" w:lineRule="auto"/>
        <w:tabs>
          <w:tab w:leader="none" w:pos="126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400" w:right="420" w:firstLine="484"/>
        <w:spacing w:after="0" w:line="275" w:lineRule="auto"/>
        <w:tabs>
          <w:tab w:leader="none" w:pos="126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ind w:left="400" w:right="20" w:firstLine="484"/>
        <w:spacing w:after="0" w:line="261" w:lineRule="auto"/>
        <w:tabs>
          <w:tab w:leader="none" w:pos="126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400" w:right="180" w:firstLine="5"/>
        <w:spacing w:after="0" w:line="275" w:lineRule="auto"/>
        <w:tabs>
          <w:tab w:leader="none" w:pos="63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400" w:right="620" w:firstLine="484"/>
        <w:spacing w:after="0" w:line="275" w:lineRule="auto"/>
        <w:tabs>
          <w:tab w:leader="none" w:pos="126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400" w:right="320" w:firstLine="484"/>
        <w:spacing w:after="0" w:line="275" w:lineRule="auto"/>
        <w:tabs>
          <w:tab w:leader="none" w:pos="126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tbl>
      <w:tblPr>
        <w:tblLayout w:type="fixed"/>
        <w:tblInd w:w="420" w:type="dxa"/>
        <w:tblCellMar>
          <w:top w:w="0" w:type="dxa"/>
          <w:left w:w="0" w:type="dxa"/>
          <w:bottom w:w="0" w:type="dxa"/>
          <w:right w:w="0" w:type="dxa"/>
        </w:tblCellMar>
      </w:tblPr>
      <w:tr>
        <w:trPr>
          <w:trHeight w:val="231"/>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16, 2024</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Bradford J. Helgeson</w:t>
            </w:r>
          </w:p>
        </w:tc>
      </w:tr>
      <w:tr>
        <w:trPr>
          <w:trHeight w:val="212"/>
        </w:trPr>
        <w:tc>
          <w:tcPr>
            <w:tcW w:w="43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26"/>
        </w:trPr>
        <w:tc>
          <w:tcPr>
            <w:tcW w:w="438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34"/>
        </w:trPr>
        <w:tc>
          <w:tcPr>
            <w:tcW w:w="43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87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§1350</w:t>
      </w:r>
    </w:p>
    <w:p>
      <w:pPr>
        <w:spacing w:after="0" w:line="200" w:lineRule="exact"/>
        <w:rPr>
          <w:sz w:val="20"/>
          <w:szCs w:val="20"/>
          <w:color w:val="auto"/>
        </w:rPr>
      </w:pPr>
    </w:p>
    <w:p>
      <w:pPr>
        <w:spacing w:after="0" w:line="286" w:lineRule="exact"/>
        <w:rPr>
          <w:sz w:val="20"/>
          <w:szCs w:val="20"/>
          <w:color w:val="auto"/>
        </w:rPr>
      </w:pPr>
    </w:p>
    <w:p>
      <w:pPr>
        <w:ind w:right="60" w:firstLine="319"/>
        <w:spacing w:after="0" w:line="261"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Annual Report on Form 10-K for the fiscal year ended December 31, 2023 fully complies with the requirements of Section 13(a) or 15(d) of the Securities Exchange Act of 1934 and that the information contained in this report fairly presents, in all material respects, the financial condition and results of operations of Casella Waste Systems, Inc.</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31"/>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16, 2024</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John W. Casella</w:t>
            </w:r>
          </w:p>
        </w:tc>
      </w:tr>
      <w:tr>
        <w:trPr>
          <w:trHeight w:val="212"/>
        </w:trPr>
        <w:tc>
          <w:tcPr>
            <w:tcW w:w="568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John W. Casella</w:t>
            </w:r>
          </w:p>
        </w:tc>
      </w:tr>
      <w:tr>
        <w:trPr>
          <w:trHeight w:val="226"/>
        </w:trPr>
        <w:tc>
          <w:tcPr>
            <w:tcW w:w="568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Chairman and Chief Executive Officer</w:t>
            </w:r>
          </w:p>
        </w:tc>
      </w:tr>
      <w:tr>
        <w:trPr>
          <w:trHeight w:val="234"/>
        </w:trPr>
        <w:tc>
          <w:tcPr>
            <w:tcW w:w="568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Executive Officer)</w:t>
            </w:r>
          </w:p>
        </w:tc>
      </w:tr>
      <w:tr>
        <w:trPr>
          <w:trHeight w:val="491"/>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16, 2024</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Bradford J. Helgeson</w:t>
            </w:r>
          </w:p>
        </w:tc>
      </w:tr>
      <w:tr>
        <w:trPr>
          <w:trHeight w:val="212"/>
        </w:trPr>
        <w:tc>
          <w:tcPr>
            <w:tcW w:w="568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Bradford J. Helgeson</w:t>
            </w:r>
          </w:p>
        </w:tc>
      </w:tr>
      <w:tr>
        <w:trPr>
          <w:trHeight w:val="226"/>
        </w:trPr>
        <w:tc>
          <w:tcPr>
            <w:tcW w:w="568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Executive Vice President and Chief Financial Officer</w:t>
            </w:r>
          </w:p>
        </w:tc>
      </w:tr>
      <w:tr>
        <w:trPr>
          <w:trHeight w:val="234"/>
        </w:trPr>
        <w:tc>
          <w:tcPr>
            <w:tcW w:w="568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w:t>
            </w:r>
          </w:p>
        </w:tc>
      </w:tr>
    </w:tbl>
    <w:p>
      <w:pPr>
        <w:sectPr>
          <w:pgSz w:w="11900" w:h="16838" w:orient="portrait"/>
          <w:cols w:equalWidth="0" w:num="1">
            <w:col w:w="11240"/>
          </w:cols>
          <w:pgMar w:left="320" w:top="87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CASELLA WASTE SYSTEMS,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COMPENSATION CLAWBACK POLICY</w:t>
      </w:r>
    </w:p>
    <w:p>
      <w:pPr>
        <w:spacing w:after="0" w:line="228"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1"/>
          <w:szCs w:val="21"/>
          <w:color w:val="auto"/>
        </w:rPr>
        <w:t>This Amended and Restated Clawback Policy (this “Policy”), adopted by Casella Waste Systems, Inc. (the “Company”), relates to the Company’s right to recover compensation previously paid to specified employees in certain circumstances, including the recovery of Erroneously Awarded Compensation (as defined below) in accordance with Nasdaq Listing Rule 5608 (“Rule 5608”), which implements Rule 10D-1 under the Securities Exchange Act of 1934, as amended (the “Exchange Act”) (as promulgated pursuant to Section 954 of the Dodd-Frank Wall Street Reform and Consumer Protection Act of 2010).</w:t>
      </w:r>
    </w:p>
    <w:p>
      <w:pPr>
        <w:spacing w:after="0" w:line="162" w:lineRule="exact"/>
        <w:rPr>
          <w:sz w:val="20"/>
          <w:szCs w:val="20"/>
          <w:color w:val="auto"/>
        </w:rPr>
      </w:pPr>
    </w:p>
    <w:p>
      <w:pPr>
        <w:ind w:left="640" w:hanging="634"/>
        <w:spacing w:after="0"/>
        <w:tabs>
          <w:tab w:leader="none" w:pos="640"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p>
    <w:p>
      <w:pPr>
        <w:spacing w:after="0" w:line="170" w:lineRule="exact"/>
        <w:rPr>
          <w:rFonts w:ascii="Times New Roman" w:cs="Times New Roman" w:eastAsia="Times New Roman" w:hAnsi="Times New Roman"/>
          <w:sz w:val="21"/>
          <w:szCs w:val="21"/>
          <w:b w:val="1"/>
          <w:bCs w:val="1"/>
          <w:color w:val="auto"/>
        </w:rPr>
      </w:pPr>
    </w:p>
    <w:p>
      <w:pPr>
        <w:ind w:right="20" w:firstLine="645"/>
        <w:spacing w:after="0" w:line="258" w:lineRule="auto"/>
        <w:tabs>
          <w:tab w:leader="none" w:pos="1273"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“Accounting Restatement” </w:t>
      </w:r>
      <w:r>
        <w:rPr>
          <w:rFonts w:ascii="Times New Roman" w:cs="Times New Roman" w:eastAsia="Times New Roman" w:hAnsi="Times New Roman"/>
          <w:sz w:val="21"/>
          <w:szCs w:val="21"/>
          <w:color w:val="auto"/>
        </w:rPr>
        <w:t>means a requirement that the Company prepare an accounting restatement due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noncompliance of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Changes to the Company’s financial statements that do not represent error corrections are not an Accounting Restatement, including: (A) retrospective application of a change in accounting principle; (B) retrospective revision to reportable segment information due to a change in the structure of the Company’s internal organization; (C) retrospective reclassification due to a discontinued operation; (D) retrospective application of a change in reporting entity, such as from a reorganization of entities under common control; and (E) retrospective revision for stock splits, reverse stock splits, stock dividends or other changes in capital structure.</w:t>
      </w:r>
    </w:p>
    <w:p>
      <w:pPr>
        <w:spacing w:after="0" w:line="116" w:lineRule="exact"/>
        <w:rPr>
          <w:rFonts w:ascii="Times New Roman" w:cs="Times New Roman" w:eastAsia="Times New Roman" w:hAnsi="Times New Roman"/>
          <w:sz w:val="21"/>
          <w:szCs w:val="21"/>
          <w:color w:val="auto"/>
        </w:rPr>
      </w:pPr>
    </w:p>
    <w:p>
      <w:pPr>
        <w:ind w:left="1280" w:hanging="635"/>
        <w:spacing w:after="0"/>
        <w:tabs>
          <w:tab w:leader="none" w:pos="128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“Committee” </w:t>
      </w:r>
      <w:r>
        <w:rPr>
          <w:rFonts w:ascii="Times New Roman" w:cs="Times New Roman" w:eastAsia="Times New Roman" w:hAnsi="Times New Roman"/>
          <w:sz w:val="21"/>
          <w:szCs w:val="21"/>
          <w:color w:val="auto"/>
        </w:rPr>
        <w:t>means the Compensation and Human Capital Committee of the Company’s Board of Directors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“Board”).</w:t>
      </w:r>
    </w:p>
    <w:p>
      <w:pPr>
        <w:spacing w:after="0" w:line="142" w:lineRule="exact"/>
        <w:rPr>
          <w:rFonts w:ascii="Times New Roman" w:cs="Times New Roman" w:eastAsia="Times New Roman" w:hAnsi="Times New Roman"/>
          <w:sz w:val="21"/>
          <w:szCs w:val="21"/>
          <w:color w:val="auto"/>
        </w:rPr>
      </w:pPr>
    </w:p>
    <w:p>
      <w:pPr>
        <w:ind w:right="100" w:firstLine="645"/>
        <w:spacing w:after="0" w:line="277" w:lineRule="auto"/>
        <w:tabs>
          <w:tab w:leader="none" w:pos="1273"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“Covered Person” </w:t>
      </w:r>
      <w:r>
        <w:rPr>
          <w:rFonts w:ascii="Times New Roman" w:cs="Times New Roman" w:eastAsia="Times New Roman" w:hAnsi="Times New Roman"/>
          <w:sz w:val="21"/>
          <w:szCs w:val="21"/>
          <w:color w:val="auto"/>
        </w:rPr>
        <w:t>means a person who served as an Executive Officer at any time during the performance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the applicable Incentive-Based Compensation. This Policy (or designated portions hereof as the case may be) will also apply to such other employees (or classes of employees), as the Committee may designate from time to time as Covered Persons.</w:t>
      </w:r>
    </w:p>
    <w:p>
      <w:pPr>
        <w:spacing w:after="0" w:line="94" w:lineRule="exact"/>
        <w:rPr>
          <w:rFonts w:ascii="Times New Roman" w:cs="Times New Roman" w:eastAsia="Times New Roman" w:hAnsi="Times New Roman"/>
          <w:sz w:val="21"/>
          <w:szCs w:val="21"/>
          <w:color w:val="auto"/>
        </w:rPr>
      </w:pPr>
    </w:p>
    <w:p>
      <w:pPr>
        <w:ind w:right="140" w:firstLine="645"/>
        <w:spacing w:after="0" w:line="258" w:lineRule="auto"/>
        <w:tabs>
          <w:tab w:leader="none" w:pos="1272"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“Erroneously Awarded Compensation” </w:t>
      </w:r>
      <w:r>
        <w:rPr>
          <w:rFonts w:ascii="Times New Roman" w:cs="Times New Roman" w:eastAsia="Times New Roman" w:hAnsi="Times New Roman"/>
          <w:sz w:val="21"/>
          <w:szCs w:val="21"/>
          <w:color w:val="auto"/>
        </w:rPr>
        <w:t>means the amount of Incentive-Based Compensation that was Received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exceeds the amount of Incentive-Based Compensation that otherwise would have been Received had the amount of Incentive-Based Compensation been determined based on the restated amounts, computed without regard to any taxes paid by the Covered Person or Participating Employee or by the Company on behalf of the Covered Person or Participating Employee.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based on a reasonable estimate by the Committee of the effect of the Accounting Restatement on the stock price or total shareholder</w:t>
      </w:r>
    </w:p>
    <w:p>
      <w:pPr>
        <w:sectPr>
          <w:pgSz w:w="11900" w:h="16838" w:orient="portrait"/>
          <w:cols w:equalWidth="0" w:num="1">
            <w:col w:w="11240"/>
          </w:cols>
          <w:pgMar w:left="320" w:top="105" w:right="339" w:bottom="1440" w:gutter="0" w:footer="0" w:header="0"/>
        </w:sectPr>
      </w:pPr>
    </w:p>
    <w:bookmarkStart w:id="122" w:name="page123"/>
    <w:bookmarkEnd w:id="122"/>
    <w:p>
      <w:pPr>
        <w:spacing w:after="0" w:line="295" w:lineRule="exact"/>
        <w:rPr>
          <w:sz w:val="20"/>
          <w:szCs w:val="20"/>
          <w:color w:val="auto"/>
        </w:rPr>
      </w:pPr>
    </w:p>
    <w:p>
      <w:pPr>
        <w:ind w:right="1020"/>
        <w:spacing w:after="0" w:line="300" w:lineRule="auto"/>
        <w:rPr>
          <w:sz w:val="20"/>
          <w:szCs w:val="20"/>
          <w:color w:val="auto"/>
        </w:rPr>
      </w:pPr>
      <w:r>
        <w:rPr>
          <w:rFonts w:ascii="Times New Roman" w:cs="Times New Roman" w:eastAsia="Times New Roman" w:hAnsi="Times New Roman"/>
          <w:sz w:val="21"/>
          <w:szCs w:val="21"/>
          <w:color w:val="auto"/>
        </w:rPr>
        <w:t>return upon which the Incentive-Based Compensation was Received. The Company will maintain documentation of the determination of that reasonable estimate and provide such documentation to Nasdaq.</w:t>
      </w:r>
    </w:p>
    <w:p>
      <w:pPr>
        <w:spacing w:after="0" w:line="70" w:lineRule="exact"/>
        <w:rPr>
          <w:sz w:val="20"/>
          <w:szCs w:val="20"/>
          <w:color w:val="auto"/>
        </w:rPr>
      </w:pPr>
    </w:p>
    <w:p>
      <w:pPr>
        <w:ind w:left="1280" w:hanging="635"/>
        <w:spacing w:after="0"/>
        <w:tabs>
          <w:tab w:leader="none" w:pos="128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“Executive Officer” </w:t>
      </w:r>
      <w:r>
        <w:rPr>
          <w:rFonts w:ascii="Times New Roman" w:cs="Times New Roman" w:eastAsia="Times New Roman" w:hAnsi="Times New Roman"/>
          <w:sz w:val="21"/>
          <w:szCs w:val="21"/>
          <w:color w:val="auto"/>
        </w:rPr>
        <w:t>means the Company’s officers as defined in Rule 16a-1(f) under the Exchange Act.</w:t>
      </w:r>
    </w:p>
    <w:p>
      <w:pPr>
        <w:spacing w:after="0" w:line="170" w:lineRule="exact"/>
        <w:rPr>
          <w:rFonts w:ascii="Times New Roman" w:cs="Times New Roman" w:eastAsia="Times New Roman" w:hAnsi="Times New Roman"/>
          <w:sz w:val="21"/>
          <w:szCs w:val="21"/>
          <w:color w:val="auto"/>
        </w:rPr>
      </w:pPr>
    </w:p>
    <w:p>
      <w:pPr>
        <w:jc w:val="both"/>
        <w:ind w:right="80" w:firstLine="645"/>
        <w:spacing w:after="0" w:line="264" w:lineRule="auto"/>
        <w:tabs>
          <w:tab w:leader="none" w:pos="1276"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“Financial Reporting Measures” </w:t>
      </w:r>
      <w:r>
        <w:rPr>
          <w:rFonts w:ascii="Times New Roman" w:cs="Times New Roman" w:eastAsia="Times New Roman" w:hAnsi="Times New Roman"/>
          <w:sz w:val="21"/>
          <w:szCs w:val="21"/>
          <w:color w:val="auto"/>
        </w:rPr>
        <w:t>means (A) measures that are determined and presented in accordance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accounting principles used in preparing the Company’s financial statements, and any measures that are derived wholly or in part from such measures (whether or not such measures are presented within the Company’s financial statements or included in a filing made with the U.S. Securities and Exchange Commission), (B) stock price and (C) total shareholder return.</w:t>
      </w:r>
    </w:p>
    <w:p>
      <w:pPr>
        <w:spacing w:after="0" w:line="120" w:lineRule="exact"/>
        <w:rPr>
          <w:rFonts w:ascii="Times New Roman" w:cs="Times New Roman" w:eastAsia="Times New Roman" w:hAnsi="Times New Roman"/>
          <w:sz w:val="21"/>
          <w:szCs w:val="21"/>
          <w:color w:val="auto"/>
        </w:rPr>
      </w:pPr>
    </w:p>
    <w:p>
      <w:pPr>
        <w:ind w:right="260" w:firstLine="645"/>
        <w:spacing w:after="0" w:line="290" w:lineRule="auto"/>
        <w:tabs>
          <w:tab w:leader="none" w:pos="1272"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“Incentive-Based Compensation” </w:t>
      </w:r>
      <w:r>
        <w:rPr>
          <w:rFonts w:ascii="Times New Roman" w:cs="Times New Roman" w:eastAsia="Times New Roman" w:hAnsi="Times New Roman"/>
          <w:sz w:val="21"/>
          <w:szCs w:val="21"/>
          <w:color w:val="auto"/>
        </w:rPr>
        <w:t>means any compensation that is granted, earned, or vested based wholly or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 upon the attainment of a Financial Reporting Measure.</w:t>
      </w:r>
    </w:p>
    <w:p>
      <w:pPr>
        <w:spacing w:after="0" w:line="81" w:lineRule="exact"/>
        <w:rPr>
          <w:rFonts w:ascii="Times New Roman" w:cs="Times New Roman" w:eastAsia="Times New Roman" w:hAnsi="Times New Roman"/>
          <w:sz w:val="21"/>
          <w:szCs w:val="21"/>
          <w:color w:val="auto"/>
        </w:rPr>
      </w:pPr>
    </w:p>
    <w:p>
      <w:pPr>
        <w:ind w:right="200" w:firstLine="645"/>
        <w:spacing w:after="0" w:line="290" w:lineRule="auto"/>
        <w:tabs>
          <w:tab w:leader="none" w:pos="1272"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“Participating Employee</w:t>
      </w:r>
      <w:r>
        <w:rPr>
          <w:rFonts w:ascii="Times New Roman" w:cs="Times New Roman" w:eastAsia="Times New Roman" w:hAnsi="Times New Roman"/>
          <w:sz w:val="21"/>
          <w:szCs w:val="21"/>
          <w:color w:val="auto"/>
        </w:rPr>
        <w:t>” means a person who is not a Covered Person and was an employee of the Company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time during the performance period for the applicable Incentive-Based Compensation.</w:t>
      </w:r>
    </w:p>
    <w:p>
      <w:pPr>
        <w:spacing w:after="0" w:line="81" w:lineRule="exact"/>
        <w:rPr>
          <w:rFonts w:ascii="Times New Roman" w:cs="Times New Roman" w:eastAsia="Times New Roman" w:hAnsi="Times New Roman"/>
          <w:sz w:val="21"/>
          <w:szCs w:val="21"/>
          <w:color w:val="auto"/>
        </w:rPr>
      </w:pPr>
    </w:p>
    <w:p>
      <w:pPr>
        <w:ind w:right="200" w:firstLine="645"/>
        <w:spacing w:after="0" w:line="268" w:lineRule="auto"/>
        <w:tabs>
          <w:tab w:leader="none" w:pos="1264"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Incentive-Based Compensation is deemed to be </w:t>
      </w:r>
      <w:r>
        <w:rPr>
          <w:rFonts w:ascii="Times New Roman" w:cs="Times New Roman" w:eastAsia="Times New Roman" w:hAnsi="Times New Roman"/>
          <w:sz w:val="21"/>
          <w:szCs w:val="21"/>
          <w:b w:val="1"/>
          <w:bCs w:val="1"/>
          <w:color w:val="auto"/>
        </w:rPr>
        <w:t>“Received”</w:t>
      </w:r>
      <w:r>
        <w:rPr>
          <w:rFonts w:ascii="Times New Roman" w:cs="Times New Roman" w:eastAsia="Times New Roman" w:hAnsi="Times New Roman"/>
          <w:sz w:val="21"/>
          <w:szCs w:val="21"/>
          <w:color w:val="auto"/>
        </w:rPr>
        <w:t xml:space="preserve"> in the Company’s fiscal period during which the Financial Reporting Measure specified in the applicable Incentive-Based Compensation award is attained, even if the payment or grant of the Incentive-Based Compensation occurs after the end of that period or is subject to additional time-based vesting requirements.</w:t>
      </w:r>
    </w:p>
    <w:p>
      <w:pPr>
        <w:spacing w:after="0" w:line="104" w:lineRule="exact"/>
        <w:rPr>
          <w:rFonts w:ascii="Times New Roman" w:cs="Times New Roman" w:eastAsia="Times New Roman" w:hAnsi="Times New Roman"/>
          <w:sz w:val="21"/>
          <w:szCs w:val="21"/>
          <w:color w:val="auto"/>
        </w:rPr>
      </w:pPr>
    </w:p>
    <w:p>
      <w:pPr>
        <w:ind w:right="80" w:firstLine="645"/>
        <w:spacing w:after="0" w:line="264" w:lineRule="auto"/>
        <w:tabs>
          <w:tab w:leader="none" w:pos="1264"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“Recovery Period” </w:t>
      </w:r>
      <w:r>
        <w:rPr>
          <w:rFonts w:ascii="Times New Roman" w:cs="Times New Roman" w:eastAsia="Times New Roman" w:hAnsi="Times New Roman"/>
          <w:sz w:val="21"/>
          <w:szCs w:val="21"/>
          <w:color w:val="auto"/>
        </w:rPr>
        <w:t>means the three completed fiscal years immediately preceding the earlier of: (A) the date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Board, a committee of the Board, or the officer or officers of the Company authorized to take such action if Board action is not required, concludes, or reasonably should have concluded, that the Company is required to prepare an Accounting Restatement; or</w:t>
      </w:r>
    </w:p>
    <w:p>
      <w:pPr>
        <w:spacing w:after="0" w:line="2" w:lineRule="exact"/>
        <w:rPr>
          <w:rFonts w:ascii="Times New Roman" w:cs="Times New Roman" w:eastAsia="Times New Roman" w:hAnsi="Times New Roman"/>
          <w:sz w:val="21"/>
          <w:szCs w:val="21"/>
          <w:color w:val="auto"/>
        </w:rPr>
      </w:pPr>
    </w:p>
    <w:p>
      <w:pPr>
        <w:ind w:right="280" w:firstLine="6"/>
        <w:spacing w:after="0" w:line="257" w:lineRule="auto"/>
        <w:tabs>
          <w:tab w:leader="none" w:pos="33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a court, regulator, or other legally authorized body directs the Company to prepare an Accounting Restatement. In addition, if there is a change in the Company’s fiscal year end, the Recovery Period will also include any transition period to the extent required by Rule 5608.</w:t>
      </w:r>
    </w:p>
    <w:p>
      <w:pPr>
        <w:spacing w:after="0" w:line="114" w:lineRule="exact"/>
        <w:rPr>
          <w:sz w:val="20"/>
          <w:szCs w:val="20"/>
          <w:color w:val="auto"/>
        </w:rPr>
      </w:pPr>
    </w:p>
    <w:p>
      <w:pPr>
        <w:ind w:left="640" w:hanging="634"/>
        <w:spacing w:after="0"/>
        <w:tabs>
          <w:tab w:leader="none" w:pos="640"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Clawback Provisions</w:t>
      </w:r>
    </w:p>
    <w:p>
      <w:pPr>
        <w:spacing w:after="0" w:line="174" w:lineRule="exact"/>
        <w:rPr>
          <w:rFonts w:ascii="Times New Roman" w:cs="Times New Roman" w:eastAsia="Times New Roman" w:hAnsi="Times New Roman"/>
          <w:sz w:val="21"/>
          <w:szCs w:val="21"/>
          <w:b w:val="1"/>
          <w:bCs w:val="1"/>
          <w:color w:val="auto"/>
        </w:rPr>
      </w:pPr>
    </w:p>
    <w:p>
      <w:pPr>
        <w:jc w:val="both"/>
        <w:ind w:firstLine="645"/>
        <w:spacing w:after="0" w:line="267" w:lineRule="auto"/>
        <w:tabs>
          <w:tab w:leader="none" w:pos="1273"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Recovery of Erroneously Awarded Compensation Upon an Accounting Restatement</w:t>
      </w:r>
      <w:r>
        <w:rPr>
          <w:rFonts w:ascii="Times New Roman" w:cs="Times New Roman" w:eastAsia="Times New Roman" w:hAnsi="Times New Roman"/>
          <w:sz w:val="21"/>
          <w:szCs w:val="21"/>
          <w:color w:val="auto"/>
        </w:rPr>
        <w:t>. Subject to the terms of this Policy and the requirements of Rule 5608, if the Company is required to prepare an Accounting Restatement, the Company will attempt to recover, reasonably promptly from each Covered Person, any Erroneously Awarded Compensation that was Received by such Covered Person during the Recovery Period pursuant to Incentive-Based Compensation that is subject to this Policy.</w:t>
      </w:r>
    </w:p>
    <w:p>
      <w:pPr>
        <w:spacing w:after="0" w:line="108" w:lineRule="exact"/>
        <w:rPr>
          <w:rFonts w:ascii="Times New Roman" w:cs="Times New Roman" w:eastAsia="Times New Roman" w:hAnsi="Times New Roman"/>
          <w:sz w:val="21"/>
          <w:szCs w:val="21"/>
          <w:color w:val="auto"/>
        </w:rPr>
      </w:pPr>
    </w:p>
    <w:p>
      <w:pPr>
        <w:ind w:left="1280" w:hanging="635"/>
        <w:spacing w:after="0"/>
        <w:tabs>
          <w:tab w:leader="none" w:pos="128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Potential Recovery of Additional Amounts Upon an Accounting Restatement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00"/>
          </w:cols>
          <w:pgMar w:left="320" w:top="1440" w:right="379" w:bottom="1440" w:gutter="0" w:footer="0" w:header="0"/>
        </w:sectPr>
      </w:pPr>
    </w:p>
    <w:bookmarkStart w:id="123" w:name="page124"/>
    <w:bookmarkEnd w:id="123"/>
    <w:p>
      <w:pPr>
        <w:spacing w:after="0" w:line="295" w:lineRule="exact"/>
        <w:rPr>
          <w:sz w:val="20"/>
          <w:szCs w:val="20"/>
          <w:color w:val="auto"/>
        </w:rPr>
      </w:pPr>
    </w:p>
    <w:p>
      <w:pPr>
        <w:ind w:left="-6" w:right="40" w:firstLine="1321"/>
        <w:spacing w:after="0" w:line="258" w:lineRule="auto"/>
        <w:tabs>
          <w:tab w:leader="none" w:pos="1961" w:val="left"/>
        </w:tabs>
        <w:numPr>
          <w:ilvl w:val="2"/>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(and without limiting) the provisions of Section 2(a) of this Policy, in the event the Company is required to prepare an Accounting Restatement, the Company will use reasonable efforts to recover from each Participating Employee who is described by the following sentence, any Erroneously Awarded Compensation that was Received by such Participating Employee during the Recovery Period pursuant to Incentive-Based Compensation that is subject to this Policy. This Section 2(b)(i) will apply to a Participating Employee who the Committee, in its sole discretion, determines committed any act or omission that contributed to the circumstances requiring an Accounting Restatement and which involved any of the following: (i) negligence, misconduct, wrongdoing or a violation of any of the Company's rules or of any applicable legal or regulatory requirements in the course of the Participating Employee's employment by, or otherwise in connection with, the Company; or (ii) a breach of a fiduciary duty to the Company or its shareholders by the Participating Employee.</w:t>
      </w:r>
    </w:p>
    <w:p>
      <w:pPr>
        <w:spacing w:after="0" w:line="123" w:lineRule="exact"/>
        <w:rPr>
          <w:rFonts w:ascii="Times New Roman" w:cs="Times New Roman" w:eastAsia="Times New Roman" w:hAnsi="Times New Roman"/>
          <w:sz w:val="21"/>
          <w:szCs w:val="21"/>
          <w:color w:val="auto"/>
        </w:rPr>
      </w:pPr>
    </w:p>
    <w:p>
      <w:pPr>
        <w:ind w:left="-6" w:right="100" w:firstLine="1262"/>
        <w:spacing w:after="0" w:line="257" w:lineRule="auto"/>
        <w:tabs>
          <w:tab w:leader="none" w:pos="1908" w:val="left"/>
        </w:tabs>
        <w:numPr>
          <w:ilvl w:val="2"/>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(and without limiting) the provisions of Section 2(a) and Section 2(b)(i) of this Policy, in the event that the Committee, in its sole discretion, determines that a Covered Person's or a Participating Employee's act or omission that contributed to the circumstances requiring the Accounting Restatement involved any of the following: (i) willful, knowing or intentional misconduct or a willful, knowing or intentional violation of any of the Company's rules or any applicable legal or regulatory requirements in the course of the Covered Person's or the Participating Employee's employment by, or otherwise in connection with, the Company or (ii) fraud in the course of the Covered Person's or the Participating Employee's employment by, or otherwise in connection with, the Company, then in each such case, the Company will use reasonable efforts to recover from such Covered Person or Participating Employee, up to 100% (as determined by the Committee in its sole discretion as appropriate based on the conduct involved) of such Incentive-Based Compensation (and not just the Erroneously Recovered Compensation) Received by such Covered Person or Participating Employee during the Recovery Period.</w:t>
      </w:r>
    </w:p>
    <w:p>
      <w:pPr>
        <w:spacing w:after="0" w:line="122" w:lineRule="exact"/>
        <w:rPr>
          <w:rFonts w:ascii="Times New Roman" w:cs="Times New Roman" w:eastAsia="Times New Roman" w:hAnsi="Times New Roman"/>
          <w:sz w:val="21"/>
          <w:szCs w:val="21"/>
          <w:color w:val="auto"/>
        </w:rPr>
      </w:pPr>
    </w:p>
    <w:p>
      <w:pPr>
        <w:ind w:left="634" w:hanging="634"/>
        <w:spacing w:after="0"/>
        <w:tabs>
          <w:tab w:leader="none" w:pos="634" w:val="left"/>
        </w:tabs>
        <w:numPr>
          <w:ilvl w:val="0"/>
          <w:numId w:val="73"/>
        </w:numPr>
        <w:rPr>
          <w:rFonts w:ascii="Arial" w:cs="Arial" w:eastAsia="Arial" w:hAnsi="Arial"/>
          <w:sz w:val="21"/>
          <w:szCs w:val="21"/>
          <w:b w:val="1"/>
          <w:bCs w:val="1"/>
          <w:color w:val="auto"/>
        </w:rPr>
      </w:pPr>
      <w:r>
        <w:rPr>
          <w:rFonts w:ascii="Times New Roman" w:cs="Times New Roman" w:eastAsia="Times New Roman" w:hAnsi="Times New Roman"/>
          <w:sz w:val="21"/>
          <w:szCs w:val="21"/>
          <w:b w:val="1"/>
          <w:bCs w:val="1"/>
          <w:u w:val="single" w:color="auto"/>
          <w:color w:val="auto"/>
        </w:rPr>
        <w:t>Interpretation and Administration</w:t>
      </w:r>
    </w:p>
    <w:p>
      <w:pPr>
        <w:spacing w:after="0" w:line="173" w:lineRule="exact"/>
        <w:rPr>
          <w:rFonts w:ascii="Arial" w:cs="Arial" w:eastAsia="Arial" w:hAnsi="Arial"/>
          <w:sz w:val="21"/>
          <w:szCs w:val="21"/>
          <w:b w:val="1"/>
          <w:bCs w:val="1"/>
          <w:color w:val="auto"/>
        </w:rPr>
      </w:pPr>
    </w:p>
    <w:p>
      <w:pPr>
        <w:ind w:left="-6" w:right="80" w:firstLine="645"/>
        <w:spacing w:after="0" w:line="267" w:lineRule="auto"/>
        <w:tabs>
          <w:tab w:leader="none" w:pos="1267"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Role of the Committee</w:t>
      </w:r>
      <w:r>
        <w:rPr>
          <w:rFonts w:ascii="Times New Roman" w:cs="Times New Roman" w:eastAsia="Times New Roman" w:hAnsi="Times New Roman"/>
          <w:sz w:val="21"/>
          <w:szCs w:val="21"/>
          <w:color w:val="auto"/>
        </w:rPr>
        <w:t>. Section 2(a) of this Policy will be interpreted by the Committee in a manner that is consistent with Rule 5608 and any other applicable law, and this Policy will otherwise be interpreted in the business judgment of the Committee. All decisions and interpretations of the Committee will be final and binding; provided that, with respect to Section 2(a), such decisions must be consistent with Rule 5608.</w:t>
      </w:r>
    </w:p>
    <w:p>
      <w:pPr>
        <w:spacing w:after="0" w:line="108" w:lineRule="exact"/>
        <w:rPr>
          <w:rFonts w:ascii="Times New Roman" w:cs="Times New Roman" w:eastAsia="Times New Roman" w:hAnsi="Times New Roman"/>
          <w:sz w:val="21"/>
          <w:szCs w:val="21"/>
          <w:color w:val="auto"/>
        </w:rPr>
      </w:pPr>
    </w:p>
    <w:p>
      <w:pPr>
        <w:ind w:left="-6" w:firstLine="645"/>
        <w:spacing w:after="0" w:line="263" w:lineRule="auto"/>
        <w:tabs>
          <w:tab w:leader="none" w:pos="1265"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 Not Subject to this Policy.</w:t>
      </w:r>
      <w:r>
        <w:rPr>
          <w:rFonts w:ascii="Times New Roman" w:cs="Times New Roman" w:eastAsia="Times New Roman" w:hAnsi="Times New Roman"/>
          <w:sz w:val="21"/>
          <w:szCs w:val="21"/>
          <w:color w:val="auto"/>
        </w:rPr>
        <w:t xml:space="preserve"> This Policy does not apply to Incentive-Based Compensation that was Received before September 1, 2015. With respect to any Covered Person, this Policy does not apply to Incentive-Based Compensation that was Received by such Covered Person before beginning service as an Executive Officer or, if earlier, first being designated by the Committee as a Covered Person. With respect to any Participating Employee, this Policy does not apply to Incentive-Based Compensation that was Received by such Participating Employee before becoming a Participating Employee.</w:t>
      </w:r>
    </w:p>
    <w:p>
      <w:pPr>
        <w:spacing w:after="0" w:line="112" w:lineRule="exact"/>
        <w:rPr>
          <w:rFonts w:ascii="Times New Roman" w:cs="Times New Roman" w:eastAsia="Times New Roman" w:hAnsi="Times New Roman"/>
          <w:sz w:val="21"/>
          <w:szCs w:val="21"/>
          <w:color w:val="auto"/>
        </w:rPr>
      </w:pPr>
    </w:p>
    <w:p>
      <w:pPr>
        <w:ind w:left="-6" w:right="500" w:firstLine="645"/>
        <w:spacing w:after="0" w:line="269" w:lineRule="auto"/>
        <w:tabs>
          <w:tab w:leader="none" w:pos="1267"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Determination of Means of Recovery</w:t>
      </w:r>
      <w:r>
        <w:rPr>
          <w:rFonts w:ascii="Times New Roman" w:cs="Times New Roman" w:eastAsia="Times New Roman" w:hAnsi="Times New Roman"/>
          <w:sz w:val="21"/>
          <w:szCs w:val="21"/>
          <w:color w:val="auto"/>
        </w:rPr>
        <w:t>. Subject to the requirement that recovery under Section 2(a) be made reasonably promptly, the Committee will determine the appropriate means of any recovery under this Policy, which may vary between Covered Persons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3"/>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74"/>
          </w:cols>
          <w:pgMar w:left="326" w:top="1440" w:right="399" w:bottom="1440" w:gutter="0" w:footer="0" w:header="0"/>
        </w:sectPr>
      </w:pPr>
    </w:p>
    <w:bookmarkStart w:id="124" w:name="page125"/>
    <w:bookmarkEnd w:id="124"/>
    <w:p>
      <w:pPr>
        <w:spacing w:after="0" w:line="29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Participating Employees or based on the nature of the applicable Incentive-Based Compensation, and which may involve, without limitation, establishing a deferred repayment plan or setting off against current or future compensation otherwise payable to the Covered Person or Participating Employee. Recovery of Erroneously Awarded Compensation under Section 2(a) of this Policy will be made without regard to income taxes paid by the Covered Person or by the Company on the Covered Person’s behalf in connection with such Erroneously Awarded Compensation. To the extent that, pursuant to Section 2(b)(i) or 2(b)(ii) of this Policy, the Company is entitled to recover any Incentive-Based Compensation that is granted to a Covered Person or a Participating Employee, such amounts shall be recovered net of any withholdings or taxes paid by or on behalf of the Covered Person or Participating Employee.</w:t>
      </w:r>
    </w:p>
    <w:p>
      <w:pPr>
        <w:spacing w:after="0" w:line="122" w:lineRule="exact"/>
        <w:rPr>
          <w:sz w:val="20"/>
          <w:szCs w:val="20"/>
          <w:color w:val="auto"/>
        </w:rPr>
      </w:pPr>
    </w:p>
    <w:p>
      <w:pPr>
        <w:ind w:right="20" w:firstLine="645"/>
        <w:spacing w:after="0" w:line="260" w:lineRule="auto"/>
        <w:tabs>
          <w:tab w:leader="none" w:pos="127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Determination That Recovery is Impracticable</w:t>
      </w:r>
      <w:r>
        <w:rPr>
          <w:rFonts w:ascii="Times New Roman" w:cs="Times New Roman" w:eastAsia="Times New Roman" w:hAnsi="Times New Roman"/>
          <w:sz w:val="21"/>
          <w:szCs w:val="21"/>
          <w:color w:val="auto"/>
        </w:rPr>
        <w:t>. The Company is not required to recover Erroneously Awarded Compensation if a determination is made by the Committee that either (A) after the Company has made and documented a reasonable attempt to recover such Erroneously Awarded Compensation, the direct expense paid to a third party to assist in enforcing this Policy would exceed the amount to be recovered or (B) recovery of such Erroneously Awarded Compensation would likely cause an otherwise tax-qualified retirement plan, under which benefits are broadly available to employees of the registrant, to fail to meet the requirements of Section 401(a)(13) or 411(a) of the Internal Revenue Code and regulations thereunder.</w:t>
      </w:r>
    </w:p>
    <w:p>
      <w:pPr>
        <w:spacing w:after="0" w:line="118" w:lineRule="exact"/>
        <w:rPr>
          <w:rFonts w:ascii="Times New Roman" w:cs="Times New Roman" w:eastAsia="Times New Roman" w:hAnsi="Times New Roman"/>
          <w:sz w:val="21"/>
          <w:szCs w:val="21"/>
          <w:color w:val="auto"/>
        </w:rPr>
      </w:pPr>
    </w:p>
    <w:p>
      <w:pPr>
        <w:ind w:right="80" w:firstLine="645"/>
        <w:spacing w:after="0" w:line="267" w:lineRule="auto"/>
        <w:tabs>
          <w:tab w:leader="none" w:pos="127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Indemnification or Company-Paid Insurance</w:t>
      </w:r>
      <w:r>
        <w:rPr>
          <w:rFonts w:ascii="Times New Roman" w:cs="Times New Roman" w:eastAsia="Times New Roman" w:hAnsi="Times New Roman"/>
          <w:sz w:val="21"/>
          <w:szCs w:val="21"/>
          <w:color w:val="auto"/>
        </w:rPr>
        <w:t>. The Company will not indemnify any Covered Person or Participating Employee against the loss of Erroneously Awarded Compensation or any other amounts that may be recovered by the Company in accordance with this Policy and will not pay or reimburse any Covered Person or Participating Employee for the purchase of a third-party insurance policy to fund potential recovery obligations.</w:t>
      </w:r>
    </w:p>
    <w:p>
      <w:pPr>
        <w:spacing w:after="0" w:line="108" w:lineRule="exact"/>
        <w:rPr>
          <w:rFonts w:ascii="Times New Roman" w:cs="Times New Roman" w:eastAsia="Times New Roman" w:hAnsi="Times New Roman"/>
          <w:sz w:val="21"/>
          <w:szCs w:val="21"/>
          <w:color w:val="auto"/>
        </w:rPr>
      </w:pPr>
    </w:p>
    <w:p>
      <w:pPr>
        <w:ind w:right="60" w:firstLine="645"/>
        <w:spacing w:after="0" w:line="269" w:lineRule="auto"/>
        <w:tabs>
          <w:tab w:leader="none" w:pos="127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Interaction with Other Clawback Provisions</w:t>
      </w:r>
      <w:r>
        <w:rPr>
          <w:rFonts w:ascii="Times New Roman" w:cs="Times New Roman" w:eastAsia="Times New Roman" w:hAnsi="Times New Roman"/>
          <w:sz w:val="21"/>
          <w:szCs w:val="21"/>
          <w:color w:val="auto"/>
        </w:rPr>
        <w:t>. The Company will be deemed to have recovered Erroneously Awarded Compensation to the extent the Company actually receives such amounts pursuant to any other Company policy, program or agreement, pursuant to Section 304 of the Sarbanes-Oxley Act or otherwise.</w:t>
      </w:r>
    </w:p>
    <w:p>
      <w:pPr>
        <w:spacing w:after="0" w:line="105" w:lineRule="exact"/>
        <w:rPr>
          <w:rFonts w:ascii="Times New Roman" w:cs="Times New Roman" w:eastAsia="Times New Roman" w:hAnsi="Times New Roman"/>
          <w:sz w:val="21"/>
          <w:szCs w:val="21"/>
          <w:color w:val="auto"/>
        </w:rPr>
      </w:pPr>
    </w:p>
    <w:p>
      <w:pPr>
        <w:ind w:firstLine="645"/>
        <w:spacing w:after="0" w:line="275" w:lineRule="auto"/>
        <w:tabs>
          <w:tab w:leader="none" w:pos="127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Limitation on Other Remedies</w:t>
      </w:r>
      <w:r>
        <w:rPr>
          <w:rFonts w:ascii="Times New Roman" w:cs="Times New Roman" w:eastAsia="Times New Roman" w:hAnsi="Times New Roman"/>
          <w:sz w:val="21"/>
          <w:szCs w:val="21"/>
          <w:color w:val="auto"/>
        </w:rPr>
        <w:t>. Nothing in this Policy will be deemed to limit the Company’s right to terminate employment of any Covered Person or Participating Employee, to seek recovery of other compensation paid to a Covered Person or Participating Employee, or to pursue other rights or remedies available to the Company under applicable law.</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Adopted by the board on October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decimal"/>
      <w:start w:val="1"/>
    </w:lvl>
    <w:lvl w:ilvl="1">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1)"/>
      <w:numFmt w:val="decimal"/>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lvl w:ilvl="1">
      <w:lvlJc w:val="left"/>
      <w:lvlText w:val="◦"/>
      <w:numFmt w:val="bullet"/>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1."/>
      <w:numFmt w:val="decimal"/>
      <w:start w:val="3"/>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decimal"/>
      <w:start w:val="5"/>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1)"/>
      <w:numFmt w:val="decimal"/>
      <w:start w:val="1"/>
    </w:lvl>
  </w:abstractNum>
  <w:abstractNum w:abstractNumId="33">
    <w:nsid w:val="374A3FE6"/>
    <w:multiLevelType w:val="hybridMultilevel"/>
    <w:lvl w:ilvl="0">
      <w:lvlJc w:val="left"/>
      <w:lvlText w:val="%1."/>
      <w:numFmt w:val="decimal"/>
      <w:start w:val="9"/>
    </w:lvl>
  </w:abstractNum>
  <w:abstractNum w:abstractNumId="34">
    <w:nsid w:val="4F4EF005"/>
    <w:multiLevelType w:val="hybridMultilevel"/>
    <w:lvl w:ilvl="0">
      <w:lvlJc w:val="left"/>
      <w:lvlText w:val="%1."/>
      <w:numFmt w:val="decimal"/>
      <w:start w:val="10"/>
    </w:lvl>
  </w:abstractNum>
  <w:abstractNum w:abstractNumId="35">
    <w:nsid w:val="23F9C13C"/>
    <w:multiLevelType w:val="hybridMultilevel"/>
    <w:lvl w:ilvl="0">
      <w:lvlJc w:val="left"/>
      <w:lvlText w:val="%1"/>
      <w:numFmt w:val="decimal"/>
      <w:start w:val="1"/>
    </w:lvl>
    <w:lvl w:ilvl="1">
      <w:lvlJc w:val="left"/>
      <w:lvlText w:val="(%2)"/>
      <w:numFmt w:val="decimal"/>
      <w:start w:val="1"/>
    </w:lvl>
  </w:abstractNum>
  <w:abstractNum w:abstractNumId="36">
    <w:nsid w:val="649BB77C"/>
    <w:multiLevelType w:val="hybridMultilevel"/>
    <w:lvl w:ilvl="0">
      <w:lvlJc w:val="left"/>
      <w:lvlText w:val="%1."/>
      <w:numFmt w:val="decimal"/>
      <w:start w:val="11"/>
    </w:lvl>
    <w:lvl w:ilvl="1">
      <w:lvlJc w:val="left"/>
      <w:lvlText w:val="%2"/>
      <w:numFmt w:val="decimal"/>
      <w:start w:val="1"/>
    </w:lvl>
  </w:abstractNum>
  <w:abstractNum w:abstractNumId="37">
    <w:nsid w:val="275AC794"/>
    <w:multiLevelType w:val="hybridMultilevel"/>
    <w:lvl w:ilvl="0">
      <w:lvlJc w:val="left"/>
      <w:lvlText w:val="%1."/>
      <w:numFmt w:val="decimal"/>
      <w:start w:val="12"/>
    </w:lvl>
  </w:abstractNum>
  <w:abstractNum w:abstractNumId="38">
    <w:nsid w:val="39386575"/>
    <w:multiLevelType w:val="hybridMultilevel"/>
    <w:lvl w:ilvl="0">
      <w:lvlJc w:val="left"/>
      <w:lvlText w:val="\emdash "/>
      <w:numFmt w:val="bullet"/>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1."/>
      <w:numFmt w:val="decimal"/>
      <w:start w:val="13"/>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1."/>
      <w:numFmt w:val="decimal"/>
      <w:start w:val="14"/>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1."/>
      <w:numFmt w:val="decimal"/>
      <w:start w:val="15"/>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16"/>
    </w:lvl>
  </w:abstractNum>
  <w:abstractNum w:abstractNumId="50">
    <w:nsid w:val="7E0C57B1"/>
    <w:multiLevelType w:val="hybridMultilevel"/>
    <w:lvl w:ilvl="0">
      <w:lvlJc w:val="left"/>
      <w:lvlText w:val="%1."/>
      <w:numFmt w:val="decimal"/>
      <w:start w:val="17"/>
    </w:lvl>
  </w:abstractNum>
  <w:abstractNum w:abstractNumId="51">
    <w:nsid w:val="77AE35EB"/>
    <w:multiLevelType w:val="hybridMultilevel"/>
    <w:lvl w:ilvl="0">
      <w:lvlJc w:val="left"/>
      <w:lvlText w:val="%1."/>
      <w:numFmt w:val="decimal"/>
      <w:start w:val="18"/>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19"/>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decimal"/>
      <w:start w:val="20"/>
    </w:lvl>
  </w:abstractNum>
  <w:abstractNum w:abstractNumId="56">
    <w:nsid w:val="25A70BF7"/>
    <w:multiLevelType w:val="hybridMultilevel"/>
    <w:lvl w:ilvl="0">
      <w:lvlJc w:val="left"/>
      <w:lvlText w:val="%1."/>
      <w:numFmt w:val="decimal"/>
      <w:start w:val="21"/>
    </w:lvl>
  </w:abstractNum>
  <w:abstractNum w:abstractNumId="57">
    <w:nsid w:val="1DBABF00"/>
    <w:multiLevelType w:val="hybridMultilevel"/>
    <w:lvl w:ilvl="0">
      <w:lvlJc w:val="left"/>
      <w:lvlText w:val="(%1)"/>
      <w:numFmt w:val="decimal"/>
      <w:start w:val="1"/>
    </w:lvl>
  </w:abstractNum>
  <w:abstractNum w:abstractNumId="58">
    <w:nsid w:val="4AD084E9"/>
    <w:multiLevelType w:val="hybridMultilevel"/>
    <w:lvl w:ilvl="0">
      <w:lvlJc w:val="left"/>
      <w:lvlText w:val="(%1)"/>
      <w:numFmt w:val="decimal"/>
      <w:start w:val="1"/>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1."/>
      <w:numFmt w:val="decimal"/>
      <w:start w:val="1"/>
    </w:lvl>
    <w:lvl w:ilvl="1">
      <w:lvlJc w:val="left"/>
      <w:lvlText w:val="%2)"/>
      <w:numFmt w:val="lowerLetter"/>
      <w:start w:val="1"/>
    </w:lvl>
  </w:abstractNum>
  <w:abstractNum w:abstractNumId="66">
    <w:nsid w:val="98A3148"/>
    <w:multiLevelType w:val="hybridMultilevel"/>
    <w:lvl w:ilvl="0">
      <w:lvlJc w:val="left"/>
      <w:lvlText w:val="%1."/>
      <w:numFmt w:val="decimal"/>
      <w:start w:val="1"/>
    </w:lvl>
    <w:lvl w:ilvl="1">
      <w:lvlJc w:val="left"/>
      <w:lvlText w:val="%2)"/>
      <w:numFmt w:val="lowerLetter"/>
      <w:start w:val="1"/>
    </w:lvl>
  </w:abstractNum>
  <w:abstractNum w:abstractNumId="67">
    <w:nsid w:val="799D0247"/>
    <w:multiLevelType w:val="hybridMultilevel"/>
    <w:lvl w:ilvl="0">
      <w:lvlJc w:val="left"/>
      <w:lvlText w:val="%1."/>
      <w:numFmt w:val="decimal"/>
      <w:start w:val="1"/>
    </w:lvl>
    <w:lvl w:ilvl="1">
      <w:lvlJc w:val="left"/>
      <w:lvlText w:val="(%2)"/>
      <w:numFmt w:val="lowerLetter"/>
      <w:start w:val="1"/>
    </w:lvl>
  </w:abstractNum>
  <w:abstractNum w:abstractNumId="68">
    <w:nsid w:val="6B94764"/>
    <w:multiLevelType w:val="hybridMultilevel"/>
    <w:lvl w:ilvl="0">
      <w:lvlJc w:val="left"/>
      <w:lvlText w:val="%1"/>
      <w:numFmt w:val="upperLetter"/>
      <w:start w:val="1"/>
    </w:lvl>
    <w:lvl w:ilvl="1">
      <w:lvlJc w:val="left"/>
      <w:lvlText w:val="(%2)"/>
      <w:numFmt w:val="lowerLetter"/>
      <w:start w:val="5"/>
    </w:lvl>
  </w:abstractNum>
  <w:abstractNum w:abstractNumId="69">
    <w:nsid w:val="42C296BD"/>
    <w:multiLevelType w:val="hybridMultilevel"/>
    <w:lvl w:ilvl="0">
      <w:lvlJc w:val="left"/>
      <w:lvlText w:val="(%1)"/>
      <w:numFmt w:val="upperLetter"/>
      <w:start w:val="2"/>
    </w:lvl>
    <w:lvl w:ilvl="1">
      <w:lvlJc w:val="left"/>
      <w:lvlText w:val="%2"/>
      <w:numFmt w:val="lowerLetter"/>
      <w:start w:val="1"/>
    </w:lvl>
  </w:abstractNum>
  <w:abstractNum w:abstractNumId="70">
    <w:nsid w:val="168E121F"/>
    <w:multiLevelType w:val="hybridMultilevel"/>
    <w:lvl w:ilvl="0">
      <w:lvlJc w:val="left"/>
      <w:lvlText w:val="%1."/>
      <w:numFmt w:val="decimal"/>
      <w:start w:val="2"/>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2">
    <w:nsid w:val="661E3F1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3">
    <w:nsid w:val="5DC79EA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81" Type="http://schemas.openxmlformats.org/officeDocument/2006/relationships/image" Target="media/image149.png"/><Relationship Id="rId197" Type="http://schemas.openxmlformats.org/officeDocument/2006/relationships/image" Target="media/image150.png"/><Relationship Id="rId215" Type="http://schemas.openxmlformats.org/officeDocument/2006/relationships/image" Target="media/image151.png"/><Relationship Id="rId216" Type="http://schemas.openxmlformats.org/officeDocument/2006/relationships/image" Target="media/image152.png"/><Relationship Id="rId231" Type="http://schemas.openxmlformats.org/officeDocument/2006/relationships/image" Target="media/image153.png"/><Relationship Id="rId233" Type="http://schemas.openxmlformats.org/officeDocument/2006/relationships/image" Target="media/image154.png"/><Relationship Id="rId234" Type="http://schemas.openxmlformats.org/officeDocument/2006/relationships/image" Target="media/image155.png"/><Relationship Id="rId235" Type="http://schemas.openxmlformats.org/officeDocument/2006/relationships/image" Target="media/image156.png"/><Relationship Id="rId154" Type="http://schemas.openxmlformats.org/officeDocument/2006/relationships/hyperlink" Target="https://www.sec.gov/Archives/edgar/data/911177/000091117723000093/cwst-ex21063023.htm" TargetMode="External"/><Relationship Id="rId155" Type="http://schemas.openxmlformats.org/officeDocument/2006/relationships/hyperlink" Target="http://www.sec.gov/Archives/edgar/data/911177/000104746907009844/a2181401zex-3_1.htm" TargetMode="External"/><Relationship Id="rId156" Type="http://schemas.openxmlformats.org/officeDocument/2006/relationships/hyperlink" Target="https://www.sec.gov/Archives/edgar/data/911177/000091117723000012/cwst-ex32123122.htm" TargetMode="External"/><Relationship Id="rId157" Type="http://schemas.openxmlformats.org/officeDocument/2006/relationships/hyperlink" Target="http://www.sec.gov/Archives/edgar/data/911177/0001029869-97-001166.txt" TargetMode="External"/><Relationship Id="rId158" Type="http://schemas.openxmlformats.org/officeDocument/2006/relationships/hyperlink" Target="http://www.sec.gov/Archives/edgar/data/911177/000091205700038357/ex-4_1.txt" TargetMode="External"/><Relationship Id="rId159" Type="http://schemas.openxmlformats.org/officeDocument/2006/relationships/hyperlink" Target="https://www.sec.gov/Archives/edgar/data/911177/000091117721000009/cwst-ex043123120final.htm" TargetMode="External"/><Relationship Id="rId160" Type="http://schemas.openxmlformats.org/officeDocument/2006/relationships/hyperlink" Target="http://www.sec.gov/Archives/edgar/data/911177/000119312515305083/d68513dex41.htm" TargetMode="External"/><Relationship Id="rId161" Type="http://schemas.openxmlformats.org/officeDocument/2006/relationships/hyperlink" Target="http://www.sec.gov/Archives/edgar/data/911177/000119312515305083/d68513dex42.htm" TargetMode="External"/><Relationship Id="rId162" Type="http://schemas.openxmlformats.org/officeDocument/2006/relationships/hyperlink" Target="http://www.sec.gov/Archives/edgar/data/911177/000119312514446866/d839310dex41.htm" TargetMode="External"/><Relationship Id="rId163" Type="http://schemas.openxmlformats.org/officeDocument/2006/relationships/hyperlink" Target="http://www.sec.gov/Archives/edgar/data/911177/000119312516611235/d202767dex41.htm" TargetMode="External"/><Relationship Id="rId166" Type="http://schemas.openxmlformats.org/officeDocument/2006/relationships/hyperlink" Target="http://www.sec.gov/Archives/edgar/data/911177/000119312514373867/d805861dex101.htm" TargetMode="External"/><Relationship Id="rId167" Type="http://schemas.openxmlformats.org/officeDocument/2006/relationships/hyperlink" Target="http://www.sec.gov/Archives/edgar/data/911177/000119312513144248/d516725dex101.htm" TargetMode="External"/><Relationship Id="rId168" Type="http://schemas.openxmlformats.org/officeDocument/2006/relationships/hyperlink" Target="http://www.sec.gov/Archives/edgar/data/911177/000119312514251471/d708462dex48.htm" TargetMode="External"/><Relationship Id="rId169" Type="http://schemas.openxmlformats.org/officeDocument/2006/relationships/hyperlink" Target="http://www.sec.gov/Archives/edgar/data/911177/000119312513144248/d516725dex102.htm" TargetMode="External"/><Relationship Id="rId170" Type="http://schemas.openxmlformats.org/officeDocument/2006/relationships/hyperlink" Target="http://www.sec.gov/Archives/edgar/data/911177/000110465906000398/a05-22599_1ex10d1.htm" TargetMode="External"/><Relationship Id="rId171" Type="http://schemas.openxmlformats.org/officeDocument/2006/relationships/hyperlink" Target="http://www.sec.gov/Archives/edgar/data/911177/000141057812000058/a12-2158_1ex10d1.htm" TargetMode="External"/><Relationship Id="rId172" Type="http://schemas.openxmlformats.org/officeDocument/2006/relationships/hyperlink" Target="http://www.sec.gov/Archives/edgar/data/911177/000091117717000010/cwst17-0207_x8kex4d2.htm" TargetMode="External"/><Relationship Id="rId173" Type="http://schemas.openxmlformats.org/officeDocument/2006/relationships/hyperlink" Target="http://www.sec.gov/Archives/edgar/data/911177/000091117717000010/cwst17-0207_x8kex4d1.htm" TargetMode="External"/><Relationship Id="rId174" Type="http://schemas.openxmlformats.org/officeDocument/2006/relationships/hyperlink" Target="https://www.sec.gov/Archives/edgar/data/911177/000091117720000074/exhibit41loanagreement.htm" TargetMode="External"/><Relationship Id="rId175" Type="http://schemas.openxmlformats.org/officeDocument/2006/relationships/hyperlink" Target="https://www.sec.gov/Archives/edgar/data/911177/000091117720000074/exhibit42guarantyagree.htm" TargetMode="External"/><Relationship Id="rId176" Type="http://schemas.openxmlformats.org/officeDocument/2006/relationships/hyperlink" Target="https://www.sec.gov/Archives/edgar/data/911177/000091117722000031/cwst-ex41loanagreement.htm" TargetMode="External"/><Relationship Id="rId177" Type="http://schemas.openxmlformats.org/officeDocument/2006/relationships/hyperlink" Target="https://www.sec.gov/Archives/edgar/data/911177/000091117722000031/cwst-ex42guarantyagreement.htm" TargetMode="External"/><Relationship Id="rId178" Type="http://schemas.openxmlformats.org/officeDocument/2006/relationships/hyperlink" Target="https://www.sec.gov/Archives/edgar/data/911177/000091117723000129/exhibit42guarantyagreement.htm" TargetMode="External"/><Relationship Id="rId179" Type="http://schemas.openxmlformats.org/officeDocument/2006/relationships/hyperlink" Target="http://www.sec.gov/Archives/edgar/data/911177/0001029869-97-000958.txt" TargetMode="External"/><Relationship Id="rId180" Type="http://schemas.openxmlformats.org/officeDocument/2006/relationships/hyperlink" Target="http://www.sec.gov/Archives/edgar/data/911177/0001029869-98-000841.txt" TargetMode="External"/><Relationship Id="rId182" Type="http://schemas.openxmlformats.org/officeDocument/2006/relationships/hyperlink" Target="http://www.sec.gov/Archives/edgar/data/911177/000119312514251471/d708462dex107.htm" TargetMode="External"/><Relationship Id="rId183" Type="http://schemas.openxmlformats.org/officeDocument/2006/relationships/hyperlink" Target="http://www.sec.gov/Archives/edgar/data/911177/000119312514251471/d708462dex109.htm" TargetMode="External"/><Relationship Id="rId184" Type="http://schemas.openxmlformats.org/officeDocument/2006/relationships/hyperlink" Target="http://www.sec.gov/Archives/edgar/data/911177/000107261300000765/0001072613-00-000765-0002.txt" TargetMode="External"/><Relationship Id="rId185" Type="http://schemas.openxmlformats.org/officeDocument/2006/relationships/hyperlink" Target="http://www.sec.gov/Archives/edgar/data/911177/000110465909015154/a09-6583_1ex10d3.htm" TargetMode="External"/><Relationship Id="rId186" Type="http://schemas.openxmlformats.org/officeDocument/2006/relationships/hyperlink" Target="http://www.sec.gov/Archives/edgar/data/911177/000119312516490223/d27133dex1013.htm" TargetMode="External"/><Relationship Id="rId187" Type="http://schemas.openxmlformats.org/officeDocument/2006/relationships/hyperlink" Target="http://www.sec.gov/Archives/edgar/data/911177/000119312514251471/d708462dex1014.htm" TargetMode="External"/><Relationship Id="rId188" Type="http://schemas.openxmlformats.org/officeDocument/2006/relationships/hyperlink" Target="http://www.sec.gov/Archives/edgar/data/911177/000119312514251471/d708462dex1015.htm" TargetMode="External"/><Relationship Id="rId189" Type="http://schemas.openxmlformats.org/officeDocument/2006/relationships/hyperlink" Target="http://www.sec.gov/Archives/edgar/data/911177/000119312514251471/d708462dex1016.htm" TargetMode="External"/><Relationship Id="rId190" Type="http://schemas.openxmlformats.org/officeDocument/2006/relationships/hyperlink" Target="http://www.sec.gov/Archives/edgar/data/911177/000119312514251471/d708462dex1017.htm" TargetMode="External"/><Relationship Id="rId191" Type="http://schemas.openxmlformats.org/officeDocument/2006/relationships/hyperlink" Target="http://www.sec.gov/Archives/edgar/data/911177/000119312514251471/d708462dex1018.htm" TargetMode="External"/><Relationship Id="rId192" Type="http://schemas.openxmlformats.org/officeDocument/2006/relationships/hyperlink" Target="http://www.sec.gov/Archives/edgar/data/911177/000119312514251471/d708462dex1019.htm" TargetMode="External"/><Relationship Id="rId193" Type="http://schemas.openxmlformats.org/officeDocument/2006/relationships/hyperlink" Target="http://www.sec.gov/Archives/edgar/data/911177/000110465908057068/a08-22715_1ex10d2.htm" TargetMode="External"/><Relationship Id="rId194" Type="http://schemas.openxmlformats.org/officeDocument/2006/relationships/hyperlink" Target="http://www.sec.gov/Archives/edgar/data/911177/000119312516495282/d137543dex102.htm" TargetMode="External"/><Relationship Id="rId195" Type="http://schemas.openxmlformats.org/officeDocument/2006/relationships/hyperlink" Target="http://www.sec.gov/Archives/edgar/data/911177/000119312516495282/d137543dex103.htm" TargetMode="External"/><Relationship Id="rId196" Type="http://schemas.openxmlformats.org/officeDocument/2006/relationships/hyperlink" Target="https://www.sec.gov/Archives/edgar/data/911177/000091117722000037/cwst-ex101062022.htm" TargetMode="External"/><Relationship Id="rId198" Type="http://schemas.openxmlformats.org/officeDocument/2006/relationships/hyperlink" Target="https://www.sec.gov/Archives/edgar/data/911177/000091117722000053/cwst-ex105063022.htm" TargetMode="External"/><Relationship Id="rId199" Type="http://schemas.openxmlformats.org/officeDocument/2006/relationships/hyperlink" Target="https://www.sec.gov/Archives/edgar/data/911177/000091117722000039/cwst-ex101041822.htm" TargetMode="External"/><Relationship Id="rId200" Type="http://schemas.openxmlformats.org/officeDocument/2006/relationships/hyperlink" Target="https://www.sec.gov/Archives/edgar/data/911177/000091117721000009/cwst-ex1025123120.htm" TargetMode="External"/><Relationship Id="rId201" Type="http://schemas.openxmlformats.org/officeDocument/2006/relationships/hyperlink" Target="https://www.sec.gov/Archives/edgar/data/911177/000091117721000048/cwst-ex101093021.htm" TargetMode="External"/><Relationship Id="rId202" Type="http://schemas.openxmlformats.org/officeDocument/2006/relationships/hyperlink" Target="https://www.sec.gov/Archives/edgar/data/911177/000091117722000013/cwst-ex101033122.htm" TargetMode="External"/><Relationship Id="rId203" Type="http://schemas.openxmlformats.org/officeDocument/2006/relationships/hyperlink" Target="https://www.sec.gov/Archives/edgar/data/911177/000091117722000039/cwst-ex102041822.htm" TargetMode="External"/><Relationship Id="rId204" Type="http://schemas.openxmlformats.org/officeDocument/2006/relationships/hyperlink" Target="http://www.sec.gov/Archives/edgar/data/911177/000119312514251471/d708462dex1029.htm" TargetMode="External"/><Relationship Id="rId205" Type="http://schemas.openxmlformats.org/officeDocument/2006/relationships/hyperlink" Target="http://www.sec.gov/Archives/edgar/data/911177/000119312516495282/d137543dex101.htm" TargetMode="External"/><Relationship Id="rId206" Type="http://schemas.openxmlformats.org/officeDocument/2006/relationships/hyperlink" Target="http://www.sec.gov/Archives/edgar/data/911177/000091117716000011/cwst16-1117_1s8xex99d1.htm" TargetMode="External"/><Relationship Id="rId207" Type="http://schemas.openxmlformats.org/officeDocument/2006/relationships/hyperlink" Target="http://www.sec.gov/Archives/edgar/data/911177/000091117716000015/cwst16-1122_8kxex10d1.htm" TargetMode="External"/><Relationship Id="rId208" Type="http://schemas.openxmlformats.org/officeDocument/2006/relationships/hyperlink" Target="http://www.sec.gov/Archives/edgar/data/911177/000091117716000015/cwst16-1122_8kxex10d2.htm" TargetMode="External"/><Relationship Id="rId209" Type="http://schemas.openxmlformats.org/officeDocument/2006/relationships/hyperlink" Target="http://www.sec.gov/Archives/edgar/data/911177/000091117716000015/cwst16-1122_8kxex10d3.htm" TargetMode="External"/><Relationship Id="rId210" Type="http://schemas.openxmlformats.org/officeDocument/2006/relationships/hyperlink" Target="http://www.sec.gov/Archives/edgar/data/911177/000091117716000015/cwst16-1122_8kxex10d4.htm" TargetMode="External"/><Relationship Id="rId211" Type="http://schemas.openxmlformats.org/officeDocument/2006/relationships/hyperlink" Target="http://www.sec.gov/Archives/edgar/data/911177/000091117716000015/cwst16-1122_8kxex10d5.htm" TargetMode="External"/><Relationship Id="rId212" Type="http://schemas.openxmlformats.org/officeDocument/2006/relationships/hyperlink" Target="http://www.sec.gov/Archives/edgar/data/911177/000091117716000015/cwst16-1122_8kxex10d6.htm" TargetMode="External"/><Relationship Id="rId213" Type="http://schemas.openxmlformats.org/officeDocument/2006/relationships/hyperlink" Target="http://www.sec.gov/Archives/edgar/data/911177/000091117716000015/cwst16-1122_8kxex10d7.htm" TargetMode="External"/><Relationship Id="rId214" Type="http://schemas.openxmlformats.org/officeDocument/2006/relationships/hyperlink" Target="http://www.sec.gov/Archives/edgar/data/911177/000091117716000015/cwst16-1122_8kxex10d8.htm" TargetMode="External"/><Relationship Id="rId217" Type="http://schemas.openxmlformats.org/officeDocument/2006/relationships/hyperlink" Target="http://www.sec.gov/Archives/edgar/data/911177/000091117716000015/cwst16-1122_8kxex10d9.htm" TargetMode="External"/><Relationship Id="rId218" Type="http://schemas.openxmlformats.org/officeDocument/2006/relationships/hyperlink" Target="http://www.sec.gov/Archives/edgar/data/911177/000091117716000015/cwst16-1122_8kxex10d10.htm" TargetMode="External"/><Relationship Id="rId219" Type="http://schemas.openxmlformats.org/officeDocument/2006/relationships/hyperlink" Target="http://www.sec.gov/Archives/edgar/data/911177/000091117716000015/cwst16-1122_8kxex10d11.htm" TargetMode="External"/><Relationship Id="rId220" Type="http://schemas.openxmlformats.org/officeDocument/2006/relationships/hyperlink" Target="http://www.sec.gov/Archives/edgar/data/911177/000091117717000053/cwst-093017xex101.htm" TargetMode="External"/><Relationship Id="rId221" Type="http://schemas.openxmlformats.org/officeDocument/2006/relationships/hyperlink" Target="https://www.sec.gov/Archives/edgar/data/911177/000119312521368012/d230783dex101.htm" TargetMode="External"/><Relationship Id="rId222" Type="http://schemas.openxmlformats.org/officeDocument/2006/relationships/hyperlink" Target="https://www.sec.gov/Archives/edgar/data/911177/000119312523032510/d455425dex101.htm" TargetMode="External"/><Relationship Id="rId223" Type="http://schemas.openxmlformats.org/officeDocument/2006/relationships/hyperlink" Target="https://www.sec.gov/Archives/edgar/data/911177/000119312523032510/d455425dex102.htm" TargetMode="External"/><Relationship Id="rId224" Type="http://schemas.openxmlformats.org/officeDocument/2006/relationships/hyperlink" Target="https://www.sec.gov/Archives/edgar/data/911177/000119312523181016/d524927dex101.htm" TargetMode="External"/><Relationship Id="rId225" Type="http://schemas.openxmlformats.org/officeDocument/2006/relationships/hyperlink" Target="https://www.sec.gov/Archives/edgar/data/911177/000091117720000048/masterleaseagreement.htm" TargetMode="External"/><Relationship Id="rId226" Type="http://schemas.openxmlformats.org/officeDocument/2006/relationships/hyperlink" Target="https://www.sec.gov/Archives/edgar/data/911177/000091117720000048/masterleaseaddendum.htm" TargetMode="External"/><Relationship Id="rId227" Type="http://schemas.openxmlformats.org/officeDocument/2006/relationships/hyperlink" Target="https://www.sec.gov/Archives/edgar/data/911177/000110465911012173/a11-5937_1ex2d1.htm" TargetMode="External"/><Relationship Id="rId228" Type="http://schemas.openxmlformats.org/officeDocument/2006/relationships/hyperlink" Target="https://www.sec.gov/Archives/edgar/data/911177/000091117723000064/cwst-ex101033123.htm" TargetMode="External"/><Relationship Id="rId229" Type="http://schemas.openxmlformats.org/officeDocument/2006/relationships/hyperlink" Target="https://www.sec.gov/Archives/edgar/data/911177/000119312523181016/d524927dex102.htm" TargetMode="External"/><Relationship Id="rId230" Type="http://schemas.openxmlformats.org/officeDocument/2006/relationships/hyperlink" Target="https://www.sec.gov/Archives/edgar/data/911177/000091117723000146/cwst-ex102093023.htm" TargetMode="External"/><Relationship Id="rId232" Type="http://schemas.openxmlformats.org/officeDocument/2006/relationships/hyperlink" Target="https://www.sec.gov/Archives/edgar/data/911177/000091117723000146/cwst-ex103093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2024-02-16T15:56:20Z</dcterms:created>
  <dcterms:modified xsi:type="dcterms:W3CDTF">2024-02-16T15:56:20Z</dcterms:modified>
</cp:coreProperties>
</file>