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18415</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75565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420" w:right="340" w:hanging="394"/>
        <w:spacing w:after="0" w:line="256" w:lineRule="auto"/>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420" w:right="320" w:hanging="394"/>
        <w:spacing w:after="0" w:line="256" w:lineRule="auto"/>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34290</wp:posOffset>
            </wp:positionV>
            <wp:extent cx="2777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tbl>
      <w:tblPr>
        <w:tblLayout w:type="fixed"/>
        <w:tblInd w:w="2780" w:type="dxa"/>
        <w:tblCellMar>
          <w:top w:w="0" w:type="dxa"/>
          <w:left w:w="0" w:type="dxa"/>
          <w:bottom w:w="0" w:type="dxa"/>
          <w:right w:w="0" w:type="dxa"/>
        </w:tblCellMar>
      </w:tblPr>
      <w:tr>
        <w:trPr>
          <w:trHeight w:val="186"/>
        </w:trPr>
        <w:tc>
          <w:tcPr>
            <w:tcW w:w="3160" w:type="dxa"/>
            <w:vAlign w:val="bottom"/>
          </w:tcPr>
          <w:p>
            <w:pPr>
              <w:jc w:val="center"/>
              <w:ind w:right="708"/>
              <w:spacing w:after="0"/>
              <w:rPr>
                <w:sz w:val="20"/>
                <w:szCs w:val="20"/>
                <w:color w:val="auto"/>
              </w:rPr>
            </w:pPr>
            <w:r>
              <w:rPr>
                <w:rFonts w:ascii="Arial" w:cs="Arial" w:eastAsia="Arial" w:hAnsi="Arial"/>
                <w:sz w:val="14"/>
                <w:szCs w:val="14"/>
                <w:b w:val="1"/>
                <w:bCs w:val="1"/>
                <w:color w:val="auto"/>
                <w:w w:val="94"/>
              </w:rPr>
              <w:t>Delaware</w:t>
            </w:r>
          </w:p>
        </w:tc>
        <w:tc>
          <w:tcPr>
            <w:tcW w:w="1920" w:type="dxa"/>
            <w:vAlign w:val="bottom"/>
          </w:tcPr>
          <w:p>
            <w:pPr>
              <w:jc w:val="center"/>
              <w:ind w:left="708"/>
              <w:spacing w:after="0"/>
              <w:rPr>
                <w:sz w:val="20"/>
                <w:szCs w:val="20"/>
                <w:color w:val="auto"/>
              </w:rPr>
            </w:pPr>
            <w:r>
              <w:rPr>
                <w:rFonts w:ascii="Arial" w:cs="Arial" w:eastAsia="Arial" w:hAnsi="Arial"/>
                <w:sz w:val="14"/>
                <w:szCs w:val="14"/>
                <w:b w:val="1"/>
                <w:bCs w:val="1"/>
                <w:color w:val="auto"/>
                <w:w w:val="93"/>
              </w:rPr>
              <w:t>03-0338873</w:t>
            </w:r>
          </w:p>
        </w:tc>
      </w:tr>
      <w:tr>
        <w:trPr>
          <w:trHeight w:val="165"/>
        </w:trPr>
        <w:tc>
          <w:tcPr>
            <w:tcW w:w="3160" w:type="dxa"/>
            <w:vAlign w:val="bottom"/>
          </w:tcPr>
          <w:p>
            <w:pPr>
              <w:jc w:val="center"/>
              <w:ind w:right="728"/>
              <w:spacing w:after="0"/>
              <w:rPr>
                <w:sz w:val="20"/>
                <w:szCs w:val="20"/>
                <w:color w:val="auto"/>
              </w:rPr>
            </w:pPr>
            <w:r>
              <w:rPr>
                <w:rFonts w:ascii="Arial" w:cs="Arial" w:eastAsia="Arial" w:hAnsi="Arial"/>
                <w:sz w:val="14"/>
                <w:szCs w:val="14"/>
                <w:b w:val="1"/>
                <w:bCs w:val="1"/>
                <w:color w:val="auto"/>
                <w:w w:val="93"/>
              </w:rPr>
              <w:t>(State or other jurisdiction of</w:t>
            </w:r>
          </w:p>
        </w:tc>
        <w:tc>
          <w:tcPr>
            <w:tcW w:w="1920" w:type="dxa"/>
            <w:vAlign w:val="bottom"/>
          </w:tcPr>
          <w:p>
            <w:pPr>
              <w:jc w:val="center"/>
              <w:ind w:left="72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16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incorporation or organization)</w:t>
            </w:r>
          </w:p>
        </w:tc>
        <w:tc>
          <w:tcPr>
            <w:tcW w:w="1920" w:type="dxa"/>
            <w:vAlign w:val="bottom"/>
          </w:tcPr>
          <w:p>
            <w:pPr>
              <w:jc w:val="center"/>
              <w:ind w:left="708"/>
              <w:spacing w:after="0"/>
              <w:rPr>
                <w:sz w:val="20"/>
                <w:szCs w:val="20"/>
                <w:color w:val="auto"/>
              </w:rPr>
            </w:pPr>
            <w:r>
              <w:rPr>
                <w:rFonts w:ascii="Arial" w:cs="Arial" w:eastAsia="Arial" w:hAnsi="Arial"/>
                <w:sz w:val="14"/>
                <w:szCs w:val="14"/>
                <w:b w:val="1"/>
                <w:bCs w:val="1"/>
                <w:color w:val="auto"/>
                <w:w w:val="96"/>
              </w:rPr>
              <w:t>Identification No.)</w:t>
            </w:r>
          </w:p>
        </w:tc>
      </w:tr>
      <w:tr>
        <w:trPr>
          <w:trHeight w:val="635"/>
        </w:trPr>
        <w:tc>
          <w:tcPr>
            <w:tcW w:w="3160" w:type="dxa"/>
            <w:vAlign w:val="bottom"/>
          </w:tcPr>
          <w:p>
            <w:pPr>
              <w:jc w:val="center"/>
              <w:ind w:right="728"/>
              <w:spacing w:after="0"/>
              <w:rPr>
                <w:sz w:val="20"/>
                <w:szCs w:val="20"/>
                <w:color w:val="auto"/>
              </w:rPr>
            </w:pPr>
            <w:r>
              <w:rPr>
                <w:rFonts w:ascii="Arial" w:cs="Arial" w:eastAsia="Arial" w:hAnsi="Arial"/>
                <w:sz w:val="14"/>
                <w:szCs w:val="14"/>
                <w:b w:val="1"/>
                <w:bCs w:val="1"/>
                <w:color w:val="auto"/>
                <w:w w:val="95"/>
              </w:rPr>
              <w:t>25 Greens Hill Lane,</w:t>
            </w:r>
          </w:p>
        </w:tc>
        <w:tc>
          <w:tcPr>
            <w:tcW w:w="1920" w:type="dxa"/>
            <w:vAlign w:val="bottom"/>
          </w:tcPr>
          <w:p>
            <w:pPr>
              <w:spacing w:after="0"/>
              <w:rPr>
                <w:sz w:val="24"/>
                <w:szCs w:val="24"/>
                <w:color w:val="auto"/>
              </w:rPr>
            </w:pPr>
          </w:p>
        </w:tc>
      </w:tr>
      <w:tr>
        <w:trPr>
          <w:trHeight w:val="203"/>
        </w:trPr>
        <w:tc>
          <w:tcPr>
            <w:tcW w:w="3160" w:type="dxa"/>
            <w:vAlign w:val="bottom"/>
          </w:tcPr>
          <w:p>
            <w:pPr>
              <w:jc w:val="center"/>
              <w:ind w:right="728"/>
              <w:spacing w:after="0"/>
              <w:rPr>
                <w:sz w:val="20"/>
                <w:szCs w:val="20"/>
                <w:color w:val="auto"/>
              </w:rPr>
            </w:pPr>
            <w:r>
              <w:rPr>
                <w:rFonts w:ascii="Arial" w:cs="Arial" w:eastAsia="Arial" w:hAnsi="Arial"/>
                <w:sz w:val="14"/>
                <w:szCs w:val="14"/>
                <w:b w:val="1"/>
                <w:bCs w:val="1"/>
                <w:color w:val="auto"/>
                <w:w w:val="95"/>
              </w:rPr>
              <w:t>Rutland, Vermont</w:t>
            </w:r>
          </w:p>
        </w:tc>
        <w:tc>
          <w:tcPr>
            <w:tcW w:w="1920" w:type="dxa"/>
            <w:vAlign w:val="bottom"/>
          </w:tcPr>
          <w:p>
            <w:pPr>
              <w:jc w:val="center"/>
              <w:ind w:left="688"/>
              <w:spacing w:after="0"/>
              <w:rPr>
                <w:sz w:val="20"/>
                <w:szCs w:val="20"/>
                <w:color w:val="auto"/>
              </w:rPr>
            </w:pPr>
            <w:r>
              <w:rPr>
                <w:rFonts w:ascii="Arial" w:cs="Arial" w:eastAsia="Arial" w:hAnsi="Arial"/>
                <w:sz w:val="14"/>
                <w:szCs w:val="14"/>
                <w:b w:val="1"/>
                <w:bCs w:val="1"/>
                <w:color w:val="auto"/>
                <w:w w:val="92"/>
              </w:rPr>
              <w:t>05701</w:t>
            </w:r>
          </w:p>
        </w:tc>
      </w:tr>
      <w:tr>
        <w:trPr>
          <w:trHeight w:val="203"/>
        </w:trPr>
        <w:tc>
          <w:tcPr>
            <w:tcW w:w="3160" w:type="dxa"/>
            <w:vAlign w:val="bottom"/>
          </w:tcPr>
          <w:p>
            <w:pPr>
              <w:jc w:val="center"/>
              <w:ind w:right="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20" w:type="dxa"/>
            <w:vAlign w:val="bottom"/>
          </w:tcPr>
          <w:p>
            <w:pPr>
              <w:jc w:val="center"/>
              <w:ind w:left="708"/>
              <w:spacing w:after="0"/>
              <w:rPr>
                <w:sz w:val="20"/>
                <w:szCs w:val="20"/>
                <w:color w:val="auto"/>
              </w:rPr>
            </w:pPr>
            <w:r>
              <w:rPr>
                <w:rFonts w:ascii="Arial" w:cs="Arial" w:eastAsia="Arial" w:hAnsi="Arial"/>
                <w:sz w:val="14"/>
                <w:szCs w:val="14"/>
                <w:b w:val="1"/>
                <w:bCs w:val="1"/>
                <w:color w:val="auto"/>
                <w:w w:val="95"/>
              </w:rPr>
              <w:t>(Zip Code)</w:t>
            </w:r>
          </w:p>
        </w:tc>
      </w:tr>
    </w:tbl>
    <w:p>
      <w:pPr>
        <w:spacing w:after="0" w:line="10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68580</wp:posOffset>
            </wp:positionV>
            <wp:extent cx="277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05"/>
        </w:trPr>
        <w:tc>
          <w:tcPr>
            <w:tcW w:w="3760" w:type="dxa"/>
            <w:vAlign w:val="bottom"/>
            <w:gridSpan w:val="2"/>
            <w:vMerge w:val="continue"/>
          </w:tcPr>
          <w:p>
            <w:pPr>
              <w:spacing w:after="0"/>
              <w:rPr>
                <w:sz w:val="9"/>
                <w:szCs w:val="9"/>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vMerge w:val="restart"/>
          </w:tcPr>
          <w:p>
            <w:pPr>
              <w:spacing w:after="0"/>
              <w:rPr>
                <w:sz w:val="9"/>
                <w:szCs w:val="9"/>
                <w:color w:val="auto"/>
              </w:rPr>
            </w:pPr>
          </w:p>
        </w:tc>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87"/>
        </w:trPr>
        <w:tc>
          <w:tcPr>
            <w:tcW w:w="3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Class A common stock, $0.01 par value per share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CWST</w:t>
            </w:r>
          </w:p>
        </w:tc>
        <w:tc>
          <w:tcPr>
            <w:tcW w:w="36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110"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63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635"/>
        </w:trPr>
        <w:tc>
          <w:tcPr>
            <w:tcW w:w="2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April 30, 2020:</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960" w:type="dxa"/>
            <w:vAlign w:val="bottom"/>
          </w:tcPr>
          <w:p>
            <w:pPr>
              <w:ind w:left="1600"/>
              <w:spacing w:after="0"/>
              <w:rPr>
                <w:sz w:val="20"/>
                <w:szCs w:val="20"/>
                <w:color w:val="auto"/>
              </w:rPr>
            </w:pPr>
            <w:r>
              <w:rPr>
                <w:rFonts w:ascii="Arial" w:cs="Arial" w:eastAsia="Arial" w:hAnsi="Arial"/>
                <w:sz w:val="16"/>
                <w:szCs w:val="16"/>
                <w:color w:val="auto"/>
              </w:rPr>
              <w:t>Class A common stock, $0.01 par value per share:</w:t>
            </w:r>
          </w:p>
        </w:tc>
        <w:tc>
          <w:tcPr>
            <w:tcW w:w="5280" w:type="dxa"/>
            <w:vAlign w:val="bottom"/>
          </w:tcPr>
          <w:p>
            <w:pPr>
              <w:jc w:val="right"/>
              <w:ind w:right="3359"/>
              <w:spacing w:after="0"/>
              <w:rPr>
                <w:sz w:val="20"/>
                <w:szCs w:val="20"/>
                <w:color w:val="auto"/>
              </w:rPr>
            </w:pPr>
            <w:r>
              <w:rPr>
                <w:rFonts w:ascii="Arial" w:cs="Arial" w:eastAsia="Arial" w:hAnsi="Arial"/>
                <w:sz w:val="16"/>
                <w:szCs w:val="16"/>
                <w:color w:val="auto"/>
              </w:rPr>
              <w:t>47,321,483</w:t>
            </w:r>
          </w:p>
        </w:tc>
      </w:tr>
      <w:tr>
        <w:trPr>
          <w:trHeight w:val="256"/>
        </w:trPr>
        <w:tc>
          <w:tcPr>
            <w:tcW w:w="5960" w:type="dxa"/>
            <w:vAlign w:val="bottom"/>
          </w:tcPr>
          <w:p>
            <w:pPr>
              <w:ind w:left="1600"/>
              <w:spacing w:after="0"/>
              <w:rPr>
                <w:sz w:val="20"/>
                <w:szCs w:val="20"/>
                <w:color w:val="auto"/>
              </w:rPr>
            </w:pPr>
            <w:r>
              <w:rPr>
                <w:rFonts w:ascii="Arial" w:cs="Arial" w:eastAsia="Arial" w:hAnsi="Arial"/>
                <w:sz w:val="16"/>
                <w:szCs w:val="16"/>
                <w:color w:val="auto"/>
              </w:rPr>
              <w:t>Class B common stock, $0.01 par value per share:</w:t>
            </w:r>
          </w:p>
        </w:tc>
        <w:tc>
          <w:tcPr>
            <w:tcW w:w="5280" w:type="dxa"/>
            <w:vAlign w:val="bottom"/>
          </w:tcPr>
          <w:p>
            <w:pPr>
              <w:jc w:val="right"/>
              <w:ind w:right="3359"/>
              <w:spacing w:after="0"/>
              <w:rPr>
                <w:sz w:val="20"/>
                <w:szCs w:val="20"/>
                <w:color w:val="auto"/>
              </w:rPr>
            </w:pPr>
            <w:r>
              <w:rPr>
                <w:rFonts w:ascii="Arial" w:cs="Arial" w:eastAsia="Arial" w:hAnsi="Arial"/>
                <w:sz w:val="16"/>
                <w:szCs w:val="16"/>
                <w:color w:val="auto"/>
              </w:rPr>
              <w:t>988,200</w:t>
            </w:r>
          </w:p>
        </w:tc>
      </w:tr>
      <w:tr>
        <w:trPr>
          <w:trHeight w:val="411"/>
        </w:trPr>
        <w:tc>
          <w:tcPr>
            <w:tcW w:w="59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771"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43"/>
        </w:trPr>
        <w:tc>
          <w:tcPr>
            <w:tcW w:w="8240" w:type="dxa"/>
            <w:vAlign w:val="bottom"/>
          </w:tcPr>
          <w:p>
            <w:pPr>
              <w:ind w:left="680"/>
              <w:spacing w:after="0"/>
              <w:rPr>
                <w:sz w:val="20"/>
                <w:szCs w:val="20"/>
                <w:color w:val="auto"/>
              </w:rPr>
            </w:pPr>
            <w:r>
              <w:rPr>
                <w:rFonts w:ascii="Arial" w:cs="Arial" w:eastAsia="Arial" w:hAnsi="Arial"/>
                <w:sz w:val="18"/>
                <w:szCs w:val="18"/>
                <w:color w:val="auto"/>
              </w:rPr>
              <w:t>Accounts receivable, net of allowance for credit losses of $2,092 and $1,468, respectively</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73,509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80,205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Refundable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8,728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119,554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102,813</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and amortization of $862,783 and $844,874,</w:t>
            </w:r>
          </w:p>
        </w:tc>
        <w:tc>
          <w:tcPr>
            <w:tcW w:w="220" w:type="dxa"/>
            <w:vAlign w:val="bottom"/>
          </w:tcPr>
          <w:p>
            <w:pPr>
              <w:spacing w:after="0"/>
              <w:rPr>
                <w:sz w:val="15"/>
                <w:szCs w:val="15"/>
                <w:color w:val="auto"/>
              </w:rPr>
            </w:pPr>
          </w:p>
        </w:tc>
        <w:tc>
          <w:tcPr>
            <w:tcW w:w="1220" w:type="dxa"/>
            <w:vAlign w:val="bottom"/>
            <w:vMerge w:val="restart"/>
          </w:tcPr>
          <w:p>
            <w:pPr>
              <w:jc w:val="right"/>
              <w:ind w:right="73"/>
              <w:spacing w:after="0"/>
              <w:rPr>
                <w:sz w:val="20"/>
                <w:szCs w:val="20"/>
                <w:color w:val="auto"/>
              </w:rPr>
            </w:pPr>
            <w:r>
              <w:rPr>
                <w:rFonts w:ascii="Arial" w:cs="Arial" w:eastAsia="Arial" w:hAnsi="Arial"/>
                <w:sz w:val="18"/>
                <w:szCs w:val="18"/>
                <w:color w:val="auto"/>
              </w:rPr>
              <w:t>454,800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8"/>
                <w:szCs w:val="18"/>
                <w:color w:val="auto"/>
              </w:rPr>
              <w:t>443,825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107,133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108,025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186,626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185,819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57,943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58,721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11,651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11,552</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957,640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932,182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64,396</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14,375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Current accrued capping, closure and post-closure costs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130,589</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547,729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509,021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70,709</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63,661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61,704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39,192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34,763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Casella Waste Systems, Inc.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800"/>
              <w:spacing w:after="0" w:line="176" w:lineRule="exact"/>
              <w:rPr>
                <w:sz w:val="20"/>
                <w:szCs w:val="20"/>
                <w:color w:val="auto"/>
              </w:rPr>
            </w:pPr>
            <w:r>
              <w:rPr>
                <w:rFonts w:ascii="Arial" w:cs="Arial" w:eastAsia="Arial" w:hAnsi="Arial"/>
                <w:sz w:val="18"/>
                <w:szCs w:val="18"/>
                <w:color w:val="auto"/>
                <w:w w:val="94"/>
              </w:rPr>
              <w:t>Class A common stock, 0.01 par value per share; 100,000,000 shares authorized; 47,320,000 and</w:t>
            </w:r>
          </w:p>
        </w:tc>
        <w:tc>
          <w:tcPr>
            <w:tcW w:w="220" w:type="dxa"/>
            <w:vAlign w:val="bottom"/>
          </w:tcPr>
          <w:p>
            <w:pPr>
              <w:spacing w:after="0"/>
              <w:rPr>
                <w:sz w:val="15"/>
                <w:szCs w:val="15"/>
                <w:color w:val="auto"/>
              </w:rPr>
            </w:pPr>
          </w:p>
        </w:tc>
        <w:tc>
          <w:tcPr>
            <w:tcW w:w="1220" w:type="dxa"/>
            <w:vAlign w:val="bottom"/>
            <w:vMerge w:val="restart"/>
          </w:tcPr>
          <w:p>
            <w:pPr>
              <w:jc w:val="right"/>
              <w:ind w:right="72"/>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9"/>
        </w:trPr>
        <w:tc>
          <w:tcPr>
            <w:tcW w:w="8240" w:type="dxa"/>
            <w:vAlign w:val="bottom"/>
          </w:tcPr>
          <w:p>
            <w:pPr>
              <w:ind w:left="800"/>
              <w:spacing w:after="0"/>
              <w:rPr>
                <w:sz w:val="20"/>
                <w:szCs w:val="20"/>
                <w:color w:val="auto"/>
              </w:rPr>
            </w:pPr>
            <w:r>
              <w:rPr>
                <w:rFonts w:ascii="Arial" w:cs="Arial" w:eastAsia="Arial" w:hAnsi="Arial"/>
                <w:sz w:val="18"/>
                <w:szCs w:val="18"/>
                <w:color w:val="auto"/>
              </w:rPr>
              <w:t>46,803,000 shares issued and outstanding, respectively</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800"/>
              <w:spacing w:after="0" w:line="176" w:lineRule="exact"/>
              <w:rPr>
                <w:sz w:val="20"/>
                <w:szCs w:val="20"/>
                <w:color w:val="auto"/>
              </w:rPr>
            </w:pPr>
            <w:r>
              <w:rPr>
                <w:rFonts w:ascii="Arial" w:cs="Arial" w:eastAsia="Arial" w:hAnsi="Arial"/>
                <w:sz w:val="18"/>
                <w:szCs w:val="18"/>
                <w:color w:val="auto"/>
                <w:w w:val="90"/>
              </w:rPr>
              <w:t>Class B common stock, 0.01 par value per share; 1,000,000 shares authorized; 988,000 shares issued</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and outstanding, respectively; 10 votes per share</w:t>
            </w: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7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486,989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485,332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(357,016)</w:t>
            </w:r>
          </w:p>
        </w:tc>
        <w:tc>
          <w:tcPr>
            <w:tcW w:w="0" w:type="dxa"/>
            <w:vAlign w:val="bottom"/>
          </w:tcPr>
          <w:p>
            <w:pPr>
              <w:spacing w:after="0"/>
              <w:rPr>
                <w:sz w:val="1"/>
                <w:szCs w:val="1"/>
                <w:color w:val="auto"/>
              </w:rPr>
            </w:pPr>
          </w:p>
        </w:tc>
      </w:tr>
      <w:tr>
        <w:trPr>
          <w:trHeight w:val="243"/>
        </w:trPr>
        <w:tc>
          <w:tcPr>
            <w:tcW w:w="8240" w:type="dxa"/>
            <w:vAlign w:val="bottom"/>
          </w:tcPr>
          <w:p>
            <w:pPr>
              <w:ind w:left="7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117,996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122,753</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957,640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932,182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4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13335</wp:posOffset>
            </wp:positionV>
            <wp:extent cx="1800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182,910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163,664</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128,518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117,759</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24,352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21,406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17,489</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Expense from acquisition activities and other items</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Southbridge landfill closure charge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7"/>
        </w:trPr>
        <w:tc>
          <w:tcPr>
            <w:tcW w:w="84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175,898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159,222</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48,005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45,913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00" w:type="dxa"/>
            <w:vAlign w:val="bottom"/>
          </w:tcPr>
          <w:p>
            <w:pPr>
              <w:ind w:left="34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0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48,262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45,913</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Hedging activity: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540"/>
              <w:spacing w:after="0"/>
              <w:rPr>
                <w:sz w:val="20"/>
                <w:szCs w:val="20"/>
                <w:color w:val="auto"/>
              </w:rPr>
            </w:pPr>
            <w:r>
              <w:rPr>
                <w:rFonts w:ascii="Arial" w:cs="Arial" w:eastAsia="Arial" w:hAnsi="Arial"/>
                <w:sz w:val="18"/>
                <w:szCs w:val="18"/>
                <w:color w:val="auto"/>
              </w:rPr>
              <w:t>Interest rate swap settlements</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Interest rate swap amounts reclassified into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r>
      <w:tr>
        <w:trPr>
          <w:trHeight w:val="243"/>
        </w:trPr>
        <w:tc>
          <w:tcPr>
            <w:tcW w:w="8260" w:type="dxa"/>
            <w:vAlign w:val="bottom"/>
          </w:tcPr>
          <w:p>
            <w:pPr>
              <w:ind w:left="540"/>
              <w:spacing w:after="0"/>
              <w:rPr>
                <w:sz w:val="20"/>
                <w:szCs w:val="20"/>
                <w:color w:val="auto"/>
              </w:rPr>
            </w:pPr>
            <w:r>
              <w:rPr>
                <w:rFonts w:ascii="Arial" w:cs="Arial" w:eastAsia="Arial" w:hAnsi="Arial"/>
                <w:sz w:val="18"/>
                <w:szCs w:val="18"/>
                <w:color w:val="auto"/>
              </w:rPr>
              <w:t>Unrealized loss resulting from changes in fair value of derivative instruments</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(1,554)</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Income tax benefit related to items of other comprehensive loss</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(3,271)</w:t>
            </w:r>
          </w:p>
        </w:tc>
      </w:tr>
      <w:tr>
        <w:trPr>
          <w:trHeight w:val="27"/>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A</w:t>
            </w:r>
          </w:p>
        </w:tc>
        <w:tc>
          <w:tcPr>
            <w:tcW w:w="15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4"/>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w w:val="93"/>
              </w:rPr>
              <w:t>Accumulated Other</w:t>
            </w:r>
          </w:p>
        </w:tc>
      </w:tr>
      <w:tr>
        <w:trPr>
          <w:trHeight w:val="18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Paid-In Capital</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w w:val="85"/>
              </w:rPr>
              <w:t>Comprehensive Loss</w:t>
            </w:r>
          </w:p>
        </w:tc>
      </w:tr>
      <w:tr>
        <w:trPr>
          <w:trHeight w:val="203"/>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98"/>
              </w:rPr>
              <w:t>122,753</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46,803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468</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485,332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(357,016)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(6,041)</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Cumulative effect of new accounting principle</w:t>
            </w:r>
          </w:p>
        </w:tc>
        <w:tc>
          <w:tcPr>
            <w:tcW w:w="12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Issuances of Class A common stock</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7"/>
        </w:trPr>
        <w:tc>
          <w:tcPr>
            <w:tcW w:w="398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7"/>
        </w:trPr>
        <w:tc>
          <w:tcPr>
            <w:tcW w:w="3980" w:type="dxa"/>
            <w:vAlign w:val="bottom"/>
          </w:tcPr>
          <w:p>
            <w:pPr>
              <w:ind w:left="340"/>
              <w:spacing w:after="0"/>
              <w:rPr>
                <w:sz w:val="20"/>
                <w:szCs w:val="20"/>
                <w:color w:val="auto"/>
              </w:rPr>
            </w:pPr>
            <w:r>
              <w:rPr>
                <w:rFonts w:ascii="Arial" w:cs="Arial" w:eastAsia="Arial" w:hAnsi="Arial"/>
                <w:sz w:val="14"/>
                <w:szCs w:val="14"/>
                <w:color w:val="auto"/>
              </w:rPr>
              <w:t>Hedging activity</w:t>
            </w:r>
          </w:p>
        </w:tc>
        <w:tc>
          <w:tcPr>
            <w:tcW w:w="12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(7,189)</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(7,189)</w:t>
            </w:r>
          </w:p>
        </w:tc>
      </w:tr>
      <w:tr>
        <w:trPr>
          <w:trHeight w:val="227"/>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98"/>
              </w:rPr>
              <w:t>117,996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47,320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988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486,989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(356,246)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(13,230)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712"/>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A</w:t>
            </w:r>
          </w:p>
        </w:tc>
        <w:tc>
          <w:tcPr>
            <w:tcW w:w="15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4"/>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w w:val="93"/>
              </w:rPr>
              <w:t>Accumulated Other</w:t>
            </w:r>
          </w:p>
        </w:tc>
      </w:tr>
      <w:tr>
        <w:trPr>
          <w:trHeight w:val="18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Paid-In Capital</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w w:val="85"/>
              </w:rPr>
              <w:t>Comprehensive Loss</w:t>
            </w:r>
          </w:p>
        </w:tc>
      </w:tr>
      <w:tr>
        <w:trPr>
          <w:trHeight w:val="203"/>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(15,832)</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41,944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419</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373,716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(388,669)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Issuance of Class A common stock - equity offering</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w w:val="98"/>
              </w:rPr>
              <w:t>100,446</w:t>
            </w:r>
          </w:p>
        </w:tc>
        <w:tc>
          <w:tcPr>
            <w:tcW w:w="100" w:type="dxa"/>
            <w:vAlign w:val="bottom"/>
          </w:tcPr>
          <w:p>
            <w:pPr>
              <w:spacing w:after="0"/>
              <w:rPr>
                <w:sz w:val="17"/>
                <w:szCs w:val="17"/>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rPr>
              <w:t>3,565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100,410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Class A common stock - acquisition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Issuances of Class A common stock</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Comprehensive loss: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8"/>
        </w:trPr>
        <w:tc>
          <w:tcPr>
            <w:tcW w:w="3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Hedging activity</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(1,557)</w:t>
            </w:r>
          </w:p>
        </w:tc>
      </w:tr>
      <w:tr>
        <w:trPr>
          <w:trHeight w:val="202"/>
        </w:trPr>
        <w:tc>
          <w:tcPr>
            <w:tcW w:w="3980" w:type="dxa"/>
            <w:vAlign w:val="bottom"/>
          </w:tcPr>
          <w:p>
            <w:pPr>
              <w:ind w:left="20"/>
              <w:spacing w:after="0"/>
              <w:rPr>
                <w:sz w:val="20"/>
                <w:szCs w:val="20"/>
                <w:color w:val="auto"/>
              </w:rPr>
            </w:pPr>
            <w:r>
              <w:rPr>
                <w:rFonts w:ascii="Arial" w:cs="Arial" w:eastAsia="Arial" w:hAnsi="Arial"/>
                <w:sz w:val="14"/>
                <w:szCs w:val="14"/>
                <w:color w:val="auto"/>
              </w:rPr>
              <w:t>Balance,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83,034</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46,252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475,809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(390,383)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(2,865)</w:t>
            </w: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13335</wp:posOffset>
            </wp:positionV>
            <wp:extent cx="1877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(1,714)</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21,406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17,489</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Depletion of landfill operating lease obligations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1,804</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lease right-of-use assets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Loss (gain) on sale of property and equipment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Southbridge Landfill non-cash closure charge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Non-cash expense from acquisition activities and other items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96"/>
        </w:trPr>
        <w:tc>
          <w:tcPr>
            <w:tcW w:w="8260" w:type="dxa"/>
            <w:vAlign w:val="bottom"/>
          </w:tcPr>
          <w:p>
            <w:pPr>
              <w:ind w:left="660"/>
              <w:spacing w:after="0"/>
              <w:rPr>
                <w:sz w:val="20"/>
                <w:szCs w:val="20"/>
                <w:color w:val="auto"/>
              </w:rPr>
            </w:pPr>
            <w:r>
              <w:rPr>
                <w:rFonts w:ascii="Arial" w:cs="Arial" w:eastAsia="Arial" w:hAnsi="Arial"/>
                <w:sz w:val="14"/>
                <w:szCs w:val="14"/>
                <w:color w:val="auto"/>
              </w:rPr>
              <w:t>Landfill operating lease contract expenditures</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(7,904)</w:t>
            </w:r>
          </w:p>
        </w:tc>
        <w:tc>
          <w:tcPr>
            <w:tcW w:w="0" w:type="dxa"/>
            <w:vAlign w:val="bottom"/>
          </w:tcPr>
          <w:p>
            <w:pPr>
              <w:spacing w:after="0"/>
              <w:rPr>
                <w:sz w:val="1"/>
                <w:szCs w:val="1"/>
                <w:color w:val="auto"/>
              </w:rPr>
            </w:pPr>
          </w:p>
        </w:tc>
      </w:tr>
      <w:tr>
        <w:trPr>
          <w:trHeight w:val="196"/>
        </w:trPr>
        <w:tc>
          <w:tcPr>
            <w:tcW w:w="8260" w:type="dxa"/>
            <w:vAlign w:val="bottom"/>
          </w:tcPr>
          <w:p>
            <w:pPr>
              <w:ind w:left="660"/>
              <w:spacing w:after="0"/>
              <w:rPr>
                <w:sz w:val="20"/>
                <w:szCs w:val="20"/>
                <w:color w:val="auto"/>
              </w:rPr>
            </w:pPr>
            <w:r>
              <w:rPr>
                <w:rFonts w:ascii="Arial" w:cs="Arial" w:eastAsia="Arial" w:hAnsi="Arial"/>
                <w:sz w:val="14"/>
                <w:szCs w:val="14"/>
                <w:color w:val="auto"/>
              </w:rPr>
              <w:t>Prepaid expenses, inventories and other assets</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expenses, contract liabilities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(10,490)</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14,791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4,777</w:t>
            </w:r>
          </w:p>
        </w:tc>
        <w:tc>
          <w:tcPr>
            <w:tcW w:w="0" w:type="dxa"/>
            <w:vAlign w:val="bottom"/>
          </w:tcPr>
          <w:p>
            <w:pPr>
              <w:spacing w:after="0"/>
              <w:rPr>
                <w:sz w:val="1"/>
                <w:szCs w:val="1"/>
                <w:color w:val="auto"/>
              </w:rPr>
            </w:pPr>
          </w:p>
        </w:tc>
      </w:tr>
      <w:tr>
        <w:trPr>
          <w:trHeight w:val="18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260" w:type="dxa"/>
            <w:vAlign w:val="bottom"/>
          </w:tcPr>
          <w:p>
            <w:pPr>
              <w:ind w:left="34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(5,144)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(18,243)</w:t>
            </w:r>
          </w:p>
        </w:tc>
        <w:tc>
          <w:tcPr>
            <w:tcW w:w="0" w:type="dxa"/>
            <w:vAlign w:val="bottom"/>
          </w:tcPr>
          <w:p>
            <w:pPr>
              <w:spacing w:after="0"/>
              <w:rPr>
                <w:sz w:val="1"/>
                <w:szCs w:val="1"/>
                <w:color w:val="auto"/>
              </w:rPr>
            </w:pPr>
          </w:p>
        </w:tc>
      </w:tr>
      <w:tr>
        <w:trPr>
          <w:trHeight w:val="197"/>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(24,944)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(19,408)</w:t>
            </w:r>
          </w:p>
        </w:tc>
        <w:tc>
          <w:tcPr>
            <w:tcW w:w="0" w:type="dxa"/>
            <w:vAlign w:val="bottom"/>
          </w:tcPr>
          <w:p>
            <w:pPr>
              <w:spacing w:after="0"/>
              <w:rPr>
                <w:sz w:val="1"/>
                <w:szCs w:val="1"/>
                <w:color w:val="auto"/>
              </w:rPr>
            </w:pPr>
          </w:p>
        </w:tc>
      </w:tr>
      <w:tr>
        <w:trPr>
          <w:trHeight w:val="177"/>
        </w:trPr>
        <w:tc>
          <w:tcPr>
            <w:tcW w:w="82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debt borrowings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10,600</w:t>
            </w:r>
          </w:p>
        </w:tc>
        <w:tc>
          <w:tcPr>
            <w:tcW w:w="0" w:type="dxa"/>
            <w:vAlign w:val="bottom"/>
          </w:tcPr>
          <w:p>
            <w:pPr>
              <w:spacing w:after="0"/>
              <w:rPr>
                <w:sz w:val="1"/>
                <w:szCs w:val="1"/>
                <w:color w:val="auto"/>
              </w:rPr>
            </w:pPr>
          </w:p>
        </w:tc>
      </w:tr>
      <w:tr>
        <w:trPr>
          <w:trHeight w:val="197"/>
        </w:trPr>
        <w:tc>
          <w:tcPr>
            <w:tcW w:w="8260" w:type="dxa"/>
            <w:vAlign w:val="bottom"/>
          </w:tcPr>
          <w:p>
            <w:pPr>
              <w:ind w:left="340"/>
              <w:spacing w:after="0"/>
              <w:rPr>
                <w:sz w:val="20"/>
                <w:szCs w:val="20"/>
                <w:color w:val="auto"/>
              </w:rPr>
            </w:pPr>
            <w:r>
              <w:rPr>
                <w:rFonts w:ascii="Arial" w:cs="Arial" w:eastAsia="Arial" w:hAnsi="Arial"/>
                <w:sz w:val="14"/>
                <w:szCs w:val="14"/>
                <w:color w:val="auto"/>
              </w:rPr>
              <w:t>Principal payments on debt</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(40,686)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(80,746)</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of debt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260" w:type="dxa"/>
            <w:vAlign w:val="bottom"/>
          </w:tcPr>
          <w:p>
            <w:pPr>
              <w:ind w:left="340"/>
              <w:spacing w:after="0"/>
              <w:rPr>
                <w:sz w:val="20"/>
                <w:szCs w:val="20"/>
                <w:color w:val="auto"/>
              </w:rPr>
            </w:pPr>
            <w:r>
              <w:rPr>
                <w:rFonts w:ascii="Arial" w:cs="Arial" w:eastAsia="Arial" w:hAnsi="Arial"/>
                <w:sz w:val="14"/>
                <w:szCs w:val="14"/>
                <w:color w:val="auto"/>
              </w:rPr>
              <w:t>Proceeds from the exercise of share based awards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the public issuance of Class A Common Stock</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100,446</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32,903</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30,560</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15,929</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3,471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4,007</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26,221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19,936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paid during the period for: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60" w:type="dxa"/>
            <w:vAlign w:val="bottom"/>
          </w:tcPr>
          <w:p>
            <w:pPr>
              <w:ind w:left="660"/>
              <w:spacing w:after="0"/>
              <w:rPr>
                <w:sz w:val="20"/>
                <w:szCs w:val="20"/>
                <w:color w:val="auto"/>
              </w:rPr>
            </w:pPr>
            <w:r>
              <w:rPr>
                <w:rFonts w:ascii="Arial" w:cs="Arial" w:eastAsia="Arial" w:hAnsi="Arial"/>
                <w:sz w:val="14"/>
                <w:szCs w:val="14"/>
                <w:color w:val="auto"/>
              </w:rPr>
              <w:t>Interest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5,372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5,718</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Income taxes, net of refunds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7"/>
        </w:trPr>
        <w:tc>
          <w:tcPr>
            <w:tcW w:w="8260" w:type="dxa"/>
            <w:vAlign w:val="bottom"/>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Non-current assets obtained through long-term obligations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Casella Waste Systems, Inc. (“Parent”), and its consolidated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Effective January 1, 2020, we reorganized our operations to consist of a single resource-renewal focused operation by combining our larger-scale recycling and commodity brokerage operations along with our organics services and major account and industrial services into our Resource Solutions segment. We continue to manage our solid waste operations on a geographic basis through two regional operating segments, the Eastern and Western regions, each of which provides a full range of solid waste services. Legal, tax, information technology, human resources, certain finance and accounting and other administrative functions are included in our Corporate Entities segment. Segment information reported in the three months ended March 31, 2019 and as of December 31, 2019 has been reclassified to conform with the three months ended March 31, 2020 and as of March 31, 2020 presentation.</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2019, which was filed with the SEC on February 21, 2020.</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months ended March 31, 2020 may not be indicative of the results for any other interim period or the entire fiscal year. The consolidated financial statements presented herein should be read in conjunction with our audited consolidated financial statements included in our Annual Report on Form 10-K for the fiscal year ended December 31,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With the global outbreak of the novel coronavirus ("COVID-19") and the declaration of a pandemic by the World Health Organization in March 2020, the U.S. Government and all of the states in which we operate have declared the waste services industry as an essential services provider and as a result we are committed to continue to operate and provide our full breadth of services. We have prioritized the safety and well-being of our employees by strictly adhering to recommendations of the Centers for Disease Control and Prevention as well as executive orders of the states in which we operate.</w:t>
      </w:r>
    </w:p>
    <w:p>
      <w:pPr>
        <w:spacing w:after="0" w:line="49"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 COVID-19 outbreak has caused, and is likely to continue to cause, significant economic disruption across our geographic footprint and has adversely affected, and is expected to continue to adversely affect, our business. COVID-19 negatively impacted our revenues at the end of the quarter ended March 31, 2020 as many collection customers required service level changes and volumes into our landfills declined. We have experienced an increase in certain costs associated with the protection of our employees including costs for additional safety equipment, hygiene products and enhanced facility cleaning.</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These costs are expected to continue throughout the remainder of the year. We have also taken immediate measures to reduce costs in other areas and preserve liquidity during this period of uncertainty. As of the date of this filing, we are unable to determine or predict the nature, duration or scope of the overall impact that COVID-19 will have on our business, results of operations, liquidity and capital resources.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March 31, 2020 through the date of filing of the consolidated financial statements with the SEC on this Quarterly Report on Form 10-Q. We have determined that there are no subsequent events that require disclosure in this Quarterly Report on Form 10-Q.</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ACCOUNTING CHANGES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based on current account balances and activity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90"/>
        </w:trPr>
        <w:tc>
          <w:tcPr>
            <w:tcW w:w="4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adopted effective January 1, 2020</w:t>
            </w:r>
          </w:p>
        </w:tc>
        <w:tc>
          <w:tcPr>
            <w:tcW w:w="26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18" w:lineRule="exact"/>
        <w:rPr>
          <w:sz w:val="20"/>
          <w:szCs w:val="20"/>
          <w:color w:val="auto"/>
        </w:rPr>
      </w:pPr>
    </w:p>
    <w:p>
      <w:pPr>
        <w:ind w:left="20"/>
        <w:spacing w:after="0" w:line="291" w:lineRule="auto"/>
        <w:rPr>
          <w:sz w:val="20"/>
          <w:szCs w:val="20"/>
          <w:color w:val="auto"/>
        </w:rPr>
      </w:pPr>
      <w:r>
        <w:rPr>
          <w:rFonts w:ascii="Arial" w:cs="Arial" w:eastAsia="Arial" w:hAnsi="Arial"/>
          <w:sz w:val="16"/>
          <w:szCs w:val="16"/>
          <w:color w:val="auto"/>
        </w:rPr>
        <w:t>ASU No. 2016-13, as amended through Requires that an entity measures all of its expected March 2020: Financial Instrument Credit credit losses for financial assets held based on</w:t>
      </w:r>
    </w:p>
    <w:p>
      <w:pPr>
        <w:ind w:left="20"/>
        <w:spacing w:after="0"/>
        <w:tabs>
          <w:tab w:leader="none" w:pos="3160" w:val="left"/>
        </w:tabs>
        <w:rPr>
          <w:sz w:val="20"/>
          <w:szCs w:val="20"/>
          <w:color w:val="auto"/>
        </w:rPr>
      </w:pPr>
      <w:r>
        <w:rPr>
          <w:rFonts w:ascii="Arial" w:cs="Arial" w:eastAsia="Arial" w:hAnsi="Arial"/>
          <w:sz w:val="18"/>
          <w:szCs w:val="18"/>
          <w:color w:val="auto"/>
        </w:rPr>
        <w:t>Losses (Topic 326)</w:t>
      </w:r>
      <w:r>
        <w:rPr>
          <w:sz w:val="20"/>
          <w:szCs w:val="20"/>
          <w:color w:val="auto"/>
        </w:rPr>
        <w:tab/>
      </w:r>
      <w:r>
        <w:rPr>
          <w:rFonts w:ascii="Arial" w:cs="Arial" w:eastAsia="Arial" w:hAnsi="Arial"/>
          <w:sz w:val="16"/>
          <w:szCs w:val="16"/>
          <w:color w:val="auto"/>
        </w:rPr>
        <w:t>historical experience, current conditions, and</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reasonable and supportable forecasts.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 adopted this guidance effective January 1, 2020</w:t>
      </w:r>
    </w:p>
    <w:p>
      <w:pPr>
        <w:spacing w:after="0" w:line="215" w:lineRule="auto"/>
        <w:rPr>
          <w:sz w:val="20"/>
          <w:szCs w:val="20"/>
          <w:color w:val="auto"/>
        </w:rPr>
      </w:pPr>
      <w:r>
        <w:rPr>
          <w:rFonts w:ascii="Arial" w:cs="Arial" w:eastAsia="Arial" w:hAnsi="Arial"/>
          <w:sz w:val="17"/>
          <w:szCs w:val="17"/>
          <w:color w:val="auto"/>
        </w:rPr>
        <w:t>using the required modified-retrospective approach.</w:t>
      </w:r>
    </w:p>
    <w:p>
      <w:pPr>
        <w:spacing w:after="0" w:line="203" w:lineRule="auto"/>
        <w:rPr>
          <w:sz w:val="20"/>
          <w:szCs w:val="20"/>
          <w:color w:val="auto"/>
        </w:rPr>
      </w:pPr>
      <w:r>
        <w:rPr>
          <w:rFonts w:ascii="Arial" w:cs="Arial" w:eastAsia="Arial" w:hAnsi="Arial"/>
          <w:sz w:val="18"/>
          <w:szCs w:val="18"/>
          <w:color w:val="auto"/>
        </w:rPr>
        <w:t>We recognized a cumulative effect adjustment of</w:t>
      </w:r>
    </w:p>
    <w:p>
      <w:pPr>
        <w:spacing w:after="0" w:line="229" w:lineRule="auto"/>
        <w:rPr>
          <w:sz w:val="20"/>
          <w:szCs w:val="20"/>
          <w:color w:val="auto"/>
        </w:rPr>
      </w:pPr>
      <w:r>
        <w:rPr>
          <w:rFonts w:ascii="Arial" w:cs="Arial" w:eastAsia="Arial" w:hAnsi="Arial"/>
          <w:sz w:val="16"/>
          <w:szCs w:val="16"/>
          <w:color w:val="auto"/>
        </w:rPr>
        <w:t>$(189) to retained earnings upon implementation. This</w:t>
      </w:r>
    </w:p>
    <w:p>
      <w:pPr>
        <w:spacing w:after="0" w:line="229" w:lineRule="auto"/>
        <w:rPr>
          <w:sz w:val="20"/>
          <w:szCs w:val="20"/>
          <w:color w:val="auto"/>
        </w:rPr>
      </w:pPr>
      <w:r>
        <w:rPr>
          <w:rFonts w:ascii="Arial" w:cs="Arial" w:eastAsia="Arial" w:hAnsi="Arial"/>
          <w:sz w:val="16"/>
          <w:szCs w:val="16"/>
          <w:color w:val="auto"/>
        </w:rPr>
        <w:t>guidance replaces the incurred loss methodology with</w:t>
      </w:r>
    </w:p>
    <w:p>
      <w:pPr>
        <w:spacing w:after="0" w:line="216" w:lineRule="auto"/>
        <w:rPr>
          <w:sz w:val="20"/>
          <w:szCs w:val="20"/>
          <w:color w:val="auto"/>
        </w:rPr>
      </w:pPr>
      <w:r>
        <w:rPr>
          <w:rFonts w:ascii="Arial" w:cs="Arial" w:eastAsia="Arial" w:hAnsi="Arial"/>
          <w:sz w:val="17"/>
          <w:szCs w:val="17"/>
          <w:color w:val="auto"/>
        </w:rPr>
        <w:t>an expected loss methodology that is referred to as</w:t>
      </w:r>
    </w:p>
    <w:p>
      <w:pPr>
        <w:spacing w:after="0" w:line="215" w:lineRule="auto"/>
        <w:rPr>
          <w:sz w:val="20"/>
          <w:szCs w:val="20"/>
          <w:color w:val="auto"/>
        </w:rPr>
      </w:pPr>
      <w:r>
        <w:rPr>
          <w:rFonts w:ascii="Arial" w:cs="Arial" w:eastAsia="Arial" w:hAnsi="Arial"/>
          <w:sz w:val="17"/>
          <w:szCs w:val="17"/>
          <w:color w:val="auto"/>
        </w:rPr>
        <w:t>current expected credit loss ("CECL") methodology.</w:t>
      </w:r>
    </w:p>
    <w:p>
      <w:pPr>
        <w:spacing w:after="0" w:line="216" w:lineRule="auto"/>
        <w:rPr>
          <w:sz w:val="20"/>
          <w:szCs w:val="20"/>
          <w:color w:val="auto"/>
        </w:rPr>
      </w:pPr>
      <w:r>
        <w:rPr>
          <w:rFonts w:ascii="Arial" w:cs="Arial" w:eastAsia="Arial" w:hAnsi="Arial"/>
          <w:sz w:val="17"/>
          <w:szCs w:val="17"/>
          <w:color w:val="auto"/>
        </w:rPr>
        <w:t>CECL requires consideration of past events, current</w:t>
      </w:r>
    </w:p>
    <w:p>
      <w:pPr>
        <w:spacing w:after="0" w:line="229" w:lineRule="auto"/>
        <w:rPr>
          <w:sz w:val="20"/>
          <w:szCs w:val="20"/>
          <w:color w:val="auto"/>
        </w:rPr>
      </w:pPr>
      <w:r>
        <w:rPr>
          <w:rFonts w:ascii="Arial" w:cs="Arial" w:eastAsia="Arial" w:hAnsi="Arial"/>
          <w:sz w:val="16"/>
          <w:szCs w:val="16"/>
          <w:color w:val="auto"/>
        </w:rPr>
        <w:t>conditions, and reasonable and supportable forecasts</w:t>
      </w:r>
    </w:p>
    <w:p>
      <w:pPr>
        <w:spacing w:after="0" w:line="229" w:lineRule="auto"/>
        <w:rPr>
          <w:sz w:val="20"/>
          <w:szCs w:val="20"/>
          <w:color w:val="auto"/>
        </w:rPr>
      </w:pPr>
      <w:r>
        <w:rPr>
          <w:rFonts w:ascii="Arial" w:cs="Arial" w:eastAsia="Arial" w:hAnsi="Arial"/>
          <w:sz w:val="16"/>
          <w:szCs w:val="16"/>
          <w:color w:val="auto"/>
        </w:rPr>
        <w:t>about the future to assess credit loss estimates and will</w:t>
      </w:r>
    </w:p>
    <w:p>
      <w:pPr>
        <w:spacing w:after="0" w:line="203" w:lineRule="auto"/>
        <w:rPr>
          <w:sz w:val="20"/>
          <w:szCs w:val="20"/>
          <w:color w:val="auto"/>
        </w:rPr>
      </w:pPr>
      <w:r>
        <w:rPr>
          <w:rFonts w:ascii="Arial" w:cs="Arial" w:eastAsia="Arial" w:hAnsi="Arial"/>
          <w:sz w:val="18"/>
          <w:szCs w:val="18"/>
          <w:color w:val="auto"/>
        </w:rPr>
        <w:t>generally result in the earlier recognition of an</w:t>
      </w:r>
    </w:p>
    <w:p>
      <w:pPr>
        <w:spacing w:after="0" w:line="204" w:lineRule="auto"/>
        <w:rPr>
          <w:sz w:val="20"/>
          <w:szCs w:val="20"/>
          <w:color w:val="auto"/>
        </w:rPr>
      </w:pPr>
      <w:r>
        <w:rPr>
          <w:rFonts w:ascii="Arial" w:cs="Arial" w:eastAsia="Arial" w:hAnsi="Arial"/>
          <w:sz w:val="18"/>
          <w:szCs w:val="18"/>
          <w:color w:val="auto"/>
        </w:rPr>
        <w:t>allowance for credit losses. We have updated our</w:t>
      </w:r>
    </w:p>
    <w:p>
      <w:pPr>
        <w:spacing w:after="0" w:line="203" w:lineRule="auto"/>
        <w:rPr>
          <w:sz w:val="20"/>
          <w:szCs w:val="20"/>
          <w:color w:val="auto"/>
        </w:rPr>
      </w:pPr>
      <w:r>
        <w:rPr>
          <w:rFonts w:ascii="Arial" w:cs="Arial" w:eastAsia="Arial" w:hAnsi="Arial"/>
          <w:sz w:val="18"/>
          <w:szCs w:val="18"/>
          <w:color w:val="auto"/>
        </w:rPr>
        <w:t>business processes and systems and controls to</w:t>
      </w:r>
    </w:p>
    <w:p>
      <w:pPr>
        <w:spacing w:after="0" w:line="204" w:lineRule="auto"/>
        <w:rPr>
          <w:sz w:val="20"/>
          <w:szCs w:val="20"/>
          <w:color w:val="auto"/>
        </w:rPr>
      </w:pPr>
      <w:r>
        <w:rPr>
          <w:rFonts w:ascii="Arial" w:cs="Arial" w:eastAsia="Arial" w:hAnsi="Arial"/>
          <w:sz w:val="18"/>
          <w:szCs w:val="18"/>
          <w:color w:val="auto"/>
        </w:rPr>
        <w:t>support recognition and disclosure under the new</w:t>
      </w:r>
    </w:p>
    <w:p>
      <w:pPr>
        <w:spacing w:after="0" w:line="215" w:lineRule="auto"/>
        <w:rPr>
          <w:sz w:val="20"/>
          <w:szCs w:val="20"/>
          <w:color w:val="auto"/>
        </w:rPr>
      </w:pPr>
      <w:r>
        <w:rPr>
          <w:rFonts w:ascii="Arial" w:cs="Arial" w:eastAsia="Arial" w:hAnsi="Arial"/>
          <w:sz w:val="17"/>
          <w:szCs w:val="17"/>
          <w:color w:val="auto"/>
        </w:rPr>
        <w:t>guidance. See Note 5, Accounts Receivable, Net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Allowance for Credit Losses for additional disclosure.</w:t>
      </w:r>
    </w:p>
    <w:p>
      <w:pPr>
        <w:spacing w:after="0" w:line="200" w:lineRule="exact"/>
        <w:rPr>
          <w:sz w:val="20"/>
          <w:szCs w:val="20"/>
          <w:color w:val="auto"/>
        </w:rPr>
      </w:pPr>
    </w:p>
    <w:p>
      <w:pPr>
        <w:sectPr>
          <w:pgSz w:w="11900" w:h="16838" w:orient="portrait"/>
          <w:cols w:equalWidth="0" w:num="2">
            <w:col w:w="6840" w:space="420"/>
            <w:col w:w="3980"/>
          </w:cols>
          <w:pgMar w:left="320" w:top="1107" w:right="339" w:bottom="1440" w:gutter="0" w:footer="0" w:header="0"/>
          <w:type w:val="continuous"/>
        </w:sectPr>
      </w:pPr>
    </w:p>
    <w:p>
      <w:pPr>
        <w:spacing w:after="0" w:line="275"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tbl>
      <w:tblPr>
        <w:tblLayout w:type="fixed"/>
        <w:tblInd w:w="0" w:type="dxa"/>
        <w:tblCellMar>
          <w:top w:w="0" w:type="dxa"/>
          <w:left w:w="0" w:type="dxa"/>
          <w:bottom w:w="0" w:type="dxa"/>
          <w:right w:w="0" w:type="dxa"/>
        </w:tblCellMar>
      </w:tblPr>
      <w:tr>
        <w:trPr>
          <w:trHeight w:val="150"/>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404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4140" w:type="dxa"/>
            <w:vAlign w:val="bottom"/>
          </w:tcPr>
          <w:p>
            <w:pPr>
              <w:ind w:left="800"/>
              <w:spacing w:after="0" w:line="150" w:lineRule="exact"/>
              <w:rPr>
                <w:sz w:val="20"/>
                <w:szCs w:val="20"/>
                <w:color w:val="auto"/>
              </w:rPr>
            </w:pPr>
            <w:r>
              <w:rPr>
                <w:rFonts w:ascii="Arial" w:cs="Arial" w:eastAsia="Arial" w:hAnsi="Arial"/>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41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Significant Matters</w:t>
            </w:r>
          </w:p>
        </w:tc>
        <w:tc>
          <w:tcPr>
            <w:tcW w:w="0" w:type="dxa"/>
            <w:vAlign w:val="bottom"/>
          </w:tcPr>
          <w:p>
            <w:pPr>
              <w:spacing w:after="0"/>
              <w:rPr>
                <w:sz w:val="1"/>
                <w:szCs w:val="1"/>
                <w:color w:val="auto"/>
              </w:rPr>
            </w:pPr>
          </w:p>
        </w:tc>
      </w:tr>
      <w:tr>
        <w:trPr>
          <w:trHeight w:val="190"/>
        </w:trPr>
        <w:tc>
          <w:tcPr>
            <w:tcW w:w="3060" w:type="dxa"/>
            <w:vAlign w:val="bottom"/>
          </w:tcPr>
          <w:p>
            <w:pPr>
              <w:ind w:left="20"/>
              <w:spacing w:after="0"/>
              <w:rPr>
                <w:sz w:val="20"/>
                <w:szCs w:val="20"/>
                <w:color w:val="auto"/>
              </w:rPr>
            </w:pPr>
            <w:r>
              <w:rPr>
                <w:rFonts w:ascii="Arial" w:cs="Arial" w:eastAsia="Arial" w:hAnsi="Arial"/>
                <w:sz w:val="14"/>
                <w:szCs w:val="14"/>
                <w:b w:val="1"/>
                <w:bCs w:val="1"/>
                <w:i w:val="1"/>
                <w:iCs w:val="1"/>
                <w:color w:val="auto"/>
                <w:w w:val="95"/>
              </w:rPr>
              <w:t>Accounting standards issued pending adoption</w:t>
            </w:r>
          </w:p>
        </w:tc>
        <w:tc>
          <w:tcPr>
            <w:tcW w:w="40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3060" w:type="dxa"/>
            <w:vAlign w:val="bottom"/>
          </w:tcPr>
          <w:p>
            <w:pPr>
              <w:ind w:left="20"/>
              <w:spacing w:after="0"/>
              <w:rPr>
                <w:sz w:val="20"/>
                <w:szCs w:val="20"/>
                <w:color w:val="auto"/>
              </w:rPr>
            </w:pPr>
            <w:r>
              <w:rPr>
                <w:rFonts w:ascii="Arial" w:cs="Arial" w:eastAsia="Arial" w:hAnsi="Arial"/>
                <w:sz w:val="18"/>
                <w:szCs w:val="18"/>
                <w:color w:val="auto"/>
              </w:rPr>
              <w:t>ASU No. 2020-04: Reference Rate</w:t>
            </w:r>
          </w:p>
        </w:tc>
        <w:tc>
          <w:tcPr>
            <w:tcW w:w="4040" w:type="dxa"/>
            <w:vAlign w:val="bottom"/>
          </w:tcPr>
          <w:p>
            <w:pPr>
              <w:ind w:left="120"/>
              <w:spacing w:after="0"/>
              <w:rPr>
                <w:sz w:val="20"/>
                <w:szCs w:val="20"/>
                <w:color w:val="auto"/>
              </w:rPr>
            </w:pPr>
            <w:r>
              <w:rPr>
                <w:rFonts w:ascii="Arial" w:cs="Arial" w:eastAsia="Arial" w:hAnsi="Arial"/>
                <w:sz w:val="18"/>
                <w:szCs w:val="18"/>
                <w:color w:val="auto"/>
                <w:w w:val="98"/>
              </w:rPr>
              <w:t>Provides temporary optional guidance to ease the</w:t>
            </w:r>
          </w:p>
        </w:tc>
        <w:tc>
          <w:tcPr>
            <w:tcW w:w="4140" w:type="dxa"/>
            <w:vAlign w:val="bottom"/>
          </w:tcPr>
          <w:p>
            <w:pPr>
              <w:ind w:left="160"/>
              <w:spacing w:after="0"/>
              <w:rPr>
                <w:sz w:val="20"/>
                <w:szCs w:val="20"/>
                <w:color w:val="auto"/>
              </w:rPr>
            </w:pPr>
            <w:r>
              <w:rPr>
                <w:rFonts w:ascii="Arial" w:cs="Arial" w:eastAsia="Arial" w:hAnsi="Arial"/>
                <w:sz w:val="18"/>
                <w:szCs w:val="18"/>
                <w:color w:val="auto"/>
              </w:rPr>
              <w:t>We are currently assessing the provisions of this</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Reform (Topic 848)</w:t>
            </w:r>
          </w:p>
        </w:tc>
        <w:tc>
          <w:tcPr>
            <w:tcW w:w="4040" w:type="dxa"/>
            <w:vAlign w:val="bottom"/>
          </w:tcPr>
          <w:p>
            <w:pPr>
              <w:ind w:left="120"/>
              <w:spacing w:after="0"/>
              <w:rPr>
                <w:sz w:val="20"/>
                <w:szCs w:val="20"/>
                <w:color w:val="auto"/>
              </w:rPr>
            </w:pPr>
            <w:r>
              <w:rPr>
                <w:rFonts w:ascii="Arial" w:cs="Arial" w:eastAsia="Arial" w:hAnsi="Arial"/>
                <w:sz w:val="18"/>
                <w:szCs w:val="18"/>
                <w:color w:val="auto"/>
              </w:rPr>
              <w:t>potential burden in applying GAAP to contract</w:t>
            </w:r>
          </w:p>
        </w:tc>
        <w:tc>
          <w:tcPr>
            <w:tcW w:w="4140" w:type="dxa"/>
            <w:vAlign w:val="bottom"/>
          </w:tcPr>
          <w:p>
            <w:pPr>
              <w:ind w:left="160"/>
              <w:spacing w:after="0"/>
              <w:rPr>
                <w:sz w:val="20"/>
                <w:szCs w:val="20"/>
                <w:color w:val="auto"/>
              </w:rPr>
            </w:pPr>
            <w:r>
              <w:rPr>
                <w:rFonts w:ascii="Arial" w:cs="Arial" w:eastAsia="Arial" w:hAnsi="Arial"/>
                <w:sz w:val="18"/>
                <w:szCs w:val="18"/>
                <w:color w:val="auto"/>
                <w:w w:val="92"/>
              </w:rPr>
              <w:t>guidance and do not expect that its adoption will have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w w:val="96"/>
              </w:rPr>
              <w:t>modifications and hedging relationships, subject to</w:t>
            </w:r>
          </w:p>
        </w:tc>
        <w:tc>
          <w:tcPr>
            <w:tcW w:w="4140" w:type="dxa"/>
            <w:vAlign w:val="bottom"/>
          </w:tcPr>
          <w:p>
            <w:pPr>
              <w:ind w:left="160"/>
              <w:spacing w:after="0"/>
              <w:rPr>
                <w:sz w:val="20"/>
                <w:szCs w:val="20"/>
                <w:color w:val="auto"/>
              </w:rPr>
            </w:pPr>
            <w:r>
              <w:rPr>
                <w:rFonts w:ascii="Arial" w:cs="Arial" w:eastAsia="Arial" w:hAnsi="Arial"/>
                <w:sz w:val="18"/>
                <w:szCs w:val="18"/>
                <w:color w:val="auto"/>
                <w:w w:val="90"/>
              </w:rPr>
              <w:t>an impact on our consolidated financial statements and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meeting certain criteria, that reference LIBOR or</w:t>
            </w:r>
          </w:p>
        </w:tc>
        <w:tc>
          <w:tcPr>
            <w:tcW w:w="4140" w:type="dxa"/>
            <w:vAlign w:val="bottom"/>
          </w:tcPr>
          <w:p>
            <w:pPr>
              <w:ind w:left="160"/>
              <w:spacing w:after="0"/>
              <w:rPr>
                <w:sz w:val="20"/>
                <w:szCs w:val="20"/>
                <w:color w:val="auto"/>
              </w:rPr>
            </w:pPr>
            <w:r>
              <w:rPr>
                <w:rFonts w:ascii="Arial" w:cs="Arial" w:eastAsia="Arial" w:hAnsi="Arial"/>
                <w:sz w:val="18"/>
                <w:szCs w:val="18"/>
                <w:color w:val="auto"/>
              </w:rPr>
              <w:t>related disclosures. This guidance will be in effect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w w:val="94"/>
              </w:rPr>
              <w:t>another reference rate expected to be discontinued.</w:t>
            </w:r>
          </w:p>
        </w:tc>
        <w:tc>
          <w:tcPr>
            <w:tcW w:w="4140" w:type="dxa"/>
            <w:vAlign w:val="bottom"/>
          </w:tcPr>
          <w:p>
            <w:pPr>
              <w:ind w:left="160"/>
              <w:spacing w:after="0"/>
              <w:rPr>
                <w:sz w:val="20"/>
                <w:szCs w:val="20"/>
                <w:color w:val="auto"/>
              </w:rPr>
            </w:pPr>
            <w:r>
              <w:rPr>
                <w:rFonts w:ascii="Arial" w:cs="Arial" w:eastAsia="Arial" w:hAnsi="Arial"/>
                <w:sz w:val="18"/>
                <w:szCs w:val="18"/>
                <w:color w:val="auto"/>
                <w:w w:val="98"/>
              </w:rPr>
              <w:t>from March 12, 2020 through December 31, 2022.</w:t>
            </w:r>
          </w:p>
        </w:tc>
        <w:tc>
          <w:tcPr>
            <w:tcW w:w="0" w:type="dxa"/>
            <w:vAlign w:val="bottom"/>
          </w:tcPr>
          <w:p>
            <w:pPr>
              <w:spacing w:after="0"/>
              <w:rPr>
                <w:sz w:val="1"/>
                <w:szCs w:val="1"/>
                <w:color w:val="auto"/>
              </w:rPr>
            </w:pPr>
          </w:p>
        </w:tc>
      </w:tr>
      <w:tr>
        <w:trPr>
          <w:trHeight w:val="310"/>
        </w:trPr>
        <w:tc>
          <w:tcPr>
            <w:tcW w:w="3060" w:type="dxa"/>
            <w:vAlign w:val="bottom"/>
          </w:tcPr>
          <w:p>
            <w:pPr>
              <w:ind w:left="20"/>
              <w:spacing w:after="0"/>
              <w:rPr>
                <w:sz w:val="20"/>
                <w:szCs w:val="20"/>
                <w:color w:val="auto"/>
              </w:rPr>
            </w:pPr>
            <w:r>
              <w:rPr>
                <w:rFonts w:ascii="Arial" w:cs="Arial" w:eastAsia="Arial" w:hAnsi="Arial"/>
                <w:sz w:val="18"/>
                <w:szCs w:val="18"/>
                <w:color w:val="auto"/>
                <w:w w:val="94"/>
              </w:rPr>
              <w:t>ASU No. 2019-12: Income Taxes (Topic</w:t>
            </w:r>
          </w:p>
        </w:tc>
        <w:tc>
          <w:tcPr>
            <w:tcW w:w="4040" w:type="dxa"/>
            <w:vAlign w:val="bottom"/>
          </w:tcPr>
          <w:p>
            <w:pPr>
              <w:ind w:left="120"/>
              <w:spacing w:after="0"/>
              <w:rPr>
                <w:sz w:val="20"/>
                <w:szCs w:val="20"/>
                <w:color w:val="auto"/>
              </w:rPr>
            </w:pPr>
            <w:r>
              <w:rPr>
                <w:rFonts w:ascii="Arial" w:cs="Arial" w:eastAsia="Arial" w:hAnsi="Arial"/>
                <w:sz w:val="18"/>
                <w:szCs w:val="18"/>
                <w:color w:val="auto"/>
                <w:w w:val="94"/>
              </w:rPr>
              <w:t>Reduces the complexity over accounting for income</w:t>
            </w:r>
          </w:p>
        </w:tc>
        <w:tc>
          <w:tcPr>
            <w:tcW w:w="4140" w:type="dxa"/>
            <w:vAlign w:val="bottom"/>
          </w:tcPr>
          <w:p>
            <w:pPr>
              <w:ind w:left="160"/>
              <w:spacing w:after="0"/>
              <w:rPr>
                <w:sz w:val="20"/>
                <w:szCs w:val="20"/>
                <w:color w:val="auto"/>
              </w:rPr>
            </w:pPr>
            <w:r>
              <w:rPr>
                <w:rFonts w:ascii="Arial" w:cs="Arial" w:eastAsia="Arial" w:hAnsi="Arial"/>
                <w:sz w:val="18"/>
                <w:szCs w:val="18"/>
                <w:color w:val="auto"/>
              </w:rPr>
              <w:t>We are currently assessing the provisions of this</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740)</w:t>
            </w:r>
          </w:p>
        </w:tc>
        <w:tc>
          <w:tcPr>
            <w:tcW w:w="4040" w:type="dxa"/>
            <w:vAlign w:val="bottom"/>
          </w:tcPr>
          <w:p>
            <w:pPr>
              <w:ind w:left="120"/>
              <w:spacing w:after="0"/>
              <w:rPr>
                <w:sz w:val="20"/>
                <w:szCs w:val="20"/>
                <w:color w:val="auto"/>
              </w:rPr>
            </w:pPr>
            <w:r>
              <w:rPr>
                <w:rFonts w:ascii="Arial" w:cs="Arial" w:eastAsia="Arial" w:hAnsi="Arial"/>
                <w:sz w:val="18"/>
                <w:szCs w:val="18"/>
                <w:color w:val="auto"/>
                <w:w w:val="93"/>
              </w:rPr>
              <w:t>taxes by removing certain exceptions and amending</w:t>
            </w:r>
          </w:p>
        </w:tc>
        <w:tc>
          <w:tcPr>
            <w:tcW w:w="4140" w:type="dxa"/>
            <w:vAlign w:val="bottom"/>
          </w:tcPr>
          <w:p>
            <w:pPr>
              <w:ind w:left="160"/>
              <w:spacing w:after="0"/>
              <w:rPr>
                <w:sz w:val="20"/>
                <w:szCs w:val="20"/>
                <w:color w:val="auto"/>
              </w:rPr>
            </w:pPr>
            <w:r>
              <w:rPr>
                <w:rFonts w:ascii="Arial" w:cs="Arial" w:eastAsia="Arial" w:hAnsi="Arial"/>
                <w:sz w:val="18"/>
                <w:szCs w:val="18"/>
                <w:color w:val="auto"/>
                <w:w w:val="93"/>
              </w:rPr>
              <w:t>guidance to determine whether or not its adoption will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guidance to improve consistent application of</w:t>
            </w:r>
          </w:p>
        </w:tc>
        <w:tc>
          <w:tcPr>
            <w:tcW w:w="4140" w:type="dxa"/>
            <w:vAlign w:val="bottom"/>
          </w:tcPr>
          <w:p>
            <w:pPr>
              <w:ind w:left="160"/>
              <w:spacing w:after="0"/>
              <w:rPr>
                <w:sz w:val="20"/>
                <w:szCs w:val="20"/>
                <w:color w:val="auto"/>
              </w:rPr>
            </w:pPr>
            <w:r>
              <w:rPr>
                <w:rFonts w:ascii="Arial" w:cs="Arial" w:eastAsia="Arial" w:hAnsi="Arial"/>
                <w:sz w:val="18"/>
                <w:szCs w:val="18"/>
                <w:color w:val="auto"/>
              </w:rPr>
              <w:t>have an impact on our consolidated financial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accounting over income taxes.</w:t>
            </w:r>
          </w:p>
        </w:tc>
        <w:tc>
          <w:tcPr>
            <w:tcW w:w="4140" w:type="dxa"/>
            <w:vAlign w:val="bottom"/>
          </w:tcPr>
          <w:p>
            <w:pPr>
              <w:ind w:left="160"/>
              <w:spacing w:after="0"/>
              <w:rPr>
                <w:sz w:val="20"/>
                <w:szCs w:val="20"/>
                <w:color w:val="auto"/>
              </w:rPr>
            </w:pPr>
            <w:r>
              <w:rPr>
                <w:rFonts w:ascii="Arial" w:cs="Arial" w:eastAsia="Arial" w:hAnsi="Arial"/>
                <w:sz w:val="18"/>
                <w:szCs w:val="18"/>
                <w:color w:val="auto"/>
                <w:w w:val="94"/>
              </w:rPr>
              <w:t>statements and related disclosures. This guidance 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effective January 1, 2021 with early adoption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permitted.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table of revenues disaggregated by service line and timing of revenue recognition by operating segment for each of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 follows: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Resource Solutions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36,829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58,639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95,468</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16,310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19,854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16,089</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21,663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21,663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14,932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50,143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85,206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47,561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182,910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50,087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84,971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43,099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178,157</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50,143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85,206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47,561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182,910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Resource Solutions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33,965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49,597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83,562</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15,468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19,185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18,154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18,154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13,596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13,596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46,997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74,151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42,516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163,664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46,961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73,842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36,125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156,928</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46,997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74,151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42,516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163,664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$991 in the three months ended March 31, 2020 and $1,338 in the three months ended March 31, 2019. Rebates are generally recorded as a reduction of revenues upon the sale of such materials, or upon receipt of the recycled materials at our facilities. We did not record any revenues in the three months ended March 31, 2020 and March 31, 2019 from performance obligations satisfied in previous periods.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ind w:right="220"/>
        <w:spacing w:after="0" w:line="272" w:lineRule="auto"/>
        <w:rPr>
          <w:sz w:val="20"/>
          <w:szCs w:val="20"/>
          <w:color w:val="auto"/>
        </w:rPr>
      </w:pPr>
      <w:r>
        <w:rPr>
          <w:rFonts w:ascii="Arial" w:cs="Arial" w:eastAsia="Arial" w:hAnsi="Arial"/>
          <w:sz w:val="17"/>
          <w:szCs w:val="17"/>
          <w:color w:val="auto"/>
        </w:rPr>
        <w:t>Contract receivables, which are included in Accounts receivable, net are recorded when billed or when related revenue is earned, if earlier, and represent claims against third-parties that will be settled in cash. Accounts receivable, net includes gross receivables from contracts of $74,161 and $80,191 as of March 31, 2020 and December 31, 2019, respectively. Certain customers are billed in advance and, accordingly, recognition of the related revenues is deferred as a contract liability until the services are provided and control transferred to the customer. We recognized contract liabilities of $2,860 and $2,299 as of March 31, 2020 and December 31, 2019, respectively. Due to the short term nature of advanced billings, substantially all of the deferred revenue recognized as a contract liability as of December 31, 2019 and December 31, 2018 were recognized as revenue during the three months ended March 31, 2020 and March 31, 2019, respectively, when the services were performed.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three months ended March 31, 2020, we acquired two businesses: one tuck-in solid waste collection business in our Western region and one recycling operation in our Resource Solutions segment. We did not acquire any business in the three months ended March 31, 2019. The operating results of the acquired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Such assets are amortized over a five to ten year period from the date of acquisition. All amounts recorded to goodwill are expected to be deductible for tax purposes.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purchase price paid for these acquisitions and the allocation of the purchase price for these acquisitions follows:</w:t>
      </w:r>
    </w:p>
    <w:p>
      <w:pPr>
        <w:spacing w:after="0" w:line="55"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Cash used in acquisitions, net of cash acquired</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4,771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Holdbacks</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8"/>
              </w:rPr>
              <w:t>5,351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Allocated as follows: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Land</w:t>
            </w:r>
          </w:p>
        </w:tc>
        <w:tc>
          <w:tcPr>
            <w:tcW w:w="86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Buildings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Equipment</w:t>
            </w:r>
          </w:p>
        </w:tc>
        <w:tc>
          <w:tcPr>
            <w:tcW w:w="86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Other liabilities, net</w:t>
            </w:r>
          </w:p>
        </w:tc>
        <w:tc>
          <w:tcPr>
            <w:tcW w:w="8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8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4,544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Excess purchase price allocated to goodwill</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 w:name="page12"/>
    <w:bookmarkEnd w:id="11"/>
    <w:p>
      <w:pPr>
        <w:ind w:right="500"/>
        <w:spacing w:after="0" w:line="301" w:lineRule="auto"/>
        <w:rPr>
          <w:sz w:val="20"/>
          <w:szCs w:val="20"/>
          <w:color w:val="auto"/>
        </w:rPr>
      </w:pPr>
      <w:r>
        <w:rPr>
          <w:rFonts w:ascii="Arial" w:cs="Arial" w:eastAsia="Arial" w:hAnsi="Arial"/>
          <w:sz w:val="16"/>
          <w:szCs w:val="16"/>
          <w:color w:val="auto"/>
        </w:rPr>
        <w:t>Certain purchase price allocations are preliminary and are based on information existing at the acquisition dates or upon closing the transaction. Accordingly, these purchase price allocations are subject to change. Unaudited pro forma combined information that shows our operational results as though each acquisition completed since the beginning of the prior fiscal year had occurred as of January 1, 2019 is as follows:</w:t>
      </w:r>
    </w:p>
    <w:p>
      <w:pPr>
        <w:spacing w:after="0" w:line="1"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178,575</w:t>
            </w: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7,037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0"/>
        </w:trPr>
        <w:tc>
          <w:tcPr>
            <w:tcW w:w="8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48,005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45,913</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48,262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45,913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unaudited pro forma results set forth in the table above have been prepared for comparative purposes only and are not necessarily indicative of the actual results of operations had the acquisitions occurred as of January 1, 2019 or of the results of our future operations. Furthermore, the unaudited</w:t>
      </w:r>
    </w:p>
    <w:p>
      <w:pPr>
        <w:ind w:right="140"/>
        <w:spacing w:after="0" w:line="260" w:lineRule="auto"/>
        <w:rPr>
          <w:sz w:val="20"/>
          <w:szCs w:val="20"/>
          <w:color w:val="auto"/>
        </w:rPr>
      </w:pPr>
      <w:r>
        <w:rPr>
          <w:rFonts w:ascii="Arial" w:cs="Arial" w:eastAsia="Arial" w:hAnsi="Arial"/>
          <w:sz w:val="18"/>
          <w:szCs w:val="18"/>
          <w:color w:val="auto"/>
        </w:rPr>
        <w:t>pro forma results do not give effect to all cost savings or incremental costs that may occur as a result of the integration and consolidation of the completed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 OF ALLOWANCE FOR CREDIT LOSSES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The Additions – charged to expense in the three months ended March 31, 2020 considers the current economic conditions associated with the COVID-19 pandemic and the potential impact to our customers’ ability to pay for services that we have provided. Our reserve is evaluated and revised on a monthly basis. Past due accounts receivable are written off when deemed to be uncollectible.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allowance for credit losses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r>
      <w:tr>
        <w:trPr>
          <w:trHeight w:val="192"/>
        </w:trPr>
        <w:tc>
          <w:tcPr>
            <w:tcW w:w="9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2020</w:t>
            </w: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1,468</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Cumulative effect of new accounting principle</w:t>
            </w:r>
          </w:p>
        </w:tc>
        <w:tc>
          <w:tcPr>
            <w:tcW w:w="18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189</w:t>
            </w:r>
          </w:p>
        </w:tc>
      </w:tr>
      <w:tr>
        <w:trPr>
          <w:trHeight w:val="27"/>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 charged to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880</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Deductions - bad debts written off, net of recoveries</w:t>
            </w:r>
          </w:p>
        </w:tc>
        <w:tc>
          <w:tcPr>
            <w:tcW w:w="1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(445)</w:t>
            </w:r>
          </w:p>
        </w:tc>
      </w:tr>
      <w:tr>
        <w:trPr>
          <w:trHeight w:val="27"/>
        </w:trPr>
        <w:tc>
          <w:tcPr>
            <w:tcW w:w="9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2,092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considered historically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2" w:name="page13"/>
    <w:bookmarkEnd w:id="12"/>
    <w:p>
      <w:pPr>
        <w:jc w:val="both"/>
        <w:spacing w:after="0" w:line="289" w:lineRule="auto"/>
        <w:rPr>
          <w:sz w:val="20"/>
          <w:szCs w:val="20"/>
          <w:color w:val="auto"/>
        </w:rPr>
      </w:pPr>
      <w:r>
        <w:rPr>
          <w:rFonts w:ascii="Arial" w:cs="Arial" w:eastAsia="Arial" w:hAnsi="Arial"/>
          <w:sz w:val="16"/>
          <w:szCs w:val="16"/>
          <w:color w:val="auto"/>
        </w:rPr>
        <w:t>We are also party to three landfill operation and management agreements. These agreements are long-term landfill operating contracts with government bodies whereby we receive tipping revenue, pay normal operating expenses and assume future final capping, closure and post-closure obligations. The government body retains ownership of the landfill. There is no bargain purchase option and title to the property does not pass to us at the end of the lease term. We allocate the consideration paid to the landfill airspace rights and underlying land lease based on the relative fair values. In addition to up-front or one-time payments, the landfill operating agreements may require us to make future minimum rental payments, including success/expansion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operating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 schedule of lease costs and other lease information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6"/>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933"/>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6"/>
                <w:szCs w:val="16"/>
                <w:color w:val="auto"/>
              </w:rPr>
            </w:pPr>
          </w:p>
        </w:tc>
      </w:tr>
      <w:tr>
        <w:trPr>
          <w:trHeight w:val="196"/>
        </w:trPr>
        <w:tc>
          <w:tcPr>
            <w:tcW w:w="76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5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Amortization of right-of-use assets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731</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420"/>
              <w:spacing w:after="0"/>
              <w:rPr>
                <w:sz w:val="20"/>
                <w:szCs w:val="20"/>
                <w:color w:val="auto"/>
              </w:rPr>
            </w:pPr>
            <w:r>
              <w:rPr>
                <w:rFonts w:ascii="Arial" w:cs="Arial" w:eastAsia="Arial" w:hAnsi="Arial"/>
                <w:sz w:val="18"/>
                <w:szCs w:val="18"/>
                <w:color w:val="auto"/>
              </w:rPr>
              <w:t>Fixed lease cost - vehicles, equipment and property</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2,579</w:t>
            </w:r>
          </w:p>
        </w:tc>
        <w:tc>
          <w:tcPr>
            <w:tcW w:w="20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Fixed lease cost - landfill operating leases</w:t>
            </w:r>
          </w:p>
        </w:tc>
        <w:tc>
          <w:tcPr>
            <w:tcW w:w="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7680" w:type="dxa"/>
            <w:vAlign w:val="bottom"/>
          </w:tcPr>
          <w:p>
            <w:pPr>
              <w:ind w:left="220"/>
              <w:spacing w:after="0"/>
              <w:rPr>
                <w:sz w:val="20"/>
                <w:szCs w:val="20"/>
                <w:color w:val="auto"/>
              </w:rPr>
            </w:pPr>
            <w:r>
              <w:rPr>
                <w:rFonts w:ascii="Arial" w:cs="Arial" w:eastAsia="Arial" w:hAnsi="Arial"/>
                <w:sz w:val="18"/>
                <w:szCs w:val="18"/>
                <w:color w:val="auto"/>
              </w:rPr>
              <w:t>Fixed lease cost</w:t>
            </w:r>
          </w:p>
        </w:tc>
        <w:tc>
          <w:tcPr>
            <w:tcW w:w="5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4,090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200" w:type="dxa"/>
            <w:vAlign w:val="bottom"/>
            <w:tcBorders>
              <w:top w:val="single" w:sz="8" w:color="auto"/>
            </w:tcBorders>
          </w:tcPr>
          <w:p>
            <w:pPr>
              <w:spacing w:after="0"/>
              <w:rPr>
                <w:sz w:val="20"/>
                <w:szCs w:val="20"/>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lease cost</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Variable lease cost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6,128</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200" w:type="dxa"/>
            <w:vAlign w:val="bottom"/>
            <w:shd w:val="clear" w:color="auto" w:fill="CCEEFF"/>
          </w:tcPr>
          <w:p>
            <w:pPr>
              <w:spacing w:after="0"/>
              <w:rPr>
                <w:sz w:val="24"/>
                <w:szCs w:val="24"/>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2,442</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2,043</w:t>
            </w:r>
          </w:p>
        </w:tc>
        <w:tc>
          <w:tcPr>
            <w:tcW w:w="20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6,402</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2,366</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6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153"/>
        </w:trPr>
        <w:tc>
          <w:tcPr>
            <w:tcW w:w="7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r>
      <w:tr>
        <w:trPr>
          <w:trHeight w:val="192"/>
        </w:trPr>
        <w:tc>
          <w:tcPr>
            <w:tcW w:w="76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 (years)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 (years)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7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594"/>
        </w:trPr>
        <w:tc>
          <w:tcPr>
            <w:tcW w:w="7680" w:type="dxa"/>
            <w:vAlign w:val="bottom"/>
          </w:tcPr>
          <w:p>
            <w:pPr>
              <w:spacing w:after="0"/>
              <w:rPr>
                <w:sz w:val="20"/>
                <w:szCs w:val="20"/>
                <w:color w:val="auto"/>
              </w:rPr>
            </w:pPr>
            <w:r>
              <w:rPr>
                <w:rFonts w:ascii="Arial" w:cs="Arial" w:eastAsia="Arial" w:hAnsi="Arial"/>
                <w:sz w:val="18"/>
                <w:szCs w:val="18"/>
                <w:color w:val="auto"/>
              </w:rPr>
              <w:t>Estimated minimum future lease obligations are as follows: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7680" w:type="dxa"/>
            <w:vAlign w:val="bottom"/>
          </w:tcPr>
          <w:p>
            <w:pPr>
              <w:spacing w:after="0"/>
              <w:rPr>
                <w:sz w:val="19"/>
                <w:szCs w:val="19"/>
                <w:color w:val="auto"/>
              </w:rPr>
            </w:pPr>
          </w:p>
        </w:tc>
        <w:tc>
          <w:tcPr>
            <w:tcW w:w="1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Operating Leases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Arial" w:cs="Arial" w:eastAsia="Arial" w:hAnsi="Arial"/>
                <w:sz w:val="14"/>
                <w:szCs w:val="14"/>
                <w:b w:val="1"/>
                <w:bCs w:val="1"/>
                <w:color w:val="auto"/>
                <w:w w:val="90"/>
              </w:rPr>
              <w:t>Finance Leases</w:t>
            </w:r>
          </w:p>
        </w:tc>
        <w:tc>
          <w:tcPr>
            <w:tcW w:w="200" w:type="dxa"/>
            <w:vAlign w:val="bottom"/>
          </w:tcPr>
          <w:p>
            <w:pPr>
              <w:spacing w:after="0"/>
              <w:rPr>
                <w:sz w:val="19"/>
                <w:szCs w:val="19"/>
                <w:color w:val="auto"/>
              </w:rPr>
            </w:pPr>
          </w:p>
        </w:tc>
      </w:tr>
      <w:tr>
        <w:trPr>
          <w:trHeight w:val="249"/>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2020</w:t>
            </w:r>
          </w:p>
        </w:tc>
        <w:tc>
          <w:tcPr>
            <w:tcW w:w="500" w:type="dxa"/>
            <w:vAlign w:val="bottom"/>
            <w:tcBorders>
              <w:top w:val="single" w:sz="8" w:color="auto"/>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3,760</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Fiscal year ending December 31, 2021</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11,822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4,830</w:t>
            </w:r>
          </w:p>
        </w:tc>
      </w:tr>
      <w:tr>
        <w:trPr>
          <w:trHeight w:val="27"/>
        </w:trPr>
        <w:tc>
          <w:tcPr>
            <w:tcW w:w="7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2022</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9,155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4,237</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Fiscal year ending December 31, 2023</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7,288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4,071</w:t>
            </w:r>
          </w:p>
        </w:tc>
      </w:tr>
      <w:tr>
        <w:trPr>
          <w:trHeight w:val="27"/>
        </w:trPr>
        <w:tc>
          <w:tcPr>
            <w:tcW w:w="7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2024</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3,971</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63,964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7,540</w:t>
            </w:r>
          </w:p>
        </w:tc>
      </w:tr>
      <w:tr>
        <w:trPr>
          <w:trHeight w:val="27"/>
        </w:trPr>
        <w:tc>
          <w:tcPr>
            <w:tcW w:w="76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109,953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28,409</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Less: interest expense</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(29,395)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(4,580)</w:t>
            </w:r>
          </w:p>
        </w:tc>
      </w:tr>
      <w:tr>
        <w:trPr>
          <w:trHeight w:val="27"/>
        </w:trPr>
        <w:tc>
          <w:tcPr>
            <w:tcW w:w="76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8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 balance</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80,558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23,829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3" w:right="3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3" w:name="page14"/>
    <w:bookmarkEnd w:id="13"/>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36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0"/>
              </w:rPr>
              <w:t>Acquisitions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92"/>
        </w:trPr>
        <w:tc>
          <w:tcPr>
            <w:tcW w:w="6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 region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30,720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Western region</w:t>
            </w:r>
          </w:p>
        </w:tc>
        <w:tc>
          <w:tcPr>
            <w:tcW w:w="220" w:type="dxa"/>
            <w:vAlign w:val="bottom"/>
          </w:tcPr>
          <w:p>
            <w:pPr>
              <w:spacing w:after="0"/>
              <w:rPr>
                <w:sz w:val="21"/>
                <w:szCs w:val="21"/>
                <w:color w:val="auto"/>
              </w:rPr>
            </w:pPr>
          </w:p>
        </w:tc>
        <w:tc>
          <w:tcPr>
            <w:tcW w:w="1420" w:type="dxa"/>
            <w:vAlign w:val="bottom"/>
          </w:tcPr>
          <w:p>
            <w:pPr>
              <w:jc w:val="right"/>
              <w:ind w:right="57"/>
              <w:spacing w:after="0"/>
              <w:rPr>
                <w:sz w:val="20"/>
                <w:szCs w:val="20"/>
                <w:color w:val="auto"/>
              </w:rPr>
            </w:pPr>
            <w:r>
              <w:rPr>
                <w:rFonts w:ascii="Arial" w:cs="Arial" w:eastAsia="Arial" w:hAnsi="Arial"/>
                <w:sz w:val="18"/>
                <w:szCs w:val="18"/>
                <w:color w:val="auto"/>
              </w:rPr>
              <w:t>141,055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141,862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14,044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14,044</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7"/>
              <w:spacing w:after="0"/>
              <w:rPr>
                <w:sz w:val="20"/>
                <w:szCs w:val="20"/>
                <w:color w:val="auto"/>
              </w:rPr>
            </w:pPr>
            <w:r>
              <w:rPr>
                <w:rFonts w:ascii="Arial" w:cs="Arial" w:eastAsia="Arial" w:hAnsi="Arial"/>
                <w:sz w:val="18"/>
                <w:szCs w:val="18"/>
                <w:color w:val="auto"/>
              </w:rPr>
              <w:t>185,819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186,626</w:t>
            </w: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Arial" w:cs="Arial" w:eastAsia="Arial" w:hAnsi="Arial"/>
                <w:sz w:val="18"/>
                <w:szCs w:val="18"/>
                <w:color w:val="auto"/>
              </w:rPr>
              <w:t>A summary of intangible assets by intangible asset type follows:</w:t>
            </w: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6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Covenants</w:t>
            </w:r>
          </w:p>
        </w:tc>
        <w:tc>
          <w:tcPr>
            <w:tcW w:w="260" w:type="dxa"/>
            <w:vAlign w:val="bottom"/>
          </w:tcPr>
          <w:p>
            <w:pPr>
              <w:spacing w:after="0"/>
              <w:rPr>
                <w:sz w:val="15"/>
                <w:szCs w:val="15"/>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Client Lists</w:t>
            </w:r>
          </w:p>
        </w:tc>
        <w:tc>
          <w:tcPr>
            <w:tcW w:w="300" w:type="dxa"/>
            <w:vAlign w:val="bottom"/>
          </w:tcPr>
          <w:p>
            <w:pPr>
              <w:spacing w:after="0"/>
              <w:rPr>
                <w:sz w:val="15"/>
                <w:szCs w:val="15"/>
                <w:color w:val="auto"/>
              </w:rPr>
            </w:pPr>
          </w:p>
        </w:tc>
        <w:tc>
          <w:tcPr>
            <w:tcW w:w="13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Not-to-Compete</w:t>
            </w: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26,467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72,133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98,600</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(19,365)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(21,292)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(40,657)</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7,102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50,841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57,943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Covenants</w:t>
            </w:r>
          </w:p>
        </w:tc>
        <w:tc>
          <w:tcPr>
            <w:tcW w:w="260" w:type="dxa"/>
            <w:vAlign w:val="bottom"/>
          </w:tcPr>
          <w:p>
            <w:pPr>
              <w:spacing w:after="0"/>
              <w:rPr>
                <w:sz w:val="24"/>
                <w:szCs w:val="24"/>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Client Lists</w:t>
            </w:r>
          </w:p>
        </w:tc>
        <w:tc>
          <w:tcPr>
            <w:tcW w:w="300" w:type="dxa"/>
            <w:vAlign w:val="bottom"/>
          </w:tcPr>
          <w:p>
            <w:pPr>
              <w:spacing w:after="0"/>
              <w:rPr>
                <w:sz w:val="24"/>
                <w:szCs w:val="24"/>
                <w:color w:val="auto"/>
              </w:rPr>
            </w:pPr>
          </w:p>
        </w:tc>
        <w:tc>
          <w:tcPr>
            <w:tcW w:w="13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Not-to-Compete</w:t>
            </w: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26,162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71,122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97,284</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(18,968)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(19,595)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(38,563)</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7,194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51,527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58,721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Intangible amortization expense was $2,093 during the three months ended March 31, 2020, as compared to $1,401 during the three months ended March 31, 2019.</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amortization expense estimated for the five fiscal years following the fiscal year ended December 31, 2019 and thereafter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Estimated Future Amortization Expense as of March 31, 2020</w:t>
            </w:r>
          </w:p>
        </w:tc>
        <w:tc>
          <w:tcPr>
            <w:tcW w:w="3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2020</w:t>
            </w:r>
          </w:p>
        </w:tc>
        <w:tc>
          <w:tcPr>
            <w:tcW w:w="3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6,255</w:t>
            </w:r>
          </w:p>
        </w:tc>
      </w:tr>
      <w:tr>
        <w:trPr>
          <w:trHeight w:val="243"/>
        </w:trPr>
        <w:tc>
          <w:tcPr>
            <w:tcW w:w="20" w:type="dxa"/>
            <w:vAlign w:val="bottom"/>
          </w:tcPr>
          <w:p>
            <w:pPr>
              <w:spacing w:after="0"/>
              <w:rPr>
                <w:sz w:val="21"/>
                <w:szCs w:val="21"/>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Fiscal year ending December 31, 2021</w:t>
            </w:r>
          </w:p>
        </w:tc>
        <w:tc>
          <w:tcPr>
            <w:tcW w:w="34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6,963</w:t>
            </w: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2022</w:t>
            </w:r>
          </w:p>
        </w:tc>
        <w:tc>
          <w:tcPr>
            <w:tcW w:w="3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6,324</w:t>
            </w:r>
          </w:p>
        </w:tc>
      </w:tr>
      <w:tr>
        <w:trPr>
          <w:trHeight w:val="243"/>
        </w:trPr>
        <w:tc>
          <w:tcPr>
            <w:tcW w:w="20" w:type="dxa"/>
            <w:vAlign w:val="bottom"/>
          </w:tcPr>
          <w:p>
            <w:pPr>
              <w:spacing w:after="0"/>
              <w:rPr>
                <w:sz w:val="21"/>
                <w:szCs w:val="21"/>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Fiscal year ending December 31, 2023</w:t>
            </w:r>
          </w:p>
        </w:tc>
        <w:tc>
          <w:tcPr>
            <w:tcW w:w="34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6,131</w:t>
            </w: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2024</w:t>
            </w:r>
          </w:p>
        </w:tc>
        <w:tc>
          <w:tcPr>
            <w:tcW w:w="3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7,109</w:t>
            </w:r>
          </w:p>
        </w:tc>
      </w:tr>
      <w:tr>
        <w:trPr>
          <w:trHeight w:val="243"/>
        </w:trPr>
        <w:tc>
          <w:tcPr>
            <w:tcW w:w="20" w:type="dxa"/>
            <w:vAlign w:val="bottom"/>
          </w:tcPr>
          <w:p>
            <w:pPr>
              <w:spacing w:after="0"/>
              <w:rPr>
                <w:sz w:val="21"/>
                <w:szCs w:val="21"/>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4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25,161</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FINAL CAPPING, CLOSURE AND POST CLOSURE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71,927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73,075</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Obligations incurred</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543</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Accretion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1,607</w:t>
            </w: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(1,556)</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73,350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73,669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Secured Credit Facility:</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Revolving line of credit facility ("Revolving Credit Facility") due May 2023; bearing interest at LIBOR plus 1.75%</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61,000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26,900</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A facility ("Term Loan Facility") due May 2023; bearing interest at LIBOR plus 1.75%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Tax-Exempt Bonds: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9"/>
              </w:rPr>
              <w:t>New York State Environmental Facilities Corporation Solid Waste Disposal Revenue Bonds Series 2014 ("New York Bonds 2014") due</w:t>
            </w:r>
          </w:p>
        </w:tc>
        <w:tc>
          <w:tcPr>
            <w:tcW w:w="2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2044 - fixed rate interest period through 2019; bearing interest at 2.875%</w:t>
            </w:r>
          </w:p>
        </w:tc>
        <w:tc>
          <w:tcPr>
            <w:tcW w:w="2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300" w:type="dxa"/>
            <w:vAlign w:val="bottom"/>
          </w:tcPr>
          <w:p>
            <w:pPr>
              <w:ind w:left="20"/>
              <w:spacing w:after="0" w:line="135" w:lineRule="exact"/>
              <w:rPr>
                <w:sz w:val="20"/>
                <w:szCs w:val="20"/>
                <w:color w:val="auto"/>
              </w:rPr>
            </w:pPr>
            <w:r>
              <w:rPr>
                <w:rFonts w:ascii="Arial" w:cs="Arial" w:eastAsia="Arial" w:hAnsi="Arial"/>
                <w:sz w:val="14"/>
                <w:szCs w:val="14"/>
                <w:color w:val="auto"/>
                <w:w w:val="96"/>
              </w:rPr>
              <w:t>New York State Environmental Facilities Corporation Solid Waste Disposal Revenue Bonds Series 2014R-2 ("New York Bonds 2014R-2")</w:t>
            </w:r>
          </w:p>
        </w:tc>
        <w:tc>
          <w:tcPr>
            <w:tcW w:w="240" w:type="dxa"/>
            <w:vAlign w:val="bottom"/>
          </w:tcPr>
          <w:p>
            <w:pPr>
              <w:spacing w:after="0"/>
              <w:rPr>
                <w:sz w:val="11"/>
                <w:szCs w:val="11"/>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300" w:type="dxa"/>
            <w:vAlign w:val="bottom"/>
          </w:tcPr>
          <w:p>
            <w:pPr>
              <w:ind w:left="20"/>
              <w:spacing w:after="0"/>
              <w:rPr>
                <w:sz w:val="20"/>
                <w:szCs w:val="20"/>
                <w:color w:val="auto"/>
              </w:rPr>
            </w:pPr>
            <w:r>
              <w:rPr>
                <w:rFonts w:ascii="Arial" w:cs="Arial" w:eastAsia="Arial" w:hAnsi="Arial"/>
                <w:sz w:val="14"/>
                <w:szCs w:val="14"/>
                <w:color w:val="auto"/>
              </w:rPr>
              <w:t>due December 2044 - fixed rate interest period through 2026; bearing interest at 3.125%</w:t>
            </w: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Finance Authority of Maine Solid Waste Disposal Revenue Bonds Series 2005R-3 ("FAME Bonds 2005R-3") due January 2025 - fixed rate</w:t>
            </w:r>
          </w:p>
        </w:tc>
        <w:tc>
          <w:tcPr>
            <w:tcW w:w="2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period through 2025; bearing interest at 5.25%</w:t>
            </w:r>
          </w:p>
        </w:tc>
        <w:tc>
          <w:tcPr>
            <w:tcW w:w="2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300" w:type="dxa"/>
            <w:vAlign w:val="bottom"/>
          </w:tcPr>
          <w:p>
            <w:pPr>
              <w:ind w:left="20"/>
              <w:spacing w:after="0" w:line="135" w:lineRule="exact"/>
              <w:rPr>
                <w:sz w:val="20"/>
                <w:szCs w:val="20"/>
                <w:color w:val="auto"/>
              </w:rPr>
            </w:pPr>
            <w:r>
              <w:rPr>
                <w:rFonts w:ascii="Arial" w:cs="Arial" w:eastAsia="Arial" w:hAnsi="Arial"/>
                <w:sz w:val="14"/>
                <w:szCs w:val="14"/>
                <w:color w:val="auto"/>
                <w:w w:val="97"/>
              </w:rPr>
              <w:t>Finance Authority of Maine Solid Waste Disposal Revenue Bonds Series 2015R-1 ("FAME Bonds 2015R-1") due August 2035 - fixed rate</w:t>
            </w:r>
          </w:p>
        </w:tc>
        <w:tc>
          <w:tcPr>
            <w:tcW w:w="240" w:type="dxa"/>
            <w:vAlign w:val="bottom"/>
          </w:tcPr>
          <w:p>
            <w:pPr>
              <w:spacing w:after="0"/>
              <w:rPr>
                <w:sz w:val="11"/>
                <w:szCs w:val="11"/>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300" w:type="dxa"/>
            <w:vAlign w:val="bottom"/>
          </w:tcPr>
          <w:p>
            <w:pPr>
              <w:ind w:left="20"/>
              <w:spacing w:after="0"/>
              <w:rPr>
                <w:sz w:val="20"/>
                <w:szCs w:val="20"/>
                <w:color w:val="auto"/>
              </w:rPr>
            </w:pPr>
            <w:r>
              <w:rPr>
                <w:rFonts w:ascii="Arial" w:cs="Arial" w:eastAsia="Arial" w:hAnsi="Arial"/>
                <w:sz w:val="14"/>
                <w:szCs w:val="14"/>
                <w:color w:val="auto"/>
              </w:rPr>
              <w:t>interest period through 2025; bearing interest at 5.125%</w:t>
            </w: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Finance Authority of Maine Solid Waste Disposal Revenue Bonds Series 2015R-2 ("FAME Bonds 2015R-2") due August 2035 - fixed rate</w:t>
            </w:r>
          </w:p>
        </w:tc>
        <w:tc>
          <w:tcPr>
            <w:tcW w:w="2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period through 2025; bearing interest at 4.375%</w:t>
            </w:r>
          </w:p>
        </w:tc>
        <w:tc>
          <w:tcPr>
            <w:tcW w:w="2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300" w:type="dxa"/>
            <w:vAlign w:val="bottom"/>
          </w:tcPr>
          <w:p>
            <w:pPr>
              <w:ind w:left="20"/>
              <w:spacing w:after="0" w:line="135" w:lineRule="exact"/>
              <w:rPr>
                <w:sz w:val="20"/>
                <w:szCs w:val="20"/>
                <w:color w:val="auto"/>
              </w:rPr>
            </w:pPr>
            <w:r>
              <w:rPr>
                <w:rFonts w:ascii="Arial" w:cs="Arial" w:eastAsia="Arial" w:hAnsi="Arial"/>
                <w:sz w:val="14"/>
                <w:szCs w:val="14"/>
                <w:color w:val="auto"/>
                <w:w w:val="95"/>
              </w:rPr>
              <w:t>Vermont Economic Development Authority Solid Waste Disposal Long-Term Revenue Bonds Series 2013 ("Vermont Bonds") due April 2036</w:t>
            </w:r>
          </w:p>
        </w:tc>
        <w:tc>
          <w:tcPr>
            <w:tcW w:w="240" w:type="dxa"/>
            <w:vAlign w:val="bottom"/>
          </w:tcPr>
          <w:p>
            <w:pPr>
              <w:spacing w:after="0"/>
              <w:rPr>
                <w:sz w:val="11"/>
                <w:szCs w:val="11"/>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16,000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86"/>
        </w:trPr>
        <w:tc>
          <w:tcPr>
            <w:tcW w:w="8300" w:type="dxa"/>
            <w:vAlign w:val="bottom"/>
          </w:tcPr>
          <w:p>
            <w:pPr>
              <w:ind w:left="20"/>
              <w:spacing w:after="0"/>
              <w:rPr>
                <w:sz w:val="20"/>
                <w:szCs w:val="20"/>
                <w:color w:val="auto"/>
              </w:rPr>
            </w:pPr>
            <w:r>
              <w:rPr>
                <w:rFonts w:ascii="Arial" w:cs="Arial" w:eastAsia="Arial" w:hAnsi="Arial"/>
                <w:sz w:val="14"/>
                <w:szCs w:val="14"/>
                <w:color w:val="auto"/>
              </w:rPr>
              <w:t>- fixed rate interest period through 2028; bearing interest at 4.625%</w:t>
            </w: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4"/>
              </w:rPr>
              <w:t>Business Finance Authority of the State of New Hampshire Solid Waste Disposal Revenue Bonds Series 2013 ("New Hampshire Bonds") due</w:t>
            </w:r>
          </w:p>
        </w:tc>
        <w:tc>
          <w:tcPr>
            <w:tcW w:w="2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April 2029 - fixed rate interest period through 2029; bearing interest at 2.95%</w:t>
            </w:r>
          </w:p>
        </w:tc>
        <w:tc>
          <w:tcPr>
            <w:tcW w:w="2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maturing through December 2107; bearing interest at a weighted average of 4.7%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23,829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18,364</w:t>
            </w: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Notes payable maturing through June 2027; bearing interest at a weighted average of 3.5%</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5,181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5,464</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amount of debt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562,010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522,728</w:t>
            </w: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Less—unamortized debt issuance costs (1)</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8,889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9,406</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less unamortized debt issuance costs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553,121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513,322</w:t>
            </w: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Less—current maturities of debt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5,392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4,301</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547,729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509,021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summary of unamortized debt issuance costs by debt instrument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0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 and Term Loan Facility (collectively, the "Credit Facility")</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5,478</w:t>
            </w: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New York Bonds 2014</w:t>
            </w:r>
          </w:p>
        </w:tc>
        <w:tc>
          <w:tcPr>
            <w:tcW w:w="2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1,057</w:t>
            </w: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 Bonds 2014R-2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390</w:t>
            </w: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FAME Bonds 2005R-3</w:t>
            </w:r>
          </w:p>
        </w:tc>
        <w:tc>
          <w:tcPr>
            <w:tcW w:w="2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432</w:t>
            </w: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FAME Bonds 2015R-1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552</w:t>
            </w: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FAME Bonds 2015R-2</w:t>
            </w:r>
          </w:p>
        </w:tc>
        <w:tc>
          <w:tcPr>
            <w:tcW w:w="2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417</w:t>
            </w: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Vermont Bonds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r>
      <w:tr>
        <w:trPr>
          <w:trHeight w:val="19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New Hampshire Bonds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539</w:t>
            </w: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9,406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As of March 31, 2020, we are party to a credit agreement ("Credit Agreement"), which provides for a $350,000 Term Loan Facility and a $200,000 Revolving Credit Facility. We have the right to request, at our discretion, an increase in the amount of loans under the Credit Facility by an aggregate amount of $125,000, subject to the terms and conditions set forth in the Credit Agreement.</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Credit Facility has a 5-year term that matures in May 2023 and bears interest at a rate of LIBOR plus 1.75%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March 31, 2020, further advances were available under the Credit Facility in the amount of $113,575. The available amount is net of outstanding irrevocable letters of credit totaling $25,425, at which date no amount had been drawn.</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March 31, 2020,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In the three months ended March 31, 2020, we entered into three forward starting interest rate derivative agreements with a total notional amount of $60,000 that will serve to replace existing interest rate derivative agreements upon their expiration between June 2022 and May 2023. In the three months ended March 31, 2020, we also amended three interest rate derivative agreements to settle each of the 1.0% floors and replace each with a 0.0% floor in line with our Term Loan Facility, which resulted in us dedesignating the original hedging relationships. We subsequently designated new hedging relationships between the three interest rate derivative agreements and the variable rate interest payments related to the Term Loan Facility based on a quantitative assessment that was performed using regression analysis, which indicated that the hedging relationships were highly effective. Because the interest rate payments associated with the variable rate portion of our long-term debt will still occur, the net loss of $(765) associated with the dedesignated interest rate derivative agreements and the $430 cash settlement received in exchange for settling the 1.0% floors in accumulated other comprehensive loss were not reclassified into earnings. Instead, this loss and settlement amount will continue to be reclassified from accumulated other comprehensive loss into interest expense as the interest payments affect earnings.</w:t>
      </w:r>
    </w:p>
    <w:p>
      <w:pPr>
        <w:spacing w:after="0" w:line="6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both March 31, 2020 and December 31, 2019, our interest rate derivative agreements have a total notional amount of $190,000. According to the terms of the agreements, we receive interest based on the 1-month LIBOR index and pay interest at a weighted average rate of approximately 2.54%. The agreements mature between February 2021 and May 2023.</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Additionally, we have forward starting interest rate derivative agreements with a total notional amount of $125,000 that mature between February 2026 and May 2028. We receive interest based on the 1-month LIBOR index, restricted by a 0.0% floor, and will pay interest at a weighted average rate of approximately 1.63%.</w:t>
      </w:r>
    </w:p>
    <w:p>
      <w:pPr>
        <w:spacing w:after="0" w:line="7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408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1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tcPr>
          <w:p>
            <w:pPr>
              <w:spacing w:after="0"/>
              <w:rPr>
                <w:sz w:val="16"/>
                <w:szCs w:val="16"/>
                <w:color w:val="auto"/>
              </w:rPr>
            </w:pPr>
          </w:p>
        </w:tc>
        <w:tc>
          <w:tcPr>
            <w:tcW w:w="4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8,860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13,026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Interest rate swaps - tax provision</w:t>
            </w: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(13,230)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120"/>
        <w:spacing w:after="0" w:line="276" w:lineRule="auto"/>
        <w:rPr>
          <w:sz w:val="20"/>
          <w:szCs w:val="20"/>
          <w:color w:val="auto"/>
        </w:rPr>
      </w:pPr>
      <w:r>
        <w:rPr>
          <w:rFonts w:ascii="Arial" w:cs="Arial" w:eastAsia="Arial" w:hAnsi="Arial"/>
          <w:sz w:val="18"/>
          <w:szCs w:val="18"/>
          <w:color w:val="auto"/>
        </w:rPr>
        <w:t>A summary of the amount of expense on cash flow hedging relationships related to interest rate swaps reclassified from accumulated other comprehensive loss into earnings follows:</w:t>
      </w:r>
    </w:p>
    <w:p>
      <w:pPr>
        <w:spacing w:after="0" w:line="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6140" w:type="dxa"/>
            <w:vAlign w:val="bottom"/>
            <w:gridSpan w:val="2"/>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6"/>
              </w:rPr>
              <w:t>2019</w:t>
            </w:r>
          </w:p>
        </w:tc>
      </w:tr>
      <w:tr>
        <w:trPr>
          <w:trHeight w:val="196"/>
        </w:trPr>
        <w:tc>
          <w:tcPr>
            <w:tcW w:w="212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(Expense) Income</w:t>
            </w:r>
          </w:p>
        </w:tc>
        <w:tc>
          <w:tcPr>
            <w:tcW w:w="900" w:type="dxa"/>
            <w:vAlign w:val="bottom"/>
            <w:tcBorders>
              <w:bottom w:val="single" w:sz="8" w:color="auto"/>
            </w:tcBorders>
          </w:tcPr>
          <w:p>
            <w:pPr>
              <w:spacing w:after="0"/>
              <w:rPr>
                <w:sz w:val="17"/>
                <w:szCs w:val="17"/>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040" w:type="dxa"/>
            <w:vAlign w:val="bottom"/>
            <w:gridSpan w:val="3"/>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(489)</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r>
      <w:tr>
        <w:trPr>
          <w:trHeight w:val="27"/>
        </w:trPr>
        <w:tc>
          <w:tcPr>
            <w:tcW w:w="2120" w:type="dxa"/>
            <w:vAlign w:val="bottom"/>
            <w:shd w:val="clear" w:color="auto" w:fill="CCEEFF"/>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ind w:right="7520" w:firstLine="8"/>
        <w:spacing w:after="0" w:line="378"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ind w:right="60"/>
        <w:spacing w:after="0" w:line="254"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have been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are vigorously defending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5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 We are in active discovery in the Residents case.</w:t>
      </w:r>
    </w:p>
    <w:p>
      <w:pPr>
        <w:spacing w:after="0" w:line="8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Construction of the waterline is complete and homeowners are relying on municipal water supply. Remaining aspects of the project are minor and are expected to be completed in 2020. Bond reimbursement to the Town will commence in the fiscal year ending December 31, 2020.</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ind w:right="380"/>
        <w:spacing w:after="0" w:line="286" w:lineRule="auto"/>
        <w:rPr>
          <w:sz w:val="20"/>
          <w:szCs w:val="20"/>
          <w:color w:val="auto"/>
        </w:rPr>
      </w:pPr>
      <w:r>
        <w:rPr>
          <w:rFonts w:ascii="Arial" w:cs="Arial" w:eastAsia="Arial" w:hAnsi="Arial"/>
          <w:sz w:val="17"/>
          <w:szCs w:val="17"/>
          <w:color w:val="auto"/>
        </w:rPr>
        <w:t>We have recorded an environmental remediation liability related to our obligation associated with the installation of the Waterline in other accrued liabilities and other long-term liabilities. We inflate the estimated costs in current dollars to the expected time of payment and discount the total cost to present value using a risk-free interest rate of 1.9%. Our expenditures could be significantly higher if costs exceed estimates.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Southbridge Landfill follows:</w:t>
      </w:r>
    </w:p>
    <w:p>
      <w:pPr>
        <w:spacing w:after="0" w:line="55"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4,596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5,173</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86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34</w:t>
            </w:r>
          </w:p>
        </w:tc>
      </w:tr>
      <w:tr>
        <w:trPr>
          <w:trHeight w:val="27"/>
        </w:trPr>
        <w:tc>
          <w:tcPr>
            <w:tcW w:w="8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Obligations incurred</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8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(141)</w:t>
            </w:r>
          </w:p>
        </w:tc>
      </w:tr>
      <w:tr>
        <w:trPr>
          <w:trHeight w:val="27"/>
        </w:trPr>
        <w:tc>
          <w:tcPr>
            <w:tcW w:w="8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4,641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5,066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completed the first phase of landfill capping and closure in fiscal year 2019 at the Southbridge Landfill and are actively seeking approval from MADEP to close and cap the remainder of the landfill.</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has been completed as of March 31, 2020. WSI is jointly and severally liable with NiMo, Alcoa and Reynolds for the total cost to remediate.</w:t>
      </w:r>
    </w:p>
    <w:p>
      <w:pPr>
        <w:spacing w:after="0" w:line="6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 The environmental remediation liability associated with the Potsdam site was $1,151 as of both March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("NCES Landfill").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the.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navigable waters is too broad. SCOTUS ruled 6-3 that the question should be whether “…the addition of the pollutants through ground water is the functional equivalent of a direct discharge from the point source into navigable waters”. We do not believe that the MAUI decision resolves the issues presented in the New Hampshire Litigation, and until the Circuit Court rules in the remanded MAUI case, we intend to continue to vigorously defend against the New Hampshire Litigation, which we believe is without merit.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or about September 17, 2019, Richard Vandemortel and Deb Vandemortel filed a class action complaint against us on behalf of similarly situated citizens in Ontario County, New York. The lawsuit has been filed in Ontario County (the “New York Litigation”).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Ontario County Landfill, which is operated by us pursuant to a long-term Operation, Maintenance and Lease Agreement with Ontario County. The New York Litigation was served on us on October 14, 2019. We are reviewing the New York Litigation and intend to present a vigorous defense.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Hakes Landfill Litigation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or about December 19, 2019, the New York State Department of Environmental Conservation (“Department”) issued certain permits to us to expand the landfill owned and operated by Hakes C&amp;D Disposal Inc. (“Hakes”) in the Town of Campbell, Steuben County, New York.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Through litigation commenced by the Sierra Club, several other non-governmental organizations, and several individuals, the Petitioners have challenged the approvals issued by the Department, the Planning Board and the Town Board in New York State Supreme Court, Steuben County. The challenge is based upon allegations that the agencies issuing these approvals did not follow the requirements of Article 8 of the Environmental Conservation Law of the State of New York, the State Environmental Quality Review Act (“SEQRA”), by failing to address certain radioactivity issues alleged by Petitioners to be associated with certain wastes drilling wastes authorized for disposal at the Hakes Landfill. The petitioners have also made a motion for a preliminary injunction to restrain construction and operation of the expansion cell. We, as well as all of the involved agencies, are vigorously defending against the litigation.</w:t>
      </w:r>
    </w:p>
    <w:p>
      <w:pPr>
        <w:spacing w:after="0" w:line="8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The parties to the litigation have entered into a stipulation to facilitate progress in the litigation and the motion for a preliminary injunction has been adjourned until the end of August, which should give the court time to address the merits of the petition before addressing the motion for a preliminary injunction. There is no restriction on construction and we anticipate completing the construction at the Hakes Landfill by the end of August,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Contingency</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January 9, 2019, NCES filed an application for a 1.2 million (cy) expansion of the capacity of the NCES Landfill with the New Hampshire Department of Environmental Services (“NHDES”) (“Stage VI Expansion”). The Stage VI Expansion would provide NCES with over five (5) years of additional capacity beyond the capacity of Stage V.</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0" w:name="page21"/>
    <w:bookmarkEnd w:id="20"/>
    <w:p>
      <w:pPr>
        <w:ind w:right="80"/>
        <w:spacing w:after="0" w:line="263" w:lineRule="auto"/>
        <w:rPr>
          <w:sz w:val="20"/>
          <w:szCs w:val="20"/>
          <w:color w:val="auto"/>
        </w:rPr>
      </w:pPr>
      <w:r>
        <w:rPr>
          <w:rFonts w:ascii="Arial" w:cs="Arial" w:eastAsia="Arial" w:hAnsi="Arial"/>
          <w:sz w:val="18"/>
          <w:szCs w:val="18"/>
          <w:color w:val="auto"/>
        </w:rPr>
        <w:t>On January 9, 2019, NCES filed an application for a 1.2 million (cy) expansion of the capacity of the NCES Landfill with the New Hampshire Department of Environmental Services (“NHDES”) (“Stage VI Expansion”). The Stage VI Expansion would provide NCES with over five (5) years of additional capacity beyond the capacity of Stage V.</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January 2020, NHDES informed NCES and us that NHDES had concerns regarding the short-term public benefit need for the Stage VI expansion, and also in respect of certain technical concerns regarding the Stage VI expansion. Given the fact the NHDES decided to review our permit application for the Stage VI Expansion with respect to public benefit determination using a different regulatory framework than used in any of our previous permitting activities at NCES, we informed the NHDES on February 11, 2020, that while we vigorously disagreed with NHDES’ review of our application and the context for the NHDES’ concerns, we would withdraw our application with the expectation of refiling the application with the NHDES as soon as possible. We refiled our application on March 17, 2020. While the refiling of the application for the Stage VI Expansion could be rejected by the NHDES, and while delay of the Stage VI Expansion will surely occur, we remain confident that we will receive a permit for the Stage VI Expansion. We believe that a loss of $1,415 is reasonably possible, but not probable.</w:t>
      </w:r>
    </w:p>
    <w:p>
      <w:pPr>
        <w:spacing w:after="0" w:line="174" w:lineRule="exact"/>
        <w:rPr>
          <w:sz w:val="20"/>
          <w:szCs w:val="20"/>
          <w:color w:val="auto"/>
        </w:rPr>
      </w:pPr>
    </w:p>
    <w:p>
      <w:pPr>
        <w:ind w:right="8660" w:firstLine="8"/>
        <w:spacing w:after="0" w:line="378" w:lineRule="auto"/>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March 31, 2020, there were 1,121 Class A common stock equivalents available for future grant under the 2016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2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Stock Options (1)</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Term (years)</w:t>
            </w: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440" w:type="dxa"/>
            <w:vAlign w:val="bottom"/>
            <w:tcBorders>
              <w:top w:val="single" w:sz="8" w:color="auto"/>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2020</w:t>
            </w:r>
          </w:p>
        </w:tc>
        <w:tc>
          <w:tcPr>
            <w:tcW w:w="14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March 31, 2020</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vMerge w:val="continue"/>
          </w:tcPr>
          <w:p>
            <w:pPr>
              <w:spacing w:after="0"/>
              <w:rPr>
                <w:sz w:val="18"/>
                <w:szCs w:val="18"/>
                <w:color w:val="auto"/>
              </w:rPr>
            </w:pPr>
          </w:p>
        </w:tc>
        <w:tc>
          <w:tcPr>
            <w:tcW w:w="1440" w:type="dxa"/>
            <w:vAlign w:val="bottom"/>
          </w:tcPr>
          <w:p>
            <w:pPr>
              <w:ind w:left="11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9"/>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record any stock-based compensation expense for stock options during both the three months ended March 31, 2020 and March 31,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the aggregate intrinsic value of stock options exercised was $296.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1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typically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Restricted Stock,</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Restricted Stock Units,</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and Performance Stock Units</w:t>
            </w:r>
          </w:p>
        </w:tc>
        <w:tc>
          <w:tcPr>
            <w:tcW w:w="860" w:type="dxa"/>
            <w:vAlign w:val="bottom"/>
          </w:tcPr>
          <w:p>
            <w:pPr>
              <w:jc w:val="center"/>
              <w:ind w:left="477"/>
              <w:spacing w:after="0" w:line="149" w:lineRule="exact"/>
              <w:rPr>
                <w:sz w:val="20"/>
                <w:szCs w:val="20"/>
                <w:color w:val="auto"/>
              </w:rPr>
            </w:pPr>
            <w:r>
              <w:rPr>
                <w:rFonts w:ascii="Arial" w:cs="Arial" w:eastAsia="Arial" w:hAnsi="Arial"/>
                <w:sz w:val="14"/>
                <w:szCs w:val="14"/>
                <w:b w:val="1"/>
                <w:bCs w:val="1"/>
                <w:color w:val="auto"/>
              </w:rPr>
              <w:t>Fair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9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28.23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7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860" w:type="dxa"/>
            <w:vAlign w:val="bottom"/>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47.00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A Common Stock Vested</w:t>
            </w:r>
          </w:p>
        </w:tc>
        <w:tc>
          <w:tcPr>
            <w:tcW w:w="1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60" w:type="dxa"/>
            <w:vAlign w:val="bottom"/>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25.41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2020</w:t>
            </w:r>
          </w:p>
        </w:tc>
        <w:tc>
          <w:tcPr>
            <w:tcW w:w="1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36.63</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March 31, 2020</w:t>
            </w: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vMerge w:val="continue"/>
          </w:tcPr>
          <w:p>
            <w:pPr>
              <w:spacing w:after="0"/>
              <w:rPr>
                <w:sz w:val="18"/>
                <w:szCs w:val="18"/>
                <w:color w:val="auto"/>
              </w:rPr>
            </w:pPr>
          </w:p>
        </w:tc>
        <w:tc>
          <w:tcPr>
            <w:tcW w:w="1960" w:type="dxa"/>
            <w:vAlign w:val="bottom"/>
          </w:tcPr>
          <w:p>
            <w:pPr>
              <w:jc w:val="right"/>
              <w:ind w:right="77"/>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860" w:type="dxa"/>
            <w:vAlign w:val="bottom"/>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37.60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27,755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right="140" w:hanging="652"/>
        <w:spacing w:after="0" w:line="273" w:lineRule="auto"/>
        <w:tabs>
          <w:tab w:leader="none" w:pos="652"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Market-based performance stock unit grants are included at the 100% attainment level. Attainment of the maximum performance targets and market achievements would result in the issuance of an additional 289 shares of Class A common stock currently included in unvested.</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Stock-based compensation expense related to restricted stock, restricted stock units and performance stock units was $1,515 during the three months ended March 31, 2020, as compared to $1,390 during the three months ended March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the total fair value of other stock awards vested was $4,979.</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of March 31, 2020, total unrecognized stock-based compensation expense related to outstanding restricted stock was $45, which will be recognized over a weighted average period of 2.7 years. As of March 31, 2020, total unrecognized stock-based compensation expense related to outstanding restricted stock units was $5,148, which will be recognized over a weighted average period of 2.3 years. As of March 31, 2020, total unrecognized stock-based compensation expense related to outstanding performance stock units was $7,356 to be recognized over a weighted average period of 2.1 years.</w:t>
      </w:r>
    </w:p>
    <w:p>
      <w:pPr>
        <w:spacing w:after="0" w:line="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also recorded $47 of stock-based compensation expense related to our Amended and Restated 1997 Employee Stock Purchase Plan during the three months ended March 31, 2020, as compared to $41 during the three months ended March 31,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loss, net of tax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Interest Rate Swaps</w:t>
            </w: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(6,041)</w:t>
            </w:r>
          </w:p>
        </w:tc>
      </w:tr>
      <w:tr>
        <w:trPr>
          <w:trHeight w:val="243"/>
        </w:trPr>
        <w:tc>
          <w:tcPr>
            <w:tcW w:w="980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(7,790)</w:t>
            </w:r>
          </w:p>
        </w:tc>
      </w:tr>
      <w:tr>
        <w:trPr>
          <w:trHeight w:val="27"/>
        </w:trPr>
        <w:tc>
          <w:tcPr>
            <w:tcW w:w="9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loss</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489</w:t>
            </w:r>
          </w:p>
        </w:tc>
      </w:tr>
      <w:tr>
        <w:trPr>
          <w:trHeight w:val="243"/>
        </w:trPr>
        <w:tc>
          <w:tcPr>
            <w:tcW w:w="9800" w:type="dxa"/>
            <w:vAlign w:val="bottom"/>
          </w:tcPr>
          <w:p>
            <w:pPr>
              <w:ind w:left="220"/>
              <w:spacing w:after="0"/>
              <w:rPr>
                <w:sz w:val="20"/>
                <w:szCs w:val="20"/>
                <w:color w:val="auto"/>
              </w:rPr>
            </w:pPr>
            <w:r>
              <w:rPr>
                <w:rFonts w:ascii="Arial" w:cs="Arial" w:eastAsia="Arial" w:hAnsi="Arial"/>
                <w:sz w:val="18"/>
                <w:szCs w:val="18"/>
                <w:color w:val="auto"/>
              </w:rPr>
              <w:t>Income tax benefit related to items of other comprehensive loss</w:t>
            </w:r>
          </w:p>
        </w:tc>
        <w:tc>
          <w:tcPr>
            <w:tcW w:w="4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112</w:t>
            </w:r>
          </w:p>
        </w:tc>
      </w:tr>
      <w:tr>
        <w:trPr>
          <w:trHeight w:val="27"/>
        </w:trPr>
        <w:tc>
          <w:tcPr>
            <w:tcW w:w="9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current-period other comprehensive loss</w:t>
            </w: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(7,189)</w:t>
            </w: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(13,230)</w:t>
            </w:r>
          </w:p>
        </w:tc>
      </w:tr>
      <w:tr>
        <w:trPr>
          <w:trHeight w:val="27"/>
        </w:trPr>
        <w:tc>
          <w:tcPr>
            <w:tcW w:w="9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9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loss, net of tax follows:</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13335</wp:posOffset>
            </wp:positionV>
            <wp:extent cx="1885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020" w:type="dxa"/>
            <w:vAlign w:val="bottom"/>
          </w:tcPr>
          <w:p>
            <w:pPr>
              <w:spacing w:after="0"/>
              <w:rPr>
                <w:sz w:val="16"/>
                <w:szCs w:val="16"/>
                <w:color w:val="auto"/>
              </w:rPr>
            </w:pPr>
          </w:p>
        </w:tc>
      </w:tr>
      <w:tr>
        <w:trPr>
          <w:trHeight w:val="153"/>
        </w:trPr>
        <w:tc>
          <w:tcPr>
            <w:tcW w:w="4100" w:type="dxa"/>
            <w:vAlign w:val="bottom"/>
          </w:tcPr>
          <w:p>
            <w:pPr>
              <w:jc w:val="center"/>
              <w:ind w:right="22"/>
              <w:spacing w:after="0" w:line="153" w:lineRule="exact"/>
              <w:rPr>
                <w:sz w:val="20"/>
                <w:szCs w:val="20"/>
                <w:color w:val="auto"/>
              </w:rPr>
            </w:pPr>
            <w:r>
              <w:rPr>
                <w:rFonts w:ascii="Arial" w:cs="Arial" w:eastAsia="Arial" w:hAnsi="Arial"/>
                <w:sz w:val="14"/>
                <w:szCs w:val="14"/>
                <w:b w:val="1"/>
                <w:bCs w:val="1"/>
                <w:color w:val="auto"/>
                <w:w w:val="92"/>
              </w:rPr>
              <w:t>Details About Accumulated Other Comprehensive Loss</w:t>
            </w:r>
          </w:p>
        </w:tc>
        <w:tc>
          <w:tcPr>
            <w:tcW w:w="3080" w:type="dxa"/>
            <w:vAlign w:val="bottom"/>
            <w:gridSpan w:val="6"/>
          </w:tcPr>
          <w:p>
            <w:pPr>
              <w:ind w:left="40"/>
              <w:spacing w:after="0" w:line="153" w:lineRule="exact"/>
              <w:rPr>
                <w:sz w:val="20"/>
                <w:szCs w:val="20"/>
                <w:color w:val="auto"/>
              </w:rPr>
            </w:pPr>
            <w:r>
              <w:rPr>
                <w:rFonts w:ascii="Arial" w:cs="Arial" w:eastAsia="Arial" w:hAnsi="Arial"/>
                <w:sz w:val="14"/>
                <w:szCs w:val="14"/>
                <w:b w:val="1"/>
                <w:bCs w:val="1"/>
                <w:color w:val="auto"/>
                <w:w w:val="93"/>
              </w:rPr>
              <w:t>Amounts Reclassified Out of Accumulated Other</w:t>
            </w:r>
          </w:p>
        </w:tc>
        <w:tc>
          <w:tcPr>
            <w:tcW w:w="4020" w:type="dxa"/>
            <w:vAlign w:val="bottom"/>
          </w:tcPr>
          <w:p>
            <w:pPr>
              <w:ind w:left="820"/>
              <w:spacing w:after="0" w:line="153"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92"/>
        </w:trPr>
        <w:tc>
          <w:tcPr>
            <w:tcW w:w="410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Components</w:t>
            </w:r>
          </w:p>
        </w:tc>
        <w:tc>
          <w:tcPr>
            <w:tcW w:w="340" w:type="dxa"/>
            <w:vAlign w:val="bottom"/>
          </w:tcPr>
          <w:p>
            <w:pPr>
              <w:spacing w:after="0"/>
              <w:rPr>
                <w:sz w:val="16"/>
                <w:szCs w:val="16"/>
                <w:color w:val="auto"/>
              </w:rPr>
            </w:pPr>
          </w:p>
        </w:tc>
        <w:tc>
          <w:tcPr>
            <w:tcW w:w="2740" w:type="dxa"/>
            <w:vAlign w:val="bottom"/>
            <w:gridSpan w:val="5"/>
          </w:tcPr>
          <w:p>
            <w:pPr>
              <w:ind w:left="560"/>
              <w:spacing w:after="0"/>
              <w:rPr>
                <w:sz w:val="20"/>
                <w:szCs w:val="20"/>
                <w:color w:val="auto"/>
              </w:rPr>
            </w:pPr>
            <w:r>
              <w:rPr>
                <w:rFonts w:ascii="Arial" w:cs="Arial" w:eastAsia="Arial" w:hAnsi="Arial"/>
                <w:sz w:val="14"/>
                <w:szCs w:val="14"/>
                <w:b w:val="1"/>
                <w:bCs w:val="1"/>
                <w:color w:val="auto"/>
              </w:rPr>
              <w:t>Comprehensive Loss</w:t>
            </w:r>
          </w:p>
        </w:tc>
        <w:tc>
          <w:tcPr>
            <w:tcW w:w="4020" w:type="dxa"/>
            <w:vAlign w:val="bottom"/>
          </w:tcPr>
          <w:p>
            <w:pPr>
              <w:ind w:left="1240"/>
              <w:spacing w:after="0"/>
              <w:rPr>
                <w:sz w:val="20"/>
                <w:szCs w:val="20"/>
                <w:color w:val="auto"/>
              </w:rPr>
            </w:pPr>
            <w:r>
              <w:rPr>
                <w:rFonts w:ascii="Arial" w:cs="Arial" w:eastAsia="Arial" w:hAnsi="Arial"/>
                <w:sz w:val="14"/>
                <w:szCs w:val="14"/>
                <w:b w:val="1"/>
                <w:bCs w:val="1"/>
                <w:color w:val="auto"/>
              </w:rPr>
              <w:t>Statements of Operations</w:t>
            </w:r>
          </w:p>
        </w:tc>
      </w:tr>
      <w:tr>
        <w:trPr>
          <w:trHeight w:val="276"/>
        </w:trPr>
        <w:tc>
          <w:tcPr>
            <w:tcW w:w="4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center"/>
              <w:ind w:left="436"/>
              <w:spacing w:after="0"/>
              <w:rPr>
                <w:sz w:val="20"/>
                <w:szCs w:val="20"/>
                <w:color w:val="auto"/>
              </w:rPr>
            </w:pPr>
            <w:r>
              <w:rPr>
                <w:rFonts w:ascii="Arial" w:cs="Arial" w:eastAsia="Arial" w:hAnsi="Arial"/>
                <w:sz w:val="18"/>
                <w:szCs w:val="18"/>
                <w:color w:val="auto"/>
                <w:w w:val="86"/>
              </w:rPr>
              <w:t>489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r>
      <w:tr>
        <w:trPr>
          <w:trHeight w:val="237"/>
        </w:trPr>
        <w:tc>
          <w:tcPr>
            <w:tcW w:w="4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center"/>
              <w:ind w:left="436"/>
              <w:spacing w:after="0"/>
              <w:rPr>
                <w:sz w:val="20"/>
                <w:szCs w:val="20"/>
                <w:color w:val="auto"/>
              </w:rPr>
            </w:pPr>
            <w:r>
              <w:rPr>
                <w:rFonts w:ascii="Arial" w:cs="Arial" w:eastAsia="Arial" w:hAnsi="Arial"/>
                <w:sz w:val="18"/>
                <w:szCs w:val="18"/>
                <w:color w:val="auto"/>
                <w:w w:val="86"/>
              </w:rPr>
              <w:t>489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396"/>
              <w:spacing w:after="0"/>
              <w:rPr>
                <w:sz w:val="20"/>
                <w:szCs w:val="20"/>
                <w:color w:val="auto"/>
              </w:rPr>
            </w:pPr>
            <w:r>
              <w:rPr>
                <w:rFonts w:ascii="Arial" w:cs="Arial" w:eastAsia="Arial" w:hAnsi="Arial"/>
                <w:sz w:val="18"/>
                <w:szCs w:val="18"/>
                <w:color w:val="auto"/>
                <w:w w:val="90"/>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r>
      <w:tr>
        <w:trPr>
          <w:trHeight w:val="263"/>
        </w:trPr>
        <w:tc>
          <w:tcPr>
            <w:tcW w:w="4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center"/>
              <w:ind w:left="436"/>
              <w:spacing w:after="0"/>
              <w:rPr>
                <w:sz w:val="20"/>
                <w:szCs w:val="20"/>
                <w:color w:val="auto"/>
              </w:rPr>
            </w:pPr>
            <w:r>
              <w:rPr>
                <w:rFonts w:ascii="Arial" w:cs="Arial" w:eastAsia="Arial" w:hAnsi="Arial"/>
                <w:sz w:val="18"/>
                <w:szCs w:val="18"/>
                <w:color w:val="auto"/>
                <w:w w:val="86"/>
              </w:rPr>
              <w:t>601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1"/>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Basic earnings per share is computed by dividing the net income (loss)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Number of shares outstanding, end of period: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46,252</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Class B common stock</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to be issued -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Unvested restricted stock</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 of weighted average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48,005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45,913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Dilutive effect of stock options and other stock awards</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48,262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45,913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ITEMS AND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 and Other Items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March 31, 2020 and 2019, we recorded charges of $1,009 and $677, respectively, associated primarily with acquisition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2017, we initiated the plan to cease operations of the Southbridge Landfill and later closed it in November 2018 when Southbridge Landfill reached its final capacity</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the three months ended March 31, 2020 and 2019, we recorded legal and other costs associated with various matters as part of the Southbridge Landfill closure of $613 and $555,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 month LIBOR yield curves that are observable at commonly quoted intervals for the full term of the swaps.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271"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Fair Value Measurement at March 31, 2020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4"/>
                <w:szCs w:val="14"/>
                <w:color w:val="auto"/>
              </w:rPr>
            </w:pPr>
          </w:p>
        </w:tc>
        <w:tc>
          <w:tcPr>
            <w:tcW w:w="150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5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62"/>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61"/>
              <w:spacing w:after="0"/>
              <w:rPr>
                <w:sz w:val="20"/>
                <w:szCs w:val="20"/>
                <w:color w:val="auto"/>
              </w:rPr>
            </w:pPr>
            <w:r>
              <w:rPr>
                <w:rFonts w:ascii="Arial" w:cs="Arial" w:eastAsia="Arial" w:hAnsi="Arial"/>
                <w:sz w:val="18"/>
                <w:szCs w:val="18"/>
                <w:color w:val="auto"/>
              </w:rPr>
              <w:t>13,026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1"/>
        </w:trPr>
        <w:tc>
          <w:tcPr>
            <w:tcW w:w="6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7"/>
          </w:tcPr>
          <w:p>
            <w:pPr>
              <w:jc w:val="center"/>
              <w:ind w:right="81"/>
              <w:spacing w:after="0"/>
              <w:rPr>
                <w:sz w:val="20"/>
                <w:szCs w:val="20"/>
                <w:color w:val="auto"/>
              </w:rPr>
            </w:pPr>
            <w:r>
              <w:rPr>
                <w:rFonts w:ascii="Arial" w:cs="Arial" w:eastAsia="Arial" w:hAnsi="Arial"/>
                <w:sz w:val="14"/>
                <w:szCs w:val="14"/>
                <w:b w:val="1"/>
                <w:bCs w:val="1"/>
                <w:color w:val="auto"/>
                <w:w w:val="93"/>
              </w:rPr>
              <w:t>Fair Value Measurement at December 31, 2019 Using:</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3"/>
                <w:szCs w:val="13"/>
                <w:color w:val="auto"/>
              </w:rPr>
            </w:pPr>
          </w:p>
        </w:tc>
        <w:tc>
          <w:tcPr>
            <w:tcW w:w="15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5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62"/>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61"/>
              <w:spacing w:after="0"/>
              <w:rPr>
                <w:sz w:val="20"/>
                <w:szCs w:val="20"/>
                <w:color w:val="auto"/>
              </w:rPr>
            </w:pPr>
            <w:r>
              <w:rPr>
                <w:rFonts w:ascii="Arial" w:cs="Arial" w:eastAsia="Arial" w:hAnsi="Arial"/>
                <w:sz w:val="18"/>
                <w:szCs w:val="18"/>
                <w:color w:val="auto"/>
              </w:rPr>
              <w:t>5,427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March 31, 2020, the fair value of our fixed rate debt, including our FAME Bonds 2005R-3, FAME Bonds 2015R-1, FAME Bonds 2015R-2, Vermont Bonds, New York Bonds 2014, New York Bonds 2014R-2 and New Hampshire Bonds was approximately $120,327 and the carrying value was $122,000. The fair value of the FAME Bonds 2005R-3, the FAME Bonds 2015R-1, the FAME Bonds 2015R-2, the Vermont Bonds, the New York Bonds 2014, the New York Bonds 2014R-2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5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March 31, 2020, the carrying value of our Term Loan Facility was $350,000 and the carrying value of our Revolving Credit Facility was $61,000. Their fair values are based on current borrowing rates for similar types of borrowing arrangements, or Level 2 inputs, and approximate their carrying values.</w:t>
      </w:r>
    </w:p>
    <w:p>
      <w:pPr>
        <w:spacing w:after="0" w:line="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Although we have determined the estimated fair value amounts of FAME Bonds 2005R-3, FAME Bonds 2015R-1, FAME Bonds 2015R-2, Vermont Bonds, New York Bonds 2014, New York Bonds 2014R-2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 We classify our resource-renewal services in our Resource Solutions segment. Revenues associated with our resource renewal operations are derived from organics services, major account and industrial services, as well as recycling services generated from both municipalities and customers in the form of processing fees, tipping fees and commodity sales. Legal, tax, information technology, human resources, certain finance and accounting and other administrative functions are included in our Corporate Entities segment.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Three Months Ended March 31,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gridSpan w:val="2"/>
            <w:vMerge w:val="restart"/>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Inter-company</w:t>
            </w:r>
          </w:p>
        </w:tc>
        <w:tc>
          <w:tcPr>
            <w:tcW w:w="14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Depreciation and</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Operating</w:t>
            </w:r>
          </w:p>
        </w:tc>
        <w:tc>
          <w:tcPr>
            <w:tcW w:w="34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3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50,143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11,839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5,958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206,334</w:t>
            </w:r>
          </w:p>
        </w:tc>
        <w:tc>
          <w:tcPr>
            <w:tcW w:w="0" w:type="dxa"/>
            <w:vAlign w:val="bottom"/>
          </w:tcPr>
          <w:p>
            <w:pPr>
              <w:spacing w:after="0"/>
              <w:rPr>
                <w:sz w:val="1"/>
                <w:szCs w:val="1"/>
                <w:color w:val="auto"/>
              </w:rPr>
            </w:pPr>
          </w:p>
        </w:tc>
      </w:tr>
      <w:tr>
        <w:trPr>
          <w:trHeight w:val="24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85,206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25,546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13,232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5,642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599,815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47,561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93,199</w:t>
            </w:r>
          </w:p>
        </w:tc>
        <w:tc>
          <w:tcPr>
            <w:tcW w:w="0" w:type="dxa"/>
            <w:vAlign w:val="bottom"/>
          </w:tcPr>
          <w:p>
            <w:pPr>
              <w:spacing w:after="0"/>
              <w:rPr>
                <w:sz w:val="1"/>
                <w:szCs w:val="1"/>
                <w:color w:val="auto"/>
              </w:rPr>
            </w:pPr>
          </w:p>
        </w:tc>
      </w:tr>
      <w:tr>
        <w:trPr>
          <w:trHeight w:val="24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60" w:type="dxa"/>
            <w:vAlign w:val="bottom"/>
          </w:tcPr>
          <w:p>
            <w:pPr>
              <w:spacing w:after="0"/>
              <w:rPr>
                <w:sz w:val="21"/>
                <w:szCs w:val="21"/>
                <w:color w:val="auto"/>
              </w:rPr>
            </w:pP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58,292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(40,279)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182,910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21,406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957,640</w:t>
            </w:r>
          </w:p>
        </w:tc>
        <w:tc>
          <w:tcPr>
            <w:tcW w:w="0" w:type="dxa"/>
            <w:vAlign w:val="bottom"/>
          </w:tcPr>
          <w:p>
            <w:pPr>
              <w:spacing w:after="0"/>
              <w:rPr>
                <w:sz w:val="1"/>
                <w:szCs w:val="1"/>
                <w:color w:val="auto"/>
              </w:rPr>
            </w:pPr>
          </w:p>
        </w:tc>
      </w:tr>
      <w:tr>
        <w:trPr>
          <w:trHeight w:val="27"/>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gridSpan w:val="4"/>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370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Inter-company</w:t>
            </w:r>
          </w:p>
        </w:tc>
        <w:tc>
          <w:tcPr>
            <w:tcW w:w="140" w:type="dxa"/>
            <w:vAlign w:val="bottom"/>
          </w:tcPr>
          <w:p>
            <w:pPr>
              <w:spacing w:after="0"/>
              <w:rPr>
                <w:sz w:val="15"/>
                <w:szCs w:val="15"/>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15"/>
                <w:szCs w:val="15"/>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46,997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10,771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5,260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195,851</w:t>
            </w:r>
          </w:p>
        </w:tc>
        <w:tc>
          <w:tcPr>
            <w:tcW w:w="0" w:type="dxa"/>
            <w:vAlign w:val="bottom"/>
          </w:tcPr>
          <w:p>
            <w:pPr>
              <w:spacing w:after="0"/>
              <w:rPr>
                <w:sz w:val="1"/>
                <w:szCs w:val="1"/>
                <w:color w:val="auto"/>
              </w:rPr>
            </w:pPr>
          </w:p>
        </w:tc>
      </w:tr>
      <w:tr>
        <w:trPr>
          <w:trHeight w:val="24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74,151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20,218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10,234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494,066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42,516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86,222</w:t>
            </w:r>
          </w:p>
        </w:tc>
        <w:tc>
          <w:tcPr>
            <w:tcW w:w="0" w:type="dxa"/>
            <w:vAlign w:val="bottom"/>
          </w:tcPr>
          <w:p>
            <w:pPr>
              <w:spacing w:after="0"/>
              <w:rPr>
                <w:sz w:val="1"/>
                <w:szCs w:val="1"/>
                <w:color w:val="auto"/>
              </w:rPr>
            </w:pPr>
          </w:p>
        </w:tc>
      </w:tr>
      <w:tr>
        <w:trPr>
          <w:trHeight w:val="24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60" w:type="dxa"/>
            <w:vAlign w:val="bottom"/>
          </w:tcPr>
          <w:p>
            <w:pPr>
              <w:spacing w:after="0"/>
              <w:rPr>
                <w:sz w:val="21"/>
                <w:szCs w:val="21"/>
                <w:color w:val="auto"/>
              </w:rPr>
            </w:pPr>
          </w:p>
        </w:tc>
        <w:tc>
          <w:tcPr>
            <w:tcW w:w="12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52,174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(33,376)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163,664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17,489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828,313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83,080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Disposal</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38,625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36,054</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1,136</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878</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135,349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121,148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Organics</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13,596</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18,154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Recycling</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10,766</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Resource solutions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47,561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42,516</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182,910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163,664</w:t>
            </w:r>
          </w:p>
        </w:tc>
      </w:tr>
      <w:tr>
        <w:trPr>
          <w:trHeight w:val="27"/>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2019 filed with the Securities and Exchange Commission (“SEC”) on February 21, 2020.</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 statements regarding:</w:t>
      </w:r>
    </w:p>
    <w:p>
      <w:pPr>
        <w:spacing w:after="0" w:line="7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and potential direct or indirect impacts of the novel coronavirus (“COVID-19”) outbreak on our business;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84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right="28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2019 and those included under Part II, Item 1A of this Quarterly Report on Form 10-Q.</w:t>
      </w:r>
    </w:p>
    <w:p>
      <w:pPr>
        <w:spacing w:after="0" w:line="5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Founded in 1975 with a single truck, Casella Waste Systems, Inc., a Delaware corporation and its wholly-owned subsidiaries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We manage our larger-scale recycling and commodity brokerage operations along with our organics services and major account and industrial services through our single resource-renewal focused Resource Solutions segment.</w:t>
      </w:r>
    </w:p>
    <w:p>
      <w:pPr>
        <w:spacing w:after="0" w:line="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April 15, 2020, we owned and/or operated 46 solid waste collection operations, 58 transfer stations, 20 recycling facilities, eight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With the global outbreak of COVID-19 and the declaration of a pandemic by the World Health Organization in March 2020, the U.S. Government and all of the states in which we operate have declared the waste services industry as an essential services provider and as a result we are committed to continue to operate and provide our full breadth of services. We have prioritized the safety and well-being of our employees by strictly adhering to recommendations of the Centers for Disease Control and Prevention as well as executive orders of the states in which we operate.</w:t>
      </w:r>
    </w:p>
    <w:p>
      <w:pPr>
        <w:spacing w:after="0" w:line="63"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The COVID-19 outbreak has caused, and is likely to continue to cause, significant economic disruption across our geographic footprint and has adversely affected, and is expected to continue to adversely affect, our business. COVID-19 negatively impacted our revenue at the end of the quarter ended March 31, 2020 as many collection customers required service level changes and volumes into our landfills declined. We have experienced an increase in certain costs associated with the protection of our employees including costs for additional safety equipment, hygiene products and enhanced facility cleaning.</w:t>
      </w:r>
    </w:p>
    <w:p>
      <w:pPr>
        <w:spacing w:after="0" w:line="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These costs are expected to continue throughout the remainder of the year. We have also taken immediate measures to reduce costs in other areas and preserve liquidity during this period of uncertainty. As of the date of this filing, we are unable to determine or predict the nature, duration or scope of the overall impact that COVID-19 will have on our business, results of operations, liquidity or capital resources. </w:t>
      </w:r>
      <w:r>
        <w:rPr>
          <w:rFonts w:ascii="Arial" w:cs="Arial" w:eastAsia="Arial" w:hAnsi="Arial"/>
          <w:sz w:val="17"/>
          <w:szCs w:val="17"/>
          <w:color w:val="212529"/>
        </w:rPr>
        <w:t>For further information regarding the impact</w:t>
      </w:r>
      <w:r>
        <w:rPr>
          <w:rFonts w:ascii="Arial" w:cs="Arial" w:eastAsia="Arial" w:hAnsi="Arial"/>
          <w:sz w:val="17"/>
          <w:szCs w:val="17"/>
          <w:color w:val="auto"/>
        </w:rPr>
        <w:t xml:space="preserve"> </w:t>
      </w:r>
      <w:r>
        <w:rPr>
          <w:rFonts w:ascii="Arial" w:cs="Arial" w:eastAsia="Arial" w:hAnsi="Arial"/>
          <w:sz w:val="17"/>
          <w:szCs w:val="17"/>
          <w:color w:val="212529"/>
        </w:rPr>
        <w:t>of COVID-19 on us, see Part II, Item 1A, “Risk Factors” included in this Quarterly Report on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associated with our resource renewal operations are derived from organics services, major account and industrial services, as well as recycling services generated from both municipalities and customers in the form of processing fees, tipping fees and commodity sales.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w w:val="96"/>
              </w:rPr>
              <w:t>Three Months Ended March 31,</w:t>
            </w: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Arial" w:cs="Arial" w:eastAsia="Arial" w:hAnsi="Arial"/>
                <w:sz w:val="14"/>
                <w:szCs w:val="14"/>
                <w:b w:val="1"/>
                <w:bCs w:val="1"/>
                <w:color w:val="auto"/>
              </w:rPr>
              <w:t>$</w:t>
            </w:r>
          </w:p>
        </w:tc>
      </w:tr>
      <w:tr>
        <w:trPr>
          <w:trHeight w:val="196"/>
        </w:trPr>
        <w:tc>
          <w:tcPr>
            <w:tcW w:w="53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Change</w:t>
            </w:r>
          </w:p>
        </w:tc>
      </w:tr>
      <w:tr>
        <w:trPr>
          <w:trHeight w:val="24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Disposal</w:t>
            </w:r>
          </w:p>
        </w:tc>
        <w:tc>
          <w:tcPr>
            <w:tcW w:w="30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2.5</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0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0.3</w:t>
            </w: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1.3</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Recycling</w:t>
            </w:r>
          </w:p>
        </w:tc>
        <w:tc>
          <w:tcPr>
            <w:tcW w:w="30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0.2</w:t>
            </w: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Resource solutions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w:t>
            </w:r>
          </w:p>
        </w:tc>
      </w:tr>
      <w:tr>
        <w:trPr>
          <w:trHeight w:val="263"/>
        </w:trPr>
        <w:tc>
          <w:tcPr>
            <w:tcW w:w="53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19.2</w:t>
            </w:r>
          </w:p>
        </w:tc>
      </w:tr>
      <w:tr>
        <w:trPr>
          <w:trHeight w:val="21"/>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960" w:type="dxa"/>
            <w:vAlign w:val="bottom"/>
            <w:gridSpan w:val="5"/>
          </w:tcPr>
          <w:p>
            <w:pPr>
              <w:ind w:left="40"/>
              <w:spacing w:after="0"/>
              <w:rPr>
                <w:sz w:val="20"/>
                <w:szCs w:val="20"/>
                <w:color w:val="auto"/>
              </w:rPr>
            </w:pPr>
            <w:r>
              <w:rPr>
                <w:rFonts w:ascii="Arial" w:cs="Arial" w:eastAsia="Arial" w:hAnsi="Arial"/>
                <w:sz w:val="14"/>
                <w:szCs w:val="14"/>
                <w:b w:val="1"/>
                <w:bCs w:val="1"/>
                <w:color w:val="auto"/>
                <w:w w:val="94"/>
              </w:rPr>
              <w:t>Period-to-Period Change for the Three Months</w:t>
            </w:r>
          </w:p>
        </w:tc>
      </w:tr>
      <w:tr>
        <w:trPr>
          <w:trHeight w:val="192"/>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Ended March 31, 2020 vs. 2019</w:t>
            </w:r>
          </w:p>
        </w:tc>
        <w:tc>
          <w:tcPr>
            <w:tcW w:w="200" w:type="dxa"/>
            <w:vAlign w:val="bottom"/>
            <w:tcBorders>
              <w:bottom w:val="single" w:sz="8" w:color="auto"/>
            </w:tcBorders>
          </w:tcPr>
          <w:p>
            <w:pPr>
              <w:spacing w:after="0"/>
              <w:rPr>
                <w:sz w:val="16"/>
                <w:szCs w:val="16"/>
                <w:color w:val="auto"/>
              </w:rPr>
            </w:pPr>
          </w:p>
        </w:tc>
      </w:tr>
      <w:tr>
        <w:trPr>
          <w:trHeight w:val="196"/>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right"/>
              <w:ind w:right="113"/>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r>
      <w:tr>
        <w:trPr>
          <w:trHeight w:val="249"/>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8280" w:type="dxa"/>
            <w:vAlign w:val="bottom"/>
          </w:tcPr>
          <w:p>
            <w:pPr>
              <w:ind w:left="20"/>
              <w:spacing w:after="0"/>
              <w:rPr>
                <w:sz w:val="20"/>
                <w:szCs w:val="20"/>
                <w:color w:val="auto"/>
              </w:rPr>
            </w:pPr>
            <w:r>
              <w:rPr>
                <w:rFonts w:ascii="Arial" w:cs="Arial" w:eastAsia="Arial" w:hAnsi="Arial"/>
                <w:sz w:val="18"/>
                <w:szCs w:val="18"/>
                <w:color w:val="auto"/>
              </w:rPr>
              <w:t xml:space="preserve">Volume </w:t>
            </w:r>
            <w:r>
              <w:rPr>
                <w:rFonts w:ascii="Arial" w:cs="Arial" w:eastAsia="Arial" w:hAnsi="Arial"/>
                <w:sz w:val="14"/>
                <w:szCs w:val="14"/>
                <w:color w:val="auto"/>
              </w:rPr>
              <w:t>(1)</w:t>
            </w:r>
          </w:p>
        </w:tc>
        <w:tc>
          <w:tcPr>
            <w:tcW w:w="28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28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8280" w:type="dxa"/>
            <w:vAlign w:val="bottom"/>
          </w:tcPr>
          <w:p>
            <w:pPr>
              <w:ind w:left="340"/>
              <w:spacing w:after="0"/>
              <w:rPr>
                <w:sz w:val="20"/>
                <w:szCs w:val="20"/>
                <w:color w:val="auto"/>
              </w:rPr>
            </w:pPr>
            <w:r>
              <w:rPr>
                <w:rFonts w:ascii="Arial" w:cs="Arial" w:eastAsia="Arial" w:hAnsi="Arial"/>
                <w:sz w:val="18"/>
                <w:szCs w:val="18"/>
                <w:color w:val="auto"/>
              </w:rPr>
              <w:t>Solid waste revenues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for $0.8 million of inter-company movements between solid waste collection volume and customer solutions associated with the acquisition of a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$4.3 million from favorable collection pricing; and</w:t>
      </w:r>
    </w:p>
    <w:p>
      <w:pPr>
        <w:spacing w:after="0" w:line="117" w:lineRule="exact"/>
        <w:rPr>
          <w:rFonts w:ascii="Arial" w:cs="Arial" w:eastAsia="Arial" w:hAnsi="Arial"/>
          <w:sz w:val="18"/>
          <w:szCs w:val="18"/>
          <w:color w:val="auto"/>
        </w:rPr>
      </w:pPr>
    </w:p>
    <w:p>
      <w:pPr>
        <w:ind w:right="3280" w:firstLine="129"/>
        <w:spacing w:after="0" w:line="375" w:lineRule="auto"/>
        <w:tabs>
          <w:tab w:leader="none" w:pos="4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$2.8 million from favorable disposal pricing associated primarily with our landfills and transfer stations.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$(2.8) million from lower collection volumes due to the initial negative impacts of COVID-19; and</w:t>
      </w:r>
    </w:p>
    <w:p>
      <w:pPr>
        <w:spacing w:after="0" w:line="117" w:lineRule="exact"/>
        <w:rPr>
          <w:rFonts w:ascii="Arial" w:cs="Arial" w:eastAsia="Arial" w:hAnsi="Arial"/>
          <w:sz w:val="18"/>
          <w:szCs w:val="18"/>
          <w:color w:val="auto"/>
        </w:rPr>
      </w:pPr>
    </w:p>
    <w:p>
      <w:pPr>
        <w:ind w:left="460" w:right="140" w:hanging="331"/>
        <w:spacing w:after="0" w:line="27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$(0.6) million from lower disposal volumes (of which $(1.3) million relates to lower landfill volumes due to the initial negative impacts of COVID-19, $0.6 million relates to higher transfer station volumes and $0.1 million relates to higher transportation volumes).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surcharges and other fees change component in quarterly solid waste revenues growth is associated primarily with the Energy component of the Energy and Environmental fee and the Sustainability Recycling Adjustment fee. The Energy component of the fee floats on a monthly basis based on diesel fuel prices. The Sustainability Recycling Adjustment fee floats on a monthly basis based on recycled commodity prices.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commodity price and volume change component in quarterly solid waste revenues growth is the result of the following:</w:t>
      </w:r>
    </w:p>
    <w:p>
      <w:pPr>
        <w:spacing w:after="0" w:line="117" w:lineRule="exact"/>
        <w:rPr>
          <w:sz w:val="20"/>
          <w:szCs w:val="20"/>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$(0.4) million from unfavorable commodity pricing;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$(0.1) million due to lower commodity processing volumes; partially offset by</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$0.2 million due to higher landfill gas-to-energy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acquisitions change component in quarterly solid waste revenues growth is associated with the following acquisition activity:</w:t>
      </w:r>
    </w:p>
    <w:p>
      <w:pPr>
        <w:spacing w:after="0" w:line="117" w:lineRule="exact"/>
        <w:rPr>
          <w:sz w:val="20"/>
          <w:szCs w:val="20"/>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acquisition of one tuck-in solid waste collection business in our Western region; and</w:t>
      </w:r>
    </w:p>
    <w:p>
      <w:pPr>
        <w:spacing w:after="0" w:line="117" w:lineRule="exact"/>
        <w:rPr>
          <w:rFonts w:ascii="Arial" w:cs="Arial" w:eastAsia="Arial" w:hAnsi="Arial"/>
          <w:sz w:val="18"/>
          <w:szCs w:val="18"/>
          <w:color w:val="auto"/>
        </w:rPr>
      </w:pPr>
    </w:p>
    <w:p>
      <w:pPr>
        <w:ind w:left="460" w:right="400" w:hanging="331"/>
        <w:spacing w:after="0" w:line="308" w:lineRule="auto"/>
        <w:tabs>
          <w:tab w:leader="none" w:pos="4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acquisition of nine businesses throughout the prior year: seven tuck-in solid waste collection businesses, a business comprised of solid waste collection, transfer and recycling operations, and a business comprised of solid waste hauling and transfer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Organics.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Organics revenues increased $1.3 million quarterly as a result of higher volumes associated with two large transportation and disposal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Customer solutions.</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Customer solutions revenues increased $2.7 million quarterly as the result of higher volumes mainly due to multi-site retail and industrial services organic growth. The increase was adjusted for $0.8 million of inter-company movements between solid waste collection volume and customer solutions associated with the acquisition of a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Recycling.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Quarterly recycling revenues increased $0.2 million as a result of the following:</w:t>
      </w:r>
    </w:p>
    <w:p>
      <w:pPr>
        <w:spacing w:after="0" w:line="117" w:lineRule="exact"/>
        <w:rPr>
          <w:sz w:val="20"/>
          <w:szCs w:val="20"/>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 million from higher recycling processing fees;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$0.3 million from the acquisition of one recycling operation;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$0.1 million from higher commodity volumes; partially offset by</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$(2.2) million from unfavorable commodity pricing in the marketplace.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1015"/>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97"/>
              <w:spacing w:after="0"/>
              <w:rPr>
                <w:sz w:val="20"/>
                <w:szCs w:val="20"/>
                <w:color w:val="auto"/>
              </w:rPr>
            </w:pPr>
            <w:r>
              <w:rPr>
                <w:rFonts w:ascii="Arial" w:cs="Arial" w:eastAsia="Arial" w:hAnsi="Arial"/>
                <w:sz w:val="14"/>
                <w:szCs w:val="14"/>
                <w:b w:val="1"/>
                <w:bCs w:val="1"/>
                <w:color w:val="auto"/>
              </w:rPr>
              <w:t>$</w:t>
            </w:r>
          </w:p>
        </w:tc>
      </w:tr>
      <w:tr>
        <w:trPr>
          <w:trHeight w:val="196"/>
        </w:trPr>
        <w:tc>
          <w:tcPr>
            <w:tcW w:w="36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Change</w:t>
            </w:r>
          </w:p>
        </w:tc>
      </w:tr>
      <w:tr>
        <w:trPr>
          <w:trHeight w:val="249"/>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495"/>
              <w:spacing w:after="0"/>
              <w:rPr>
                <w:sz w:val="20"/>
                <w:szCs w:val="20"/>
                <w:color w:val="auto"/>
              </w:rPr>
            </w:pPr>
            <w:r>
              <w:rPr>
                <w:rFonts w:ascii="Arial" w:cs="Arial" w:eastAsia="Arial" w:hAnsi="Arial"/>
                <w:sz w:val="18"/>
                <w:szCs w:val="18"/>
                <w:color w:val="auto"/>
              </w:rPr>
              <w:t>128.5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rPr>
              <w:t>117.8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10.7</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24.4</w:t>
            </w: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695"/>
              <w:spacing w:after="0"/>
              <w:rPr>
                <w:sz w:val="20"/>
                <w:szCs w:val="20"/>
                <w:color w:val="auto"/>
              </w:rPr>
            </w:pPr>
            <w:r>
              <w:rPr>
                <w:rFonts w:ascii="Arial" w:cs="Arial" w:eastAsia="Arial" w:hAnsi="Arial"/>
                <w:sz w:val="18"/>
                <w:szCs w:val="18"/>
                <w:color w:val="auto"/>
              </w:rPr>
              <w:t>22.7</w:t>
            </w: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1.7</w:t>
            </w:r>
          </w:p>
        </w:tc>
      </w:tr>
      <w:tr>
        <w:trPr>
          <w:trHeight w:val="27"/>
        </w:trPr>
        <w:tc>
          <w:tcPr>
            <w:tcW w:w="3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21.4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17.5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3.9</w:t>
            </w:r>
          </w:p>
        </w:tc>
      </w:tr>
      <w:tr>
        <w:trPr>
          <w:trHeight w:val="27"/>
        </w:trPr>
        <w:tc>
          <w:tcPr>
            <w:tcW w:w="3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percentage of revenues, cost of operations decreased 170 basis points during the three months ended March 31, 2020 from the same period of the prior year. The period-to-period change in cost of operations can be primarily attributed to the following: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Third-party direct costs increased $5.1 million quarterly while decreasing slightly as a percentage of revenues due to the following:</w:t>
      </w:r>
    </w:p>
    <w:p>
      <w:pPr>
        <w:spacing w:after="0" w:line="117" w:lineRule="exact"/>
        <w:rPr>
          <w:sz w:val="20"/>
          <w:szCs w:val="20"/>
          <w:color w:val="auto"/>
        </w:rPr>
      </w:pPr>
    </w:p>
    <w:p>
      <w:pPr>
        <w:ind w:left="460" w:right="120" w:hanging="331"/>
        <w:spacing w:after="0" w:line="257" w:lineRule="auto"/>
        <w:tabs>
          <w:tab w:leader="none" w:pos="4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disposal costs associated with: additional volumes related to acquisition activity; additional volumes related to multi-site retail and industrial services organic growth in our customer solutions line-of-business and higher volumes in our organics line-of-business within our Resource Solutions segment; and increased disposal pricing in the northeastern United States; partially offset by lower organic collection and landfill volumes due to our focus on improving pricing and the initial negative impacts of COVID-19 in March 2019 that resulted in lower commercial collection volumes, lower construction and demolition volumes, and lower landfill volumes.</w:t>
      </w:r>
    </w:p>
    <w:p>
      <w:pPr>
        <w:spacing w:after="0" w:line="79" w:lineRule="exact"/>
        <w:rPr>
          <w:rFonts w:ascii="Arial" w:cs="Arial" w:eastAsia="Arial" w:hAnsi="Arial"/>
          <w:sz w:val="18"/>
          <w:szCs w:val="18"/>
          <w:color w:val="auto"/>
        </w:rPr>
      </w:pPr>
    </w:p>
    <w:p>
      <w:pPr>
        <w:ind w:left="460" w:right="300" w:hanging="331"/>
        <w:spacing w:after="0" w:line="342" w:lineRule="auto"/>
        <w:tabs>
          <w:tab w:leader="none" w:pos="4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higher hauling and third-party transportation costs associated with: higher collection volumes related to acquisition activity; higher brokerage volumes in our customer solutions line-of-business with high pass through direct costs; higher recycling volumes; and higher transportation rates.</w:t>
      </w:r>
    </w:p>
    <w:p>
      <w:pPr>
        <w:spacing w:after="0" w:line="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Labor and related benefit costs increased $1.2 million quarterly, but decreased 90 basis points as a percentage of revenues, due to higher labor costs related primarily to acquisition activity.</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Maintenance and repair costs increased $2.4 million quarterly, but decreased 40 basis points as a percentage of revenues, due primarily to higher fleet and facility maintenance costs associated with acquisition activity and related business growth.</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Fuel costs increased $0.3 million quarterly, but decreased 20 basis points as a percentage of revenues, due primarily to higher volumes associated with acquisition activity, partially offset by lower fuel prices.</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Direct operational costs increased $1.7 million quarterly, but decreased 20 basis points as a percentage of revenues, due to higher auto insurance costs, associated primarily with claims activity, and higher operating costs related to business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period-to-period change in general and administration expense can be primarily attributed to higher labor costs associated with acquisition activity and higher bad debt expense as we reevaluated bad debt rates due to the projected economic downturn associated with COVID-19, partially offset by lower accrued incentive compensation.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r>
      <w:tr>
        <w:trPr>
          <w:trHeight w:val="196"/>
        </w:trPr>
        <w:tc>
          <w:tcPr>
            <w:tcW w:w="36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5"/>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2.6</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Landfill amortization</w:t>
            </w:r>
          </w:p>
        </w:tc>
        <w:tc>
          <w:tcPr>
            <w:tcW w:w="52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0.6</w:t>
            </w:r>
          </w:p>
        </w:tc>
      </w:tr>
      <w:tr>
        <w:trPr>
          <w:trHeight w:val="27"/>
        </w:trPr>
        <w:tc>
          <w:tcPr>
            <w:tcW w:w="3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0.7</w:t>
            </w:r>
          </w:p>
        </w:tc>
      </w:tr>
      <w:tr>
        <w:trPr>
          <w:trHeight w:val="237"/>
        </w:trPr>
        <w:tc>
          <w:tcPr>
            <w:tcW w:w="364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85"/>
              </w:rPr>
              <w:t>17.5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3.9</w:t>
            </w:r>
          </w:p>
        </w:tc>
      </w:tr>
      <w:tr>
        <w:trPr>
          <w:trHeight w:val="27"/>
        </w:trPr>
        <w:tc>
          <w:tcPr>
            <w:tcW w:w="3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3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period-to-period change in depreciation and amortization expense can be primarily attributed to acquisition activity and higher landfill amortization expense associated with changes in cost estimates and other assumptions, partially offset by lower landfill volumes associated with the initial negative impacts of COVID-19.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 and Other Items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the three months ended March 31, 2020 and 2019, we recorded charges of $1.0 million and $0.7 million, respectively, associated primarily with acquisition activities.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Southbridge Landfill Closure Charge</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2017, we initiated the plan to cease operations of the landfill located in Southbridge, Massachusetts ("Southbridge Landfill") and later closed it in November 2018 when Southbridge Landfill reached its final capacity</w:t>
      </w:r>
      <w:r>
        <w:rPr>
          <w:rFonts w:ascii="Arial" w:cs="Arial" w:eastAsia="Arial" w:hAnsi="Arial"/>
          <w:sz w:val="17"/>
          <w:szCs w:val="17"/>
          <w:i w:val="1"/>
          <w:iCs w:val="1"/>
          <w:color w:val="auto"/>
        </w:rPr>
        <w:t>.</w:t>
      </w:r>
      <w:r>
        <w:rPr>
          <w:rFonts w:ascii="Arial" w:cs="Arial" w:eastAsia="Arial" w:hAnsi="Arial"/>
          <w:sz w:val="17"/>
          <w:szCs w:val="17"/>
          <w:color w:val="auto"/>
        </w:rPr>
        <w:t xml:space="preserve"> Accordingly, in the three months ended March 31, 2020 and 2019, we recorded legal and other costs associated with various matters as part of the Southbridge Landfill closure of $0.6 million and $0.6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interest expense, net decreased $(0.4) million quarterly due primarily to lower average interest rates associated with changes in LIBOR and the remarketing of our New York State Environmental Facilities Corporation Solid Waste Disposal Revenue Bonds Series 2014 (“New York Bonds 2014”) and our Business Finance Authority of the State of New Hampshire Solid Waste Disposal Revenue Bonds Series 2013 (“New Hampshire Bonds”).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provision for income taxes increased $0.1 million during the three months ended March 31, 2020, as compared to the same period in the prior year.</w:t>
      </w:r>
    </w:p>
    <w:p>
      <w:pPr>
        <w:spacing w:after="0" w:line="14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27, 2020, the Coronavirus Aid, Relief, and Economic Security Act (the “CARES Act”) was enacted which, among other things, allows the carryback of remaining minimum tax credit carryforwards to tax year 2018. Prior to the CARES Act, the minimum tax credit carryforwards were fully refunded through tax year 2021, if not otherwise used to offset tax liabilities. A current income tax benefit of $1.0 million, offset by a $1.0 million deferred tax provision, was recognized in the three months ended March 31, 2020 for the remaining minimum tax credit being carried back to tax year 2018 by us. In the three months ended March 31, 2019, we recognized a $0.2 million current income tax benefit, offset by a $0.2 million deferred tax provision, for the portion of the minimum tax credit carryforward refundable for 2019 based on law then enacted.</w:t>
      </w:r>
    </w:p>
    <w:p>
      <w:pPr>
        <w:spacing w:after="0" w:line="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December 22, 2017, the Tax Cuts and Jobs Act (the “TCJ Act”) was enacted. The TCJ Act significantly changed US corporate income tax laws by, among other things, changing carryforward rules for net operating losses. Our $110.6 million in federal net operating loss carryforwards generated as of the end of 2017 continue to be carried forward for 20 years and are expected to be available to fully offset taxable income earned in 2020 and future tax years. Federal net operating losses generated after 2017, totaling $51.2 million carried forward to 2020, will be carried forward indefinitely, but generally may only offset up to 80% of taxable income earned in a tax year. The total federal net operating losses generated after 2017 and carried forward to 2020 has been updated from $67.4 million as estimated in the quarter ended December 31, 2019 with corresponding changes to the deferred tax asset and valuation allowance. Although the CARES Act further modifies the net operating loss rules to permit net operating losses incurred in tax years 2018 through 2020 to be carried back 5 years and to temporarily permit such losses to offset 100% of taxable income in tax year 2020, these modifications under the CARES Act are not anticipated to impact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are continuing to evaluate the CARES Act, but other income tax changes are not expected to have a material impact.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reportable operating segment (in millions)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r>
      <w:tr>
        <w:trPr>
          <w:trHeight w:val="196"/>
        </w:trPr>
        <w:tc>
          <w:tcPr>
            <w:tcW w:w="67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Western</w:t>
            </w:r>
          </w:p>
        </w:tc>
        <w:tc>
          <w:tcPr>
            <w:tcW w:w="860" w:type="dxa"/>
            <w:vAlign w:val="bottom"/>
          </w:tcPr>
          <w:p>
            <w:pPr>
              <w:spacing w:after="0"/>
              <w:rPr>
                <w:sz w:val="21"/>
                <w:szCs w:val="21"/>
                <w:color w:val="auto"/>
              </w:rPr>
            </w:pP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11.0</w:t>
            </w:r>
          </w:p>
        </w:tc>
      </w:tr>
      <w:tr>
        <w:trPr>
          <w:trHeight w:val="27"/>
        </w:trPr>
        <w:tc>
          <w:tcPr>
            <w:tcW w:w="6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5.1</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86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4"/>
              </w:rPr>
              <w:t>182.9</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163.7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920" w:type="dxa"/>
            <w:vAlign w:val="bottom"/>
            <w:gridSpan w:val="5"/>
          </w:tcPr>
          <w:p>
            <w:pPr>
              <w:spacing w:after="0"/>
              <w:rPr>
                <w:sz w:val="20"/>
                <w:szCs w:val="20"/>
                <w:color w:val="auto"/>
              </w:rPr>
            </w:pPr>
            <w:r>
              <w:rPr>
                <w:rFonts w:ascii="Arial" w:cs="Arial" w:eastAsia="Arial" w:hAnsi="Arial"/>
                <w:sz w:val="14"/>
                <w:szCs w:val="14"/>
                <w:b w:val="1"/>
                <w:bCs w:val="1"/>
                <w:color w:val="auto"/>
                <w:w w:val="94"/>
              </w:rPr>
              <w:t>Period-to-Period Change for the Three Months</w:t>
            </w:r>
          </w:p>
        </w:tc>
      </w:tr>
      <w:tr>
        <w:trPr>
          <w:trHeight w:val="192"/>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Ended March 31, 2020 vs. 2019</w:t>
            </w:r>
          </w:p>
        </w:tc>
        <w:tc>
          <w:tcPr>
            <w:tcW w:w="200" w:type="dxa"/>
            <w:vAlign w:val="bottom"/>
            <w:tcBorders>
              <w:bottom w:val="single" w:sz="8" w:color="auto"/>
            </w:tcBorders>
          </w:tcPr>
          <w:p>
            <w:pPr>
              <w:spacing w:after="0"/>
              <w:rPr>
                <w:sz w:val="16"/>
                <w:szCs w:val="16"/>
                <w:color w:val="auto"/>
              </w:rPr>
            </w:pPr>
          </w:p>
        </w:tc>
      </w:tr>
      <w:tr>
        <w:trPr>
          <w:trHeight w:val="196"/>
        </w:trPr>
        <w:tc>
          <w:tcPr>
            <w:tcW w:w="8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113"/>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r>
      <w:tr>
        <w:trPr>
          <w:trHeight w:val="250"/>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2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center"/>
              <w:ind w:left="495"/>
              <w:spacing w:after="0"/>
              <w:rPr>
                <w:sz w:val="20"/>
                <w:szCs w:val="20"/>
                <w:color w:val="auto"/>
              </w:rPr>
            </w:pPr>
            <w:r>
              <w:rPr>
                <w:rFonts w:ascii="Arial" w:cs="Arial" w:eastAsia="Arial" w:hAnsi="Arial"/>
                <w:sz w:val="18"/>
                <w:szCs w:val="18"/>
                <w:color w:val="auto"/>
                <w:w w:val="95"/>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Volume</w:t>
            </w:r>
          </w:p>
        </w:tc>
        <w:tc>
          <w:tcPr>
            <w:tcW w:w="260" w:type="dxa"/>
            <w:vAlign w:val="bottom"/>
          </w:tcPr>
          <w:p>
            <w:pPr>
              <w:spacing w:after="0"/>
              <w:rPr>
                <w:sz w:val="21"/>
                <w:szCs w:val="21"/>
                <w:color w:val="auto"/>
              </w:rPr>
            </w:pPr>
          </w:p>
        </w:tc>
        <w:tc>
          <w:tcPr>
            <w:tcW w:w="1100" w:type="dxa"/>
            <w:vAlign w:val="bottom"/>
          </w:tcPr>
          <w:p>
            <w:pPr>
              <w:jc w:val="center"/>
              <w:ind w:left="475"/>
              <w:spacing w:after="0"/>
              <w:rPr>
                <w:sz w:val="20"/>
                <w:szCs w:val="20"/>
                <w:color w:val="auto"/>
              </w:rPr>
            </w:pPr>
            <w:r>
              <w:rPr>
                <w:rFonts w:ascii="Arial" w:cs="Arial" w:eastAsia="Arial" w:hAnsi="Arial"/>
                <w:sz w:val="18"/>
                <w:szCs w:val="18"/>
                <w:color w:val="auto"/>
                <w:w w:val="91"/>
              </w:rPr>
              <w:t>(1.1)</w:t>
            </w:r>
          </w:p>
        </w:tc>
        <w:tc>
          <w:tcPr>
            <w:tcW w:w="1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left="495"/>
              <w:spacing w:after="0"/>
              <w:rPr>
                <w:sz w:val="20"/>
                <w:szCs w:val="20"/>
                <w:color w:val="auto"/>
              </w:rPr>
            </w:pPr>
            <w:r>
              <w:rPr>
                <w:rFonts w:ascii="Arial" w:cs="Arial" w:eastAsia="Arial" w:hAnsi="Arial"/>
                <w:sz w:val="18"/>
                <w:szCs w:val="18"/>
                <w:color w:val="auto"/>
                <w:w w:val="95"/>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260" w:type="dxa"/>
            <w:vAlign w:val="bottom"/>
          </w:tcPr>
          <w:p>
            <w:pPr>
              <w:spacing w:after="0"/>
              <w:rPr>
                <w:sz w:val="21"/>
                <w:szCs w:val="21"/>
                <w:color w:val="auto"/>
              </w:rPr>
            </w:pPr>
          </w:p>
        </w:tc>
        <w:tc>
          <w:tcPr>
            <w:tcW w:w="1100" w:type="dxa"/>
            <w:vAlign w:val="bottom"/>
          </w:tcPr>
          <w:p>
            <w:pPr>
              <w:jc w:val="center"/>
              <w:ind w:left="495"/>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495"/>
              <w:spacing w:after="0"/>
              <w:rPr>
                <w:sz w:val="20"/>
                <w:szCs w:val="20"/>
                <w:color w:val="auto"/>
              </w:rPr>
            </w:pPr>
            <w:r>
              <w:rPr>
                <w:rFonts w:ascii="Arial" w:cs="Arial" w:eastAsia="Arial" w:hAnsi="Arial"/>
                <w:sz w:val="18"/>
                <w:szCs w:val="18"/>
                <w:color w:val="auto"/>
                <w:w w:val="95"/>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8320" w:type="dxa"/>
            <w:vAlign w:val="bottom"/>
          </w:tcPr>
          <w:p>
            <w:pPr>
              <w:ind w:left="220"/>
              <w:spacing w:after="0"/>
              <w:rPr>
                <w:sz w:val="20"/>
                <w:szCs w:val="20"/>
                <w:color w:val="auto"/>
              </w:rPr>
            </w:pPr>
            <w:r>
              <w:rPr>
                <w:rFonts w:ascii="Arial" w:cs="Arial" w:eastAsia="Arial" w:hAnsi="Arial"/>
                <w:sz w:val="18"/>
                <w:szCs w:val="18"/>
                <w:color w:val="auto"/>
              </w:rPr>
              <w:t>Solid waste revenues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center"/>
              <w:ind w:left="495"/>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$1.8 million from favorable collection pricing; and</w:t>
      </w:r>
    </w:p>
    <w:p>
      <w:pPr>
        <w:spacing w:after="0" w:line="117" w:lineRule="exact"/>
        <w:rPr>
          <w:rFonts w:ascii="Arial" w:cs="Arial" w:eastAsia="Arial" w:hAnsi="Arial"/>
          <w:sz w:val="18"/>
          <w:szCs w:val="18"/>
          <w:color w:val="auto"/>
        </w:rPr>
      </w:pPr>
    </w:p>
    <w:p>
      <w:pPr>
        <w:ind w:right="4700" w:firstLine="129"/>
        <w:spacing w:after="0" w:line="375" w:lineRule="auto"/>
        <w:tabs>
          <w:tab w:leader="none" w:pos="4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$0.7 million from favorable disposal pricing related to transfer stations and landfills.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$(0.6) million from lower collection volumes due to the initial negative impacts of COVID-19; and</w:t>
      </w:r>
    </w:p>
    <w:p>
      <w:pPr>
        <w:spacing w:after="0" w:line="117" w:lineRule="exact"/>
        <w:rPr>
          <w:rFonts w:ascii="Arial" w:cs="Arial" w:eastAsia="Arial" w:hAnsi="Arial"/>
          <w:sz w:val="18"/>
          <w:szCs w:val="18"/>
          <w:color w:val="auto"/>
        </w:rPr>
      </w:pPr>
    </w:p>
    <w:p>
      <w:pPr>
        <w:ind w:right="1240" w:firstLine="129"/>
        <w:spacing w:after="0" w:line="375" w:lineRule="auto"/>
        <w:tabs>
          <w:tab w:leader="none" w:pos="4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$(0.5) million from lower disposal volumes related to landfills and transfer stations due to the initial negative impacts of COVID-19. Surcharges and other fees.</w:t>
      </w:r>
    </w:p>
    <w:p>
      <w:pPr>
        <w:spacing w:after="0" w:line="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surcharge and other fees change component in quarterly solid waste revenues growth is associated primarily with the Energy component of the Energy and Environmental fee and the Sustainability Recycling Adjustment fee. The Energy component of the fee floats on a monthly basis based on diesel fuel prices. The Sustainability Recycling Adjustment fee floats on a monthly basis based on recycled commodity prices.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commodity price and volume change component in quarterly solid waste revenues growth is the result of higher landfill gas-to-energy volumes.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acquisitions change component in quarterly solid waste revenues growth is primarily the result of the acquisition of three tuck-in solid waste collection businesses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920" w:type="dxa"/>
            <w:vAlign w:val="bottom"/>
            <w:gridSpan w:val="5"/>
          </w:tcPr>
          <w:p>
            <w:pPr>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Ended March 31, 2020 vs. 2019</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tcPr>
          <w:p>
            <w:pPr>
              <w:spacing w:after="0"/>
              <w:rPr>
                <w:sz w:val="17"/>
                <w:szCs w:val="17"/>
                <w:color w:val="auto"/>
              </w:rPr>
            </w:pPr>
          </w:p>
        </w:tc>
        <w:tc>
          <w:tcPr>
            <w:tcW w:w="44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 Growth</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4720" w:type="dxa"/>
            <w:vAlign w:val="bottom"/>
            <w:tcBorders>
              <w:bottom w:val="single" w:sz="8" w:color="CCEEFF"/>
            </w:tcBorders>
            <w:gridSpan w:val="2"/>
            <w:shd w:val="clear" w:color="auto" w:fill="CCEEFF"/>
          </w:tcPr>
          <w:p>
            <w:pPr>
              <w:ind w:left="44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 xml:space="preserve">Volume </w:t>
            </w:r>
            <w:r>
              <w:rPr>
                <w:rFonts w:ascii="Arial" w:cs="Arial" w:eastAsia="Arial" w:hAnsi="Arial"/>
                <w:sz w:val="14"/>
                <w:szCs w:val="14"/>
                <w:color w:val="auto"/>
              </w:rPr>
              <w:t>(1)</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4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Solid waste revenues</w:t>
            </w:r>
          </w:p>
        </w:tc>
        <w:tc>
          <w:tcPr>
            <w:tcW w:w="4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460" w:type="dxa"/>
            <w:vAlign w:val="bottom"/>
            <w:vMerge w:val="restart"/>
          </w:tcPr>
          <w:p>
            <w:pPr>
              <w:jc w:val="right"/>
              <w:ind w:right="2510"/>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44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8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left="640" w:hanging="632"/>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for $0.8 million of inter-company movements between solid waste collection volume and Customer Solutions associated with the acquisition of a business.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$2.4 million from favorable collection pricing; and</w:t>
      </w:r>
    </w:p>
    <w:p>
      <w:pPr>
        <w:spacing w:after="0" w:line="117" w:lineRule="exact"/>
        <w:rPr>
          <w:rFonts w:ascii="Arial" w:cs="Arial" w:eastAsia="Arial" w:hAnsi="Arial"/>
          <w:sz w:val="18"/>
          <w:szCs w:val="18"/>
          <w:color w:val="auto"/>
        </w:rPr>
      </w:pPr>
    </w:p>
    <w:p>
      <w:pPr>
        <w:ind w:right="4700" w:firstLine="129"/>
        <w:spacing w:after="0" w:line="375" w:lineRule="auto"/>
        <w:tabs>
          <w:tab w:leader="none" w:pos="4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$2.1 million from favorable disposal pricing related to landfills and transfer stations.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$(2.1) million from lower collection volumes due to the initial negative impacts of COVID-19; and</w:t>
      </w:r>
    </w:p>
    <w:p>
      <w:pPr>
        <w:spacing w:after="0" w:line="117" w:lineRule="exact"/>
        <w:rPr>
          <w:rFonts w:ascii="Arial" w:cs="Arial" w:eastAsia="Arial" w:hAnsi="Arial"/>
          <w:sz w:val="18"/>
          <w:szCs w:val="18"/>
          <w:color w:val="auto"/>
        </w:rPr>
      </w:pPr>
    </w:p>
    <w:p>
      <w:pPr>
        <w:ind w:left="460" w:right="520" w:hanging="331"/>
        <w:spacing w:after="0" w:line="277" w:lineRule="auto"/>
        <w:tabs>
          <w:tab w:leader="none" w:pos="4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$(0.1) million from lower disposal volumes related to landfills due to the initial negative impacts of COVID-19, which more than offset higher disposal volumes related to transfer stations and transportation.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surcharge and other fees change component in quarterly solid waste revenues growth is associated primarily with the Energy component of the Energy and Environmental fee and the Sustainability Recycling Adjustment fee. The Energy component of the fee floats on a monthly basis based on diesel fuel prices. The Sustainability Recycling Adjustment fee floats on a monthly basis based on recycled commodity prices.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commodity price and volume change component in quarterly solid waste revenues growth is the result of lower energy pricing, lower commodity prices and lower commodity processing volumes, partially offset by higher landfill gas-to-energy volumes.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acquisitions change component in quarterly solid waste revenues growth is primarily the result of the acquisition of one tuck-in solid waste collection business in the three months ended March 31, 2020 and the acquisition of four tuck-in solid waste collection businesses, a business comprised of solid waste collection, transfer and recycling operations and a business comprised of solid waste hauling and transfer assets in the prior year.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r>
      <w:tr>
        <w:trPr>
          <w:trHeight w:val="196"/>
        </w:trPr>
        <w:tc>
          <w:tcPr>
            <w:tcW w:w="67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0.2</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90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0.2</w:t>
            </w:r>
          </w:p>
        </w:tc>
      </w:tr>
      <w:tr>
        <w:trPr>
          <w:trHeight w:val="27"/>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Operating results improved $1.6 million quarterly. Excluding the impact of the Southbridge Landfill closure charge and the expense from acquisition activities and other items, our operating performance in the three months ended March 31, 2020 improved year-over-year as a result of revenue growth and the following cost changes: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$2.4 million quarterly due to the following:</w:t>
      </w:r>
    </w:p>
    <w:p>
      <w:pPr>
        <w:spacing w:after="0" w:line="117" w:lineRule="exact"/>
        <w:rPr>
          <w:sz w:val="20"/>
          <w:szCs w:val="20"/>
          <w:color w:val="auto"/>
        </w:rPr>
      </w:pPr>
    </w:p>
    <w:p>
      <w:pPr>
        <w:ind w:left="460" w:right="100" w:hanging="331"/>
        <w:spacing w:after="0" w:line="277"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and higher transportation rates;</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fuel costs associated with higher volumes on acquisition activity, partially offset by lower fuel prices;</w:t>
      </w:r>
    </w:p>
    <w:p>
      <w:pPr>
        <w:spacing w:after="0" w:line="117" w:lineRule="exact"/>
        <w:rPr>
          <w:rFonts w:ascii="Arial" w:cs="Arial" w:eastAsia="Arial" w:hAnsi="Arial"/>
          <w:sz w:val="18"/>
          <w:szCs w:val="18"/>
          <w:color w:val="auto"/>
        </w:rPr>
      </w:pPr>
    </w:p>
    <w:p>
      <w:pPr>
        <w:ind w:left="460" w:right="460" w:hanging="331"/>
        <w:spacing w:after="0" w:line="277"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direct operational costs associated with higher auto insurance costs, associated primarily with claims activity, and higher operating costs related to business growth; and</w:t>
      </w:r>
    </w:p>
    <w:p>
      <w:pPr>
        <w:spacing w:after="0" w:line="62" w:lineRule="exact"/>
        <w:rPr>
          <w:rFonts w:ascii="Arial" w:cs="Arial" w:eastAsia="Arial" w:hAnsi="Arial"/>
          <w:sz w:val="18"/>
          <w:szCs w:val="18"/>
          <w:color w:val="auto"/>
        </w:rPr>
      </w:pPr>
    </w:p>
    <w:p>
      <w:pPr>
        <w:ind w:left="460" w:right="540" w:hanging="331"/>
        <w:spacing w:after="0" w:line="277"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maintenance and repair costs associated with higher fleet and facility maintenance costs associated with acquisition activity and related business growth.</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decreased $(0.4) million quarterly due to higher bad debt expense as we reevaluated bad</w:t>
      </w:r>
      <w:r>
        <w:rPr>
          <w:rFonts w:ascii="Arial" w:cs="Arial" w:eastAsia="Arial" w:hAnsi="Arial"/>
          <w:sz w:val="16"/>
          <w:szCs w:val="16"/>
          <w:i w:val="1"/>
          <w:iCs w:val="1"/>
          <w:color w:val="auto"/>
        </w:rPr>
        <w:t xml:space="preserve"> </w:t>
      </w:r>
      <w:r>
        <w:rPr>
          <w:rFonts w:ascii="Arial" w:cs="Arial" w:eastAsia="Arial" w:hAnsi="Arial"/>
          <w:sz w:val="16"/>
          <w:szCs w:val="16"/>
          <w:color w:val="auto"/>
        </w:rPr>
        <w:t>debt rates due to the projected economic downturn associated with COVID-19, partially offset by lower accrued incentive compensation.</w:t>
      </w:r>
    </w:p>
    <w:p>
      <w:pPr>
        <w:spacing w:after="0" w:line="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$0.7 million quarterly due to higher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associated with acquisition activity.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Operating results improved $0.2 million quarterly. Excluding the impact of the expense from acquisition activities and other items, our operating performance in the three months ended March 31, 2020 was driven by revenue growth and the following cost changes: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$11.2 million quarterly due to the following:</w:t>
      </w:r>
    </w:p>
    <w:p>
      <w:pPr>
        <w:spacing w:after="0" w:line="117" w:lineRule="exact"/>
        <w:rPr>
          <w:sz w:val="20"/>
          <w:szCs w:val="20"/>
          <w:color w:val="auto"/>
        </w:rPr>
      </w:pPr>
    </w:p>
    <w:p>
      <w:pPr>
        <w:ind w:left="440" w:hanging="311"/>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disposal costs associated with acquisition activity and increased disposal pricing in the northeastern United States;</w:t>
      </w:r>
    </w:p>
    <w:p>
      <w:pPr>
        <w:spacing w:after="0" w:line="117" w:lineRule="exact"/>
        <w:rPr>
          <w:rFonts w:ascii="Arial" w:cs="Arial" w:eastAsia="Arial" w:hAnsi="Arial"/>
          <w:sz w:val="18"/>
          <w:szCs w:val="18"/>
          <w:color w:val="auto"/>
        </w:rPr>
      </w:pPr>
    </w:p>
    <w:p>
      <w:pPr>
        <w:ind w:left="460" w:right="100" w:hanging="331"/>
        <w:spacing w:after="0" w:line="277" w:lineRule="auto"/>
        <w:tabs>
          <w:tab w:leader="none" w:pos="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and higher transportation rates;</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labor costs associated with acquisition activity;</w:t>
      </w:r>
    </w:p>
    <w:p>
      <w:pPr>
        <w:spacing w:after="0" w:line="117" w:lineRule="exact"/>
        <w:rPr>
          <w:rFonts w:ascii="Arial" w:cs="Arial" w:eastAsia="Arial" w:hAnsi="Arial"/>
          <w:sz w:val="18"/>
          <w:szCs w:val="18"/>
          <w:color w:val="auto"/>
        </w:rPr>
      </w:pPr>
    </w:p>
    <w:p>
      <w:pPr>
        <w:ind w:left="460" w:right="460" w:hanging="331"/>
        <w:spacing w:after="0" w:line="277" w:lineRule="auto"/>
        <w:tabs>
          <w:tab w:leader="none" w:pos="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direct operational costs associated with higher auto insurance costs, associated primarily with claims activity, and higher operating costs related to business growth;</w:t>
      </w:r>
    </w:p>
    <w:p>
      <w:pPr>
        <w:spacing w:after="0" w:line="62" w:lineRule="exact"/>
        <w:rPr>
          <w:rFonts w:ascii="Arial" w:cs="Arial" w:eastAsia="Arial" w:hAnsi="Arial"/>
          <w:sz w:val="18"/>
          <w:szCs w:val="18"/>
          <w:color w:val="auto"/>
        </w:rPr>
      </w:pPr>
    </w:p>
    <w:p>
      <w:pPr>
        <w:ind w:left="460" w:right="540" w:hanging="331"/>
        <w:spacing w:after="0" w:line="277" w:lineRule="auto"/>
        <w:tabs>
          <w:tab w:leader="none" w:pos="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maintenance and repair costs associated with higher fleet and facility maintenance costs associated with acquisition activity and related business growth; and</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fuel costs associated with higher volumes on acquisition activity, partially offset by lower fuel prices.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$1.3 million quarterly due to higher labor costs associated with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and higher bad debt expense as we reevaluated bad debt rates due to the projected economic downturn associated with COVID-19, partially offset by lower accrued incentive compensation.</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$3.0 million quarterly due primarily to acquisition activity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amortization expense associated with changes in cost estimates and other assumptions, partially offset by lower landfill volumes associated with the initial negative impacts of COVID-19.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improved $0.6 million quarterly due to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operating performance in the three months ended March 31, 2020 improved primarily due to revenue growth on higher recycling processing fees and acquisition activity combined with lower operating costs, including lower third-party disposal costs, lower hauling costs and lower maintenance costs, partially offset by higher depreciation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operating performance in the three months ended March 31, 2020 improved as revenue growth on higher volumes outpaced higher operating costs driven by two large lower margin transportation and disposal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operating performance in the three months ended March 31, 2020 improved as revenue growth associated with increased volumes outpaced higher cost of operations associated with the corresponding increase in hauling, transportation and disposal costs.</w:t>
      </w:r>
    </w:p>
    <w:p>
      <w:pPr>
        <w:sectPr>
          <w:pgSz w:w="11900" w:h="16838" w:orient="portrait"/>
          <w:cols w:equalWidth="0" w:num="1">
            <w:col w:w="11220"/>
          </w:cols>
          <w:pgMar w:left="320" w:top="1003"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continue to monitor the impact that COVID-19 has had and will continue to have on our actual and forecasted cash flows, our liquidity, and our capital requirements in order to properly manage our liquidity needs as we move forward. Because of the nature of the services we provide, we expect to continue to generate positive operating cash flows through stable revenue sources. To counter the impact of expected revenue declines, we have initiated steps to reduce discretionary spending and delay certain capital expenditures and can further scale down these expenditures to meet liquidity needs.</w:t>
      </w:r>
    </w:p>
    <w:p>
      <w:pPr>
        <w:spacing w:after="0" w:line="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$113.6 million of undrawn capacity from our $200.0 million revolving line of credit facility ("Revolving Credit Facility") as of March 31, 2020 to help meet our liquidity needs. Additionally, we have increased our cash holding to $26.2 million as of March 31, 2020 and our next significant debt maturity is Revolving Credit Facility and term loan A facility ("Term Loan Facility", together with the Revolving Credit Facility, the "Credit Facility"), which matures in May 2023. We believe that we will remain in compliance with all necessary covenants of our Credit Facility over the remaining term of this facility.</w:t>
      </w:r>
    </w:p>
    <w:p>
      <w:pPr>
        <w:spacing w:after="0" w:line="80" w:lineRule="exact"/>
        <w:rPr>
          <w:sz w:val="20"/>
          <w:szCs w:val="20"/>
          <w:color w:val="auto"/>
        </w:rPr>
      </w:pPr>
    </w:p>
    <w:p>
      <w:pPr>
        <w:ind w:right="720"/>
        <w:spacing w:after="0" w:line="276" w:lineRule="auto"/>
        <w:rPr>
          <w:sz w:val="20"/>
          <w:szCs w:val="20"/>
          <w:color w:val="auto"/>
        </w:rPr>
      </w:pPr>
      <w:r>
        <w:rPr>
          <w:rFonts w:ascii="Arial" w:cs="Arial" w:eastAsia="Arial" w:hAnsi="Arial"/>
          <w:sz w:val="18"/>
          <w:szCs w:val="18"/>
          <w:color w:val="auto"/>
        </w:rPr>
        <w:t>A summary of cash and cash equivalents, restricted assets and debt balances, excluding any unamortized debt discount and debt issuance costs (in millions), follows:</w:t>
      </w:r>
    </w:p>
    <w:tbl>
      <w:tblPr>
        <w:tblLayout w:type="fixed"/>
        <w:tblInd w:w="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80"/>
              <w:spacing w:after="0" w:line="15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6"/>
              <w:spacing w:after="0" w:line="150"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9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assets:</w:t>
            </w:r>
          </w:p>
        </w:tc>
        <w:tc>
          <w:tcPr>
            <w:tcW w:w="2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investment securities - landfill closure</w:t>
            </w:r>
          </w:p>
        </w:tc>
        <w:tc>
          <w:tcPr>
            <w:tcW w:w="20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2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w:t>
            </w:r>
          </w:p>
        </w:tc>
        <w:tc>
          <w:tcPr>
            <w:tcW w:w="20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Non-current portion</w:t>
            </w:r>
          </w:p>
        </w:tc>
        <w:tc>
          <w:tcPr>
            <w:tcW w:w="2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562.0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2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70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90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9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(24.9)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90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878"/>
        </w:trPr>
        <w:tc>
          <w:tcPr>
            <w:tcW w:w="4700" w:type="dxa"/>
            <w:vAlign w:val="bottom"/>
          </w:tcPr>
          <w:p>
            <w:pPr>
              <w:spacing w:after="0"/>
              <w:rPr>
                <w:sz w:val="24"/>
                <w:szCs w:val="24"/>
                <w:color w:val="auto"/>
              </w:rPr>
            </w:pPr>
          </w:p>
        </w:tc>
        <w:tc>
          <w:tcPr>
            <w:tcW w:w="2040" w:type="dxa"/>
            <w:vAlign w:val="bottom"/>
          </w:tcPr>
          <w:p>
            <w:pPr>
              <w:jc w:val="right"/>
              <w:ind w:right="930"/>
              <w:spacing w:after="0"/>
              <w:rPr>
                <w:sz w:val="20"/>
                <w:szCs w:val="20"/>
                <w:color w:val="auto"/>
              </w:rPr>
            </w:pPr>
            <w:r>
              <w:rPr>
                <w:rFonts w:ascii="Arial" w:cs="Arial" w:eastAsia="Arial" w:hAnsi="Arial"/>
                <w:sz w:val="18"/>
                <w:szCs w:val="18"/>
                <w:color w:val="auto"/>
              </w:rPr>
              <w:t>35</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17.5</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Depletion of landfill operating lease obligations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0.6</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Right-of-use asset - operating lease expense</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2.6</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Southbridge Landfill non-cash closure charge</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Non-cash expense from acquisition activities and other items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0.2</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(19.2)</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Net cash provided by operating activities increased $10.0 million in the three months ended March 31, 2020 as compared to the three months ended March 31, 2019. This was the result of improved operational performance combined with the favorable cash flow impact associated with the changes in our assets and liabilities, net of effects of acquisitions and divestitures. For discussion of our improved operational performance in the three months ended March 31, 2020 as compared to the three months ended March 31, 2019, see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above. The $(2.7) million decrease in the unfavorable cash flow impact associated with the changes in our assets and liabilities, net of effects of acquisitions and divestitures, which are affected by both cost changes and the timing of payments, in the three months ended March 31, 2020 as compared to the three months ended March 31, 2019 was due to the following:</w:t>
      </w:r>
    </w:p>
    <w:p>
      <w:pPr>
        <w:spacing w:after="0" w:line="56" w:lineRule="exact"/>
        <w:rPr>
          <w:sz w:val="20"/>
          <w:szCs w:val="20"/>
          <w:color w:val="auto"/>
        </w:rPr>
      </w:pPr>
    </w:p>
    <w:p>
      <w:pPr>
        <w:ind w:left="440" w:hanging="311"/>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$3.3 million favorable impact to operating cash flows associated with the change in prepaid expenses, inventories and other assets; and</w:t>
      </w:r>
    </w:p>
    <w:p>
      <w:pPr>
        <w:spacing w:after="0" w:line="128" w:lineRule="exact"/>
        <w:rPr>
          <w:rFonts w:ascii="Arial" w:cs="Arial" w:eastAsia="Arial" w:hAnsi="Arial"/>
          <w:sz w:val="17"/>
          <w:szCs w:val="17"/>
          <w:color w:val="auto"/>
        </w:rPr>
      </w:pPr>
    </w:p>
    <w:p>
      <w:pPr>
        <w:ind w:left="460" w:right="20" w:hanging="331"/>
        <w:spacing w:after="0" w:line="277" w:lineRule="auto"/>
        <w:tabs>
          <w:tab w:leader="none" w:pos="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$3.8 million favorable impact to operating cash flows associated with the change in accounts receivable due to increased collection efforts; partially offset by</w:t>
      </w:r>
    </w:p>
    <w:p>
      <w:pPr>
        <w:spacing w:after="0" w:line="62" w:lineRule="exact"/>
        <w:rPr>
          <w:rFonts w:ascii="Arial" w:cs="Arial" w:eastAsia="Arial" w:hAnsi="Arial"/>
          <w:sz w:val="18"/>
          <w:szCs w:val="18"/>
          <w:color w:val="auto"/>
        </w:rPr>
      </w:pPr>
    </w:p>
    <w:p>
      <w:pPr>
        <w:ind w:left="460" w:right="480" w:hanging="331"/>
        <w:spacing w:after="0" w:line="277" w:lineRule="auto"/>
        <w:tabs>
          <w:tab w:leader="none" w:pos="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$(2.4) million unfavorable impact to operating cash flows associated with the change in accrued expenses and other liabilities associated with payroll and related expenses; and</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$(2.7) million unfavorable impact to operating cash flows associated with the change in accounts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8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3"/>
              </w:rPr>
              <w:t>(19.9)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(18.2)</w:t>
            </w:r>
          </w:p>
        </w:tc>
      </w:tr>
      <w:tr>
        <w:trPr>
          <w:trHeight w:val="27"/>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(19.4)</w:t>
            </w:r>
          </w:p>
        </w:tc>
      </w:tr>
      <w:tr>
        <w:trPr>
          <w:trHeight w:val="27"/>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In the three months ended March 31, 2020, we acquired two businesses: one tuck-in solid waste collection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our Western region and one recycling operation in our Resource Solutions segment for total consideration of $5.4 million, including $4.8 million in cash, and paid $0.3 million in holdback payments on businesses previously acquired, as compared to the three months ended March 31, 2019 during which we paid $1.2 million in holdback payments on businesses previously acquired.</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$1.7 million higher in the three months ended March 31, 2020 as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primarily due to capital expenditures associated with newly acquired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163"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10.6</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long-term debt</w:t>
            </w:r>
          </w:p>
        </w:tc>
        <w:tc>
          <w:tcPr>
            <w:tcW w:w="8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3"/>
              </w:rPr>
              <w:t>(40.7)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(80.7)</w:t>
            </w:r>
          </w:p>
        </w:tc>
      </w:tr>
      <w:tr>
        <w:trPr>
          <w:trHeight w:val="27"/>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share based awards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the public issuance of Class A Common Stock</w:t>
            </w:r>
          </w:p>
        </w:tc>
        <w:tc>
          <w:tcPr>
            <w:tcW w:w="88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100.4</w:t>
            </w:r>
          </w:p>
        </w:tc>
      </w:tr>
      <w:tr>
        <w:trPr>
          <w:trHeight w:val="27"/>
        </w:trPr>
        <w:tc>
          <w:tcPr>
            <w:tcW w:w="8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Debt borrowings increased by $62.9 million and our debt payments decreased by $(40.0) million in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three months ended March 31, 2019. The increase in financing cash flows related to debt activity is associated with acquisition activity and increased borrowings to drive liquidity and increase our cash position.</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Proceeds from the public issuance of Class A Common Stock</w:t>
      </w:r>
      <w:r>
        <w:rPr>
          <w:rFonts w:ascii="Arial" w:cs="Arial" w:eastAsia="Arial" w:hAnsi="Arial"/>
          <w:sz w:val="18"/>
          <w:szCs w:val="18"/>
          <w:color w:val="auto"/>
        </w:rPr>
        <w:t>. In the three months ended March 31, 2019, we completed a public issuance of 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Class A common stock at a public offering price of $29.50 per share. The offering resulted in net proceeds to us of $100.4 million, after deducting underwriting discounts,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of March 31, 2020, we had outstanding $350.0 million aggregate principal amount of borrowings under our Term Loan Facility and $61.0 million aggregate principal amount of borrowings under our $200.0 million Revolving Credit Facility. The Credit Facility has a 5-year term that matures in May 2023 and bears interest at a rate of LIBOR plus 1.75% per annum, which will be reduced to a rate of LIBOR plus as low as 1.25% upon us reaching a consolidated net leverage ratio of less than 2.25x. Our Credit Facility is guaranteed jointly and severally, fully and unconditionally by all of our significant wholly-owned subsidiaries and secured by substantially all of our assets. As of March 31, 2020, further advances were available under the Revolving Credit Facility in the amount of $113.6 million. The available amount is net of outstanding irrevocable letters of credit totaling $25.4 million, at which date no amount had been drawn. We have the right to request, at our discretion, an increase in the amount of loans under the Credit Facility by an aggregate amount of $125.0 million, subject to the terms and conditions set forth in the credit agreement ("Credit Agreement").</w:t>
      </w:r>
    </w:p>
    <w:p>
      <w:pPr>
        <w:spacing w:after="0" w:line="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Credit Agreement requires us to maintain a minimum interest coverage ratio and a maximum consolidated net leverage ratio, to be measured at the end of each fiscal quarter. As of March 31, 2020, we were in compliance with all financial covenants contained in the Credit Agreement as follows:</w:t>
      </w: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Twelve Months Ended March 31,</w:t>
            </w:r>
          </w:p>
        </w:tc>
        <w:tc>
          <w:tcPr>
            <w:tcW w:w="2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Covenant Requirement at March</w:t>
            </w:r>
          </w:p>
        </w:tc>
      </w:tr>
      <w:tr>
        <w:trPr>
          <w:trHeight w:val="192"/>
        </w:trPr>
        <w:tc>
          <w:tcPr>
            <w:tcW w:w="43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31, 2020</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Maximum consolidated net leverage ratio </w:t>
            </w:r>
            <w:r>
              <w:rPr>
                <w:rFonts w:ascii="Arial" w:cs="Arial" w:eastAsia="Arial" w:hAnsi="Arial"/>
                <w:sz w:val="14"/>
                <w:szCs w:val="14"/>
                <w:color w:val="auto"/>
              </w:rPr>
              <w:t>(1)</w:t>
            </w:r>
          </w:p>
        </w:tc>
        <w:tc>
          <w:tcPr>
            <w:tcW w:w="45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4.00</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Minimum interest coverage ratio</w:t>
            </w:r>
          </w:p>
        </w:tc>
        <w:tc>
          <w:tcPr>
            <w:tcW w:w="4580" w:type="dxa"/>
            <w:vAlign w:val="bottom"/>
            <w:gridSpan w:val="2"/>
          </w:tcPr>
          <w:p>
            <w:pPr>
              <w:jc w:val="right"/>
              <w:ind w:right="88"/>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180" w:type="dxa"/>
            <w:vAlign w:val="bottom"/>
          </w:tcPr>
          <w:p>
            <w:pPr>
              <w:jc w:val="right"/>
              <w:ind w:right="79"/>
              <w:spacing w:after="0"/>
              <w:rPr>
                <w:sz w:val="20"/>
                <w:szCs w:val="20"/>
                <w:color w:val="auto"/>
              </w:rPr>
            </w:pPr>
            <w:r>
              <w:rPr>
                <w:rFonts w:ascii="Arial" w:cs="Arial" w:eastAsia="Arial" w:hAnsi="Arial"/>
                <w:sz w:val="18"/>
                <w:szCs w:val="18"/>
                <w:color w:val="auto"/>
              </w:rPr>
              <w:t>3.00</w:t>
            </w:r>
          </w:p>
        </w:tc>
      </w:tr>
      <w:tr>
        <w:trPr>
          <w:trHeight w:val="904"/>
        </w:trPr>
        <w:tc>
          <w:tcPr>
            <w:tcW w:w="4380" w:type="dxa"/>
            <w:vAlign w:val="bottom"/>
          </w:tcPr>
          <w:p>
            <w:pPr>
              <w:spacing w:after="0"/>
              <w:rPr>
                <w:sz w:val="24"/>
                <w:szCs w:val="24"/>
                <w:color w:val="auto"/>
              </w:rPr>
            </w:pPr>
          </w:p>
        </w:tc>
        <w:tc>
          <w:tcPr>
            <w:tcW w:w="2400" w:type="dxa"/>
            <w:vAlign w:val="bottom"/>
          </w:tcPr>
          <w:p>
            <w:pPr>
              <w:jc w:val="right"/>
              <w:ind w:right="970"/>
              <w:spacing w:after="0"/>
              <w:rPr>
                <w:sz w:val="20"/>
                <w:szCs w:val="20"/>
                <w:color w:val="auto"/>
              </w:rPr>
            </w:pPr>
            <w:r>
              <w:rPr>
                <w:rFonts w:ascii="Arial" w:cs="Arial" w:eastAsia="Arial" w:hAnsi="Arial"/>
                <w:sz w:val="18"/>
                <w:szCs w:val="18"/>
                <w:color w:val="auto"/>
              </w:rPr>
              <w:t>37</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left="660" w:hanging="652"/>
        <w:spacing w:after="0" w:line="270" w:lineRule="auto"/>
        <w:tabs>
          <w:tab w:leader="none" w:pos="652"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maximum consolidated net leverage ratio is calculated as consolidated funded debt, net of unencumbered cash and cash equivalents in excess of $2.0 million (calculated at $537.8 million as of March 31, 2020, or $562.0 million of consolidated funded debt less $24.2 million of cash and cash equivalents in excess of $2.0 million as of March 31, 2020), divided by consolidated EBITDA. Consolidated EBITDA is based on operating results for the twelve months preceding the measurement date of March 31, 2020. Consolidated funded debt, net of unencumbered cash and cash equivalents in excess of $2.0 million,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minimum consolidated EBITDA is as follows (in millions):</w:t>
      </w: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Twelve Months Ended March 31,</w:t>
            </w:r>
          </w:p>
        </w:tc>
      </w:tr>
      <w:tr>
        <w:trPr>
          <w:trHeight w:val="192"/>
        </w:trPr>
        <w:tc>
          <w:tcPr>
            <w:tcW w:w="90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2020</w:t>
            </w: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126.8</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52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26.7</w:t>
            </w:r>
          </w:p>
        </w:tc>
      </w:tr>
      <w:tr>
        <w:trPr>
          <w:trHeight w:val="27"/>
        </w:trPr>
        <w:tc>
          <w:tcPr>
            <w:tcW w:w="9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Non-cash expense from acquisition activities and other items</w:t>
            </w:r>
          </w:p>
        </w:tc>
        <w:tc>
          <w:tcPr>
            <w:tcW w:w="5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9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Withdrawal costs - multiemployer pension plan</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Southbridge Landfill non-cash closure charge</w:t>
            </w:r>
          </w:p>
        </w:tc>
        <w:tc>
          <w:tcPr>
            <w:tcW w:w="5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9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expense</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9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less amortization of debt issuance costs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22.3</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Benefit for income taxes, net of deferred income taxes</w:t>
            </w:r>
          </w:p>
        </w:tc>
        <w:tc>
          <w:tcPr>
            <w:tcW w:w="5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9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as allowed by the Credit Agreement</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w:t>
            </w:r>
          </w:p>
        </w:tc>
      </w:tr>
      <w:tr>
        <w:trPr>
          <w:trHeight w:val="237"/>
        </w:trPr>
        <w:tc>
          <w:tcPr>
            <w:tcW w:w="9060" w:type="dxa"/>
            <w:vAlign w:val="bottom"/>
          </w:tcPr>
          <w:p>
            <w:pPr>
              <w:ind w:left="20"/>
              <w:spacing w:after="0"/>
              <w:rPr>
                <w:sz w:val="20"/>
                <w:szCs w:val="20"/>
                <w:color w:val="auto"/>
              </w:rPr>
            </w:pPr>
            <w:r>
              <w:rPr>
                <w:rFonts w:ascii="Arial" w:cs="Arial" w:eastAsia="Arial" w:hAnsi="Arial"/>
                <w:sz w:val="18"/>
                <w:szCs w:val="18"/>
                <w:color w:val="auto"/>
              </w:rPr>
              <w:t>Consolidated EBITDA</w:t>
            </w:r>
          </w:p>
        </w:tc>
        <w:tc>
          <w:tcPr>
            <w:tcW w:w="520" w:type="dxa"/>
            <w:vAlign w:val="bottom"/>
            <w:tcBorders>
              <w:top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173.6</w:t>
            </w:r>
          </w:p>
        </w:tc>
      </w:tr>
      <w:tr>
        <w:trPr>
          <w:trHeight w:val="27"/>
        </w:trPr>
        <w:tc>
          <w:tcPr>
            <w:tcW w:w="90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9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March 31, 2020, we were in compliance with the covenants contained in the Credit Agreement.</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New York Bonds. </w:t>
      </w:r>
      <w:r>
        <w:rPr>
          <w:rFonts w:ascii="Arial" w:cs="Arial" w:eastAsia="Arial" w:hAnsi="Arial"/>
          <w:sz w:val="18"/>
          <w:szCs w:val="18"/>
          <w:color w:val="auto"/>
        </w:rPr>
        <w:t>As of March 31, 2020, we had outstanding $25.0 million aggregate principal amount of New York Bonds 2014 and $15.0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New York State Environmental Facilities Corporation Solid Waste Disposal Revenue Bonds Series 2014R-2 ("New York Bonds 2014R-2") issued by the New York State Environmental Facilities Corporation under the indenture dated December 1, 2014 (collectively, the “New York Bonds”). The New York Bonds 2014 accrue interest at 2.875% per annum through December 2, 2029,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6"/>
          <w:szCs w:val="16"/>
          <w:i w:val="1"/>
          <w:iCs w:val="1"/>
          <w:color w:val="auto"/>
        </w:rPr>
        <w:t xml:space="preserve">Maine Bonds. </w:t>
      </w:r>
      <w:r>
        <w:rPr>
          <w:rFonts w:ascii="Arial" w:cs="Arial" w:eastAsia="Arial" w:hAnsi="Arial"/>
          <w:sz w:val="16"/>
          <w:szCs w:val="16"/>
          <w:color w:val="auto"/>
        </w:rPr>
        <w:t>As of March 31, 2020, we had outstanding $25.0 million aggregate principal amount of Finance Authority of Maine Solid Waste Disposal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Bonds Series 2005 (“FAME Bonds 2005R-3"), $15.0 million aggregate principal amount Finance Authority of Maine Solid Waste Disposal Revenue Bonds Series 2015 (“FAME Bonds 2015R-1”), and $15.0 million aggregate principal amount of Finance Authority of Maine Solid Waste Disposal Revenue Bonds Series 2015R-2 ("FAME Bonds 2015R-2", collectively with the FAME Bonds 2005R-3 and the FAME Bonds 2015R-1 the "FAME Bonds"). The FAME Bonds 2005R-3 accrue interest at 5.25% per annum, and interest is payable semiannually on February 1 and August 1 of each year until such bonds mature on January 1, 2025. The FAME Bonds 2015R-1 accrue interest at 5.125% per annum through August 1, 2025, at which time they may be converted from a fixed to a variable rate, and interest is payable semiannually on February 1 and August 1 of each year until the FAME Bonds 2015R-1 mature on August 1, 2035. The FAME Bonds 2015R-2 accrue interest at 4.375% per annum through July 31, 2025, at which time they may be converted from a fixed to a variable rate, and interest is payable semiannually on May 1 and November 1 of each year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60"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Vermont Bonds. </w:t>
      </w:r>
      <w:r>
        <w:rPr>
          <w:rFonts w:ascii="Arial" w:cs="Arial" w:eastAsia="Arial" w:hAnsi="Arial"/>
          <w:sz w:val="16"/>
          <w:szCs w:val="16"/>
          <w:color w:val="auto"/>
        </w:rPr>
        <w:t>As of March 31, 2020, we had outstanding $16.0 million aggregate principal amount of Vermont Economic Development Authority Solid</w:t>
      </w:r>
      <w:r>
        <w:rPr>
          <w:rFonts w:ascii="Arial" w:cs="Arial" w:eastAsia="Arial" w:hAnsi="Arial"/>
          <w:sz w:val="16"/>
          <w:szCs w:val="16"/>
          <w:i w:val="1"/>
          <w:iCs w:val="1"/>
          <w:color w:val="auto"/>
        </w:rPr>
        <w:t xml:space="preserve"> </w:t>
      </w:r>
      <w:r>
        <w:rPr>
          <w:rFonts w:ascii="Arial" w:cs="Arial" w:eastAsia="Arial" w:hAnsi="Arial"/>
          <w:sz w:val="16"/>
          <w:szCs w:val="16"/>
          <w:color w:val="auto"/>
        </w:rPr>
        <w:t>Waste Disposal Long-Term Revenue Bonds Series 2013 ("Vermont Bonds"). The Vermont Bonds, which are guaranteed jointly and severally, fully and unconditionally by all of our significant wholly-owned subsidiaries, accrue interest at 4.625% per annum through April 2, 2028, after which time there is a mandatory tender, and interest is payable semiannually on May 1 and November 1 of each year. The Vermont Bonds mature on April 1, 2036. We borrowed the proceeds of the Vermont Bonds to finance or refinance certain qualifying property, plant and equipment assets purchased in the state of Vermont.</w:t>
      </w:r>
    </w:p>
    <w:p>
      <w:pPr>
        <w:spacing w:after="0" w:line="5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 xml:space="preserve">New Hampshire Bonds. </w:t>
      </w:r>
      <w:r>
        <w:rPr>
          <w:rFonts w:ascii="Arial" w:cs="Arial" w:eastAsia="Arial" w:hAnsi="Arial"/>
          <w:sz w:val="17"/>
          <w:szCs w:val="17"/>
          <w:color w:val="auto"/>
        </w:rPr>
        <w:t>As of March 31, 2020, we had outstanding $11.0 million aggregate principal amount of New Hampshire Bonds.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Hampshire Bonds, which are guaranteed jointly and severally, fully and unconditionally by all of our significant wholly-owned subsidiaries, accrue interest at 2.95% per annum through maturity on April 1, 2029. During the fixed interest rate period, the New Hampshire Bonds are not supported by a letter of credit. Interest is payable on April 1 and October 1 of each year. We borrowed the proceeds of the New Hampshire Bonds to finance or refinance certain qualifying property, plant and equipment assets purchased in the state of New Hampshire.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There can be no assurance that the northeastern United Sates will recover from COVID-19 mandated economic shutdowns at the same time as, or at the same rate as, other areas of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440" w:hanging="311"/>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460" w:right="20" w:hanging="331"/>
        <w:spacing w:after="0" w:line="277" w:lineRule="auto"/>
        <w:tabs>
          <w:tab w:leader="none" w:pos="4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recycling line of business in the Resource Solutions segment experiences increased volumes of fiber in November and December due to increased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Except for the adoption of the new accounting standards discussed in Note 2,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to our consolidated financial statements included under Part I, Item 1 of this Quarterly Report on Form 10-Q, there were no material changes in the three months ended March 31, 2020 to the application of critical accounting policies and estimates as described in Item 8 of our Annual Report on Form 10-K for the fiscal year ended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In the three months ended March 31, 2020, we entered into three forward starting interest rate derivative agreements with a total notional amount of $60.0 million that will serve to replace existing interest rate derivative agreements upon their expiration between June 2022 and May 2023. In the three months ended March 31, 2020, we also amended three interest rate derivative agreements to settle each of the 1.0% floors and replace each with a 0.0% floor in line with our Term Loan Facility, which resulted in us dedesignating the original hedging relationships. We subsequently designated new hedging relationships between the three interest rate derivative agreements and the variable rate interest payments related to the Term Loan Facility based on a quantitative assessment that was performed using regression analysis, which indicated that the hedging relationships were highly effective. Because the interest rate payments associated with the variable rate portion of our long-term debt will still occur, the net loss of $(0.8) million associated with the dedesignated interest rate derivative agreements and the $0.4 million cash settlement received in exchange for settling the 1.0% floors in accumulated other comprehensive loss were not reclassified into earnings. Instead, this loss and settlement amount will continue to be reclassified from accumulated other comprehensive loss into interest expense as the interest payments affect earnings.</w:t>
      </w:r>
    </w:p>
    <w:p>
      <w:pPr>
        <w:spacing w:after="0" w:line="6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As of both March 31, 2020 and December 31, 2019, our interest rate derivative agreements have a total notional amount of $190.0 million. According to the terms of the agreements, we receive interest based on the 1-month LIBOR index and pay interest at a weighted average rate of approximately 2.54%. The agreements mature between February 2021 and May 2023.</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Additionally, we have forward starting interest rate derivative agreements with a total notional amount of $125.0 million that mature between February 2026 and May 2028. We receive interest based on the 1-month LIBOR index, restricted by a 0.0% floor, and will pay interest at a weighted average rate of approximately 1.63%.</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1" w:name="page42"/>
    <w:bookmarkEnd w:id="41"/>
    <w:p>
      <w:pPr>
        <w:ind w:right="420"/>
        <w:spacing w:after="0" w:line="259" w:lineRule="auto"/>
        <w:rPr>
          <w:sz w:val="20"/>
          <w:szCs w:val="20"/>
          <w:color w:val="auto"/>
        </w:rPr>
      </w:pPr>
      <w:r>
        <w:rPr>
          <w:rFonts w:ascii="Arial" w:cs="Arial" w:eastAsia="Arial" w:hAnsi="Arial"/>
          <w:sz w:val="18"/>
          <w:szCs w:val="18"/>
          <w:color w:val="auto"/>
        </w:rPr>
        <w:t>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March 31, 2020, we have $151.0 million of fixed rate debt in addition to the $190.0 million fixed through our interest rate derivative agreements. We had interest rate risk relating to approximately $221.0 million of long-term debt as of March 31, 2020. The weighted average interest rate on the variable rate portion of long-term debt was approximately 2.5% at March 31, 2020. Should the average interest rate on the variable rate portion of long-term debt change by 100 basis points, we estimate that our annual interest expense would change by up to approximately $2.2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about commodity price market volatility market risk as of March 31, 2020 does not differ materially from that discussed in Part II, Item 7A of our Annual Report on Form 10-K for the fiscal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March 31, 2020.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2020, our chief executive officer and chief financial officer concluded that, as of such date, our disclosure controls and procedures were effective at the reasonable assurance level.</w:t>
      </w:r>
    </w:p>
    <w:p>
      <w:pPr>
        <w:spacing w:after="0" w:line="7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three months ended March 31, 2020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have been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line="286"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are vigorously defending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5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 We are in active discovery in the Residents case.</w:t>
      </w:r>
    </w:p>
    <w:p>
      <w:pPr>
        <w:spacing w:after="0" w:line="8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 million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 million). We have agreed to reimburse the Town for periodic payments under such bond. Construction of the waterline is complete and homeowners are relying on municipal water supply. Remaining aspects of the project are minor and are expected to be completed in 2020. Bond reimbursement to the Town will commence in the fiscal year ending December 31, 2020.</w:t>
      </w:r>
    </w:p>
    <w:p>
      <w:pPr>
        <w:spacing w:after="0" w:line="73"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have recorded an environmental remediation liability related to our obligation associated with the installation of the Waterline in other accrued liabilities and other long-term liabilities. We inflate the estimated costs in current dollars to the expected time of payment and discount the total cost to present value using a risk-free interest rate of 1.9%. Our expenditures could be significantly higher if costs exceed estimates. The changes to the environmental remediation liability associated with the Southbridge Landfill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9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Obligations incurred</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9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w w:val="97"/>
              </w:rPr>
              <w:t>(0.1)</w:t>
            </w:r>
          </w:p>
        </w:tc>
      </w:tr>
      <w:tr>
        <w:trPr>
          <w:trHeight w:val="27"/>
        </w:trPr>
        <w:tc>
          <w:tcPr>
            <w:tcW w:w="8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11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completed the first phase of landfill capping and closure in fiscal year 2019 at the Southbridge Landfill and are actively seeking approval from MADEP to close and cap the remainder of the landfill.</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 million.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 million.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has been completed as of March 31, 2020. WSI is jointly and severally liable with NiMo, Alcoa and Reynolds for the total cost to remediate.</w:t>
      </w:r>
    </w:p>
    <w:p>
      <w:pPr>
        <w:spacing w:after="0" w:line="6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 The environmental remediation liability associated with the Potsdam site was $1.2 million as of both March 31, 2020 and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("NCES Landfill").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the.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navigable waters is too broad. SCOTUS ruled 6-3 that the question should be whether “…the addition of the pollutants through ground water is the functional equivalent of a direct discharge from the point source into navigable waters”. We do not believe that the MAUI decision resolves the issues presented in the New Hampshire Litigation, and until the Circuit Court rules in the remanded MAUI case, we intend to continue to vigorously defend against the New Hampshire Litigation, which we believe is without merit.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or about September 17, 2019, Richard Vandemortel and Deb Vandemortel filed a class action complaint against us on behalf of similarly situated citizens in Ontario County, New York. The lawsuit has been filed in Ontario County (the “New York Litigation”).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Ontario County Landfill, which is operated by us pursuant to a long-term Operation, Maintenance and Lease Agreement with Ontario County. The New York Litigation was served on us on October 14, 2019. We are reviewing the New York Litigation and intend to present a vigorous defense.</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Hakes Landfill Litigation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or about December 19, 2019, the New York State Department of Environmental Conservation (“Department”) issued certain permits to us to expand the landfill owned and operated by Hakes C&amp;D Disposal Inc. (“Hakes”) in the Town of Campbell, Steuben County, New York.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Through litigation commenced by the Sierra Club, several other non-governmental organizations, and several individuals, the Petitioners have challenged the approvals issued by the Department, the Planning Board and the Town Board in New York State Supreme Court, Steuben County. The challenge is based upon allegations that the agencies issuing these approvals did not follow the requirements of Article 8 of the Environmental Conservation Law of the State of New York, the State Environmental Quality Review Act (“SEQRA”), by failing to address certain radioactivity issues alleged by Petitioners to be associated with certain wastes drilling wastes authorized for disposal at the Hakes Landfill. The petitioners have also made a motion for a preliminary injunction to restrain construction and operation of the expansion cell. We, as well as all of the involved agencies, are vigorously defending against the litigation.</w:t>
      </w:r>
    </w:p>
    <w:p>
      <w:pPr>
        <w:spacing w:after="0" w:line="8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The parties to the litigation have entered into a stipulation to facilitate progress in the litigation and the motion for a preliminary injunction has been adjourned until the end of August, which should give the court time to address the merits of the petition before addressing the motion for a preliminary injunction. There is no restriction on construction and we anticipate completing the construction at the Hakes Landfill by the end of August, 2020.</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business is subject to a number of risks, including those identified in Item 1A, “Risk Factors” of our Annual Report on Form 10-K for the fiscal year ended December 31, 2019, that could have a material effect on our business, results of operations, financial condition and/or liquidity and that could cause our operating results to vary significantly from period to period. The novel coronavirus ("COVID-19") pandemic has heightened, and in some cases manifested, certain of the risks we normally face in operating our business, including those disclosed in the 2019 10-K, and the risk factor disclosures in the 2019 10-K are qualified by the information relating to COVID-19 that is described in this Quarterly Report on Form 10-Q, including the new risk factor set forth below. There have been no other material changes to the risk factors disclosed in the 2019 10-K. We may disclose additional changes to our risk factors or disclose additional factors from time to time in our future filings with the Securities and Exchange Commission.</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The COVID-19 outbreak and related sudden and dramatic decline in economic activity is adversely affecting, and will continue to adversely affect, our business, outlook, liquidity and results of operations, and we have experienced and expect to continue to experience reductions in demand for certain of our services.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COVID-19 outbreak has caused, and will continue to cause, significant economic disruption across our geographic footprint. Although as an essential service provider we have continued our operations, the COVID-19 outbreak negatively impacted our revenue at the end of the first quarter of 2020 as many of our commercial collection customers requested service level decreases and volumes into our landfills declined. The decline in our customers’ demand for our services and reduced volumes into our landfills has had, and is likely to continue to have, an adverse impact on our financial condition, results of operations and cash flows.</w:t>
      </w:r>
    </w:p>
    <w:p>
      <w:pPr>
        <w:spacing w:after="0" w:line="8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closely monitoring and evaluating the potential impacts that COVID-19 may have on our business as well as our customers and employees. Due to the uncertain and rapidly evolving nature of economic conditions, we are unable to predict accurately the full extent of the impact and effects that COVID-19 will have on our business going forward. We currently expect, however, that the COVID-19 outbreak will impact our financial performance for the second quarter of 2020 more significantly than it impacted the first quarter of 2020, primarily due to aforementioned volume declines that started at the end of the first quarter of 2020 that we expect to continue through the second quarter of 2020. We expect that COVID-19 will negatively impact our business in other ways, including, but not limited to, higher costs associated with providing a safe working environment for our employees, potential employee layoffs or furloughs, employee impacts from illness, supporting a remote administration workforce, community response measures, the inability of customers to continue to pay for services, temporary closures of our facilities or the facilities of our customers, and an increase in borrowing costs.</w:t>
      </w:r>
    </w:p>
    <w:p>
      <w:pPr>
        <w:spacing w:after="0" w:line="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extent of the effects of the COVID-19 outbreak on our business, results of operations and cash flows will ultimately depend on future developments. These include, but are not limited to, the severity, extent and duration of the outbreak; actions taken by national, state and local governments to contain the outbreak or treat its impact; the speed and effectiveness of responses to combat the outbreak; the effect of the changes in hiring levels and remote working arrangements that we and our customers have implemented; and the impact on our contracts with customers and vendors. COVID-19 may also materially adversely affect our operating and financial results in a manner that is not currently known to us or that we do not currently consider to present significant risks to our operations.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00"/>
          </w:cols>
          <w:pgMar w:left="320" w:top="1107" w:right="379" w:bottom="1440" w:gutter="0" w:footer="0" w:header="0"/>
        </w:sectPr>
      </w:pPr>
    </w:p>
    <w:p>
      <w:pPr>
        <w:spacing w:after="0" w:line="275"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6686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31.1 +</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31.2 +</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32.1 ++</w:t>
      </w:r>
    </w:p>
    <w:p>
      <w:pPr>
        <w:spacing w:after="0" w:line="26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32.2 ++</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369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70" w:lineRule="exact"/>
        <w:rPr>
          <w:sz w:val="20"/>
          <w:szCs w:val="20"/>
          <w:color w:val="auto"/>
        </w:rPr>
      </w:pPr>
    </w:p>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of John W. Casella, Principal Executive Officer, pursuant to Section 302 of the Sarbanes – Oxley Act of 2002.</w:t>
        </w:r>
      </w:hyperlink>
    </w:p>
    <w:p>
      <w:pPr>
        <w:spacing w:after="0" w:line="117" w:lineRule="exact"/>
        <w:rPr>
          <w:sz w:val="20"/>
          <w:szCs w:val="20"/>
          <w:color w:val="auto"/>
        </w:rPr>
      </w:pPr>
    </w:p>
    <w:p>
      <w:pPr>
        <w:spacing w:after="0"/>
        <w:rPr>
          <w:rFonts w:ascii="Arial" w:cs="Arial" w:eastAsia="Arial" w:hAnsi="Arial"/>
          <w:sz w:val="17"/>
          <w:szCs w:val="17"/>
          <w:u w:val="single" w:color="auto"/>
          <w:color w:val="0000FF"/>
        </w:rPr>
      </w:pPr>
      <w:hyperlink w:anchor="page50">
        <w:r>
          <w:rPr>
            <w:rFonts w:ascii="Arial" w:cs="Arial" w:eastAsia="Arial" w:hAnsi="Arial"/>
            <w:sz w:val="17"/>
            <w:szCs w:val="17"/>
            <w:u w:val="single" w:color="auto"/>
            <w:color w:val="0000FF"/>
          </w:rPr>
          <w:t>Certification of Edmond R. Coletta, Principal Financial Officer, pursuant to Section 302 of the Sarbanes – Oxley Act of 2002.</w:t>
        </w:r>
      </w:hyperlink>
    </w:p>
    <w:p>
      <w:pPr>
        <w:spacing w:after="0" w:line="129"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of Chief Executive Officer pursuant to 18 U.S.C. Section 1350, as adopted pursuant to Section 906 of the Sarbanes- Oxley</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Act of 2002.</w:t>
        </w:r>
      </w:hyperlink>
    </w:p>
    <w:p>
      <w:pPr>
        <w:spacing w:after="0" w:line="54" w:lineRule="exact"/>
        <w:rPr>
          <w:sz w:val="20"/>
          <w:szCs w:val="20"/>
          <w:color w:val="auto"/>
        </w:rPr>
      </w:pPr>
    </w:p>
    <w:p>
      <w:pPr>
        <w:ind w:right="280"/>
        <w:spacing w:after="0" w:line="235" w:lineRule="auto"/>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of Chief Financial Officer pursuant to 18 U.S.C. Section 1350, as adopted pursuant to Section 906 of the Sarbanes- Oxley</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Act of 2002.</w:t>
        </w:r>
      </w:hyperlink>
    </w:p>
    <w:p>
      <w:pPr>
        <w:spacing w:after="0" w:line="6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62" w:lineRule="exact"/>
        <w:rPr>
          <w:sz w:val="20"/>
          <w:szCs w:val="20"/>
          <w:color w:val="auto"/>
        </w:rPr>
      </w:pPr>
    </w:p>
    <w:p>
      <w:pPr>
        <w:sectPr>
          <w:pgSz w:w="11900" w:h="16838" w:orient="portrait"/>
          <w:cols w:equalWidth="0" w:num="2">
            <w:col w:w="860" w:space="340"/>
            <w:col w:w="10000"/>
          </w:cols>
          <w:pgMar w:left="320" w:top="1107" w:right="379" w:bottom="1440" w:gutter="0" w:footer="0" w:header="0"/>
          <w:type w:val="continuous"/>
        </w:sectPr>
      </w:pPr>
    </w:p>
    <w:tbl>
      <w:tblPr>
        <w:tblLayout w:type="fixed"/>
        <w:tblInd w:w="220" w:type="dxa"/>
        <w:tblCellMar>
          <w:top w:w="0" w:type="dxa"/>
          <w:left w:w="0" w:type="dxa"/>
          <w:bottom w:w="0" w:type="dxa"/>
          <w:right w:w="0" w:type="dxa"/>
        </w:tblCellMar>
      </w:tblPr>
      <w:tr>
        <w:trPr>
          <w:trHeight w:val="23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0"/>
              </w:rPr>
              <w:t>101.SCH</w:t>
            </w:r>
          </w:p>
        </w:tc>
        <w:tc>
          <w:tcPr>
            <w:tcW w:w="1004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10040" w:type="dxa"/>
            <w:vAlign w:val="bottom"/>
          </w:tcPr>
          <w:p>
            <w:pPr>
              <w:ind w:left="160"/>
              <w:spacing w:after="0"/>
              <w:rPr>
                <w:sz w:val="20"/>
                <w:szCs w:val="20"/>
                <w:color w:val="auto"/>
              </w:rPr>
            </w:pPr>
            <w:r>
              <w:rPr>
                <w:rFonts w:ascii="Arial" w:cs="Arial" w:eastAsia="Arial" w:hAnsi="Arial"/>
                <w:sz w:val="18"/>
                <w:szCs w:val="18"/>
                <w:color w:val="auto"/>
              </w:rPr>
              <w:t>Inline XBRL Taxonomy Calculation Linkbase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10040" w:type="dxa"/>
            <w:vAlign w:val="bottom"/>
          </w:tcPr>
          <w:p>
            <w:pPr>
              <w:ind w:left="160"/>
              <w:spacing w:after="0"/>
              <w:rPr>
                <w:sz w:val="20"/>
                <w:szCs w:val="20"/>
                <w:color w:val="auto"/>
              </w:rPr>
            </w:pPr>
            <w:r>
              <w:rPr>
                <w:rFonts w:ascii="Arial" w:cs="Arial" w:eastAsia="Arial" w:hAnsi="Arial"/>
                <w:sz w:val="18"/>
                <w:szCs w:val="18"/>
                <w:color w:val="auto"/>
              </w:rPr>
              <w:t>Inline XBRL Taxonomy Label Linkbase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10040" w:type="dxa"/>
            <w:vAlign w:val="bottom"/>
          </w:tcPr>
          <w:p>
            <w:pPr>
              <w:ind w:left="160"/>
              <w:spacing w:after="0"/>
              <w:rPr>
                <w:sz w:val="20"/>
                <w:szCs w:val="20"/>
                <w:color w:val="auto"/>
              </w:rPr>
            </w:pPr>
            <w:r>
              <w:rPr>
                <w:rFonts w:ascii="Arial" w:cs="Arial" w:eastAsia="Arial" w:hAnsi="Arial"/>
                <w:sz w:val="18"/>
                <w:szCs w:val="18"/>
                <w:color w:val="auto"/>
              </w:rPr>
              <w:t>Inline XBRL Taxonomy Presentation Linkbase Document.**</w:t>
            </w:r>
          </w:p>
        </w:tc>
      </w:tr>
      <w:tr>
        <w:trPr>
          <w:trHeight w:val="324"/>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2"/>
              </w:rPr>
              <w:t>101.DEF</w:t>
            </w:r>
          </w:p>
        </w:tc>
        <w:tc>
          <w:tcPr>
            <w:tcW w:w="1004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6"/>
              </w:rPr>
              <w:t>104</w:t>
            </w:r>
          </w:p>
        </w:tc>
        <w:tc>
          <w:tcPr>
            <w:tcW w:w="10040" w:type="dxa"/>
            <w:vAlign w:val="bottom"/>
          </w:tcPr>
          <w:p>
            <w:pPr>
              <w:ind w:left="160"/>
              <w:spacing w:after="0"/>
              <w:rPr>
                <w:sz w:val="20"/>
                <w:szCs w:val="20"/>
                <w:color w:val="auto"/>
              </w:rPr>
            </w:pPr>
            <w:r>
              <w:rPr>
                <w:rFonts w:ascii="Arial" w:cs="Arial" w:eastAsia="Arial" w:hAnsi="Arial"/>
                <w:sz w:val="18"/>
                <w:szCs w:val="18"/>
                <w:color w:val="auto"/>
                <w:w w:val="92"/>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0" w:right="120" w:hanging="742"/>
        <w:spacing w:after="0" w:line="255"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inline XBRL (Extensible Business Reporting Language): (i) Consolidated Balance Sheets as of March 31, 2020 and December 31, 2019, (ii) Consolidated Statements of Operations for the three months ended March 31, 2020 and 2019, (iii) Consolidated Statements of Comprehensive Loss for the three months ended March 31, 2020 and 2019, (iv) Consolidated Statements of Stockholders’ Equity (Deficit) for the three months ended March 31, 2020 and 2019, (v) Consolidated Statements of Cash Flows for the three months ended March 31, 2020 and 2019, and (vi) Notes to Consolidated Financial Statements.</w:t>
      </w:r>
    </w:p>
    <w:p>
      <w:pPr>
        <w:spacing w:after="0" w:line="30" w:lineRule="exact"/>
        <w:rPr>
          <w:sz w:val="20"/>
          <w:szCs w:val="20"/>
          <w:color w:val="auto"/>
        </w:rPr>
      </w:pPr>
    </w:p>
    <w:p>
      <w:pPr>
        <w:ind w:left="1200" w:hanging="703"/>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200" w:hanging="753"/>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Casella Waste Systems, Inc.</w:t>
      </w:r>
    </w:p>
    <w:p>
      <w:pPr>
        <w:spacing w:after="0" w:line="333"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By: /s/ Christopher B. Heald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31750</wp:posOffset>
            </wp:positionV>
            <wp:extent cx="33515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Christopher B. Heald</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Vice President and Chief Accounting Officer</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31750</wp:posOffset>
            </wp:positionV>
            <wp:extent cx="33515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00"/>
          </w:cols>
          <w:pgMar w:left="320" w:top="110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00"/>
          </w:cols>
          <w:pgMar w:left="320" w:top="1107" w:right="37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837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57"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John W. Casella</w:t>
      </w:r>
    </w:p>
    <w:p>
      <w:pPr>
        <w:spacing w:after="0" w:line="63" w:lineRule="exact"/>
        <w:rPr>
          <w:sz w:val="20"/>
          <w:szCs w:val="20"/>
          <w:color w:val="auto"/>
        </w:rPr>
      </w:pPr>
    </w:p>
    <w:p>
      <w:pPr>
        <w:jc w:val="center"/>
        <w:ind w:left="44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44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tabs>
          <w:tab w:leader="none" w:pos="456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31750</wp:posOffset>
            </wp:positionV>
            <wp:extent cx="32232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7" w:lineRule="exact"/>
        <w:rPr>
          <w:sz w:val="20"/>
          <w:szCs w:val="20"/>
          <w:color w:val="auto"/>
        </w:rPr>
      </w:pPr>
    </w:p>
    <w:p>
      <w:pPr>
        <w:jc w:val="center"/>
        <w:ind w:left="294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jc w:val="center"/>
        <w:ind w:left="294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63" w:lineRule="exact"/>
        <w:rPr>
          <w:sz w:val="20"/>
          <w:szCs w:val="20"/>
          <w:color w:val="auto"/>
        </w:rPr>
      </w:pPr>
    </w:p>
    <w:p>
      <w:pPr>
        <w:jc w:val="center"/>
        <w:ind w:left="29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March 31, 2020 as filed with the Securities and Exchange Commission on the date hereof (“Report”), the undersigned, John W. Casella, Chairman and Chief Executive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2837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March 31, 2020 as filed with the Securities and Exchange Commission on the date hereof (“Report”), the undersigned, Edmond R. Coletta, Senior Vice President and Chief Financial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26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31750</wp:posOffset>
            </wp:positionV>
            <wp:extent cx="2871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0"/>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2020-05-08T15:55:03Z</dcterms:created>
  <dcterms:modified xsi:type="dcterms:W3CDTF">2020-05-08T15:55:03Z</dcterms:modified>
</cp:coreProperties>
</file>