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1"/>
          <w:szCs w:val="11"/>
          <w:color w:val="auto"/>
        </w:rPr>
        <w:t>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ind w:left="680" w:hanging="654"/>
        <w:spacing w:after="0" w:line="180" w:lineRule="auto"/>
        <w:tabs>
          <w:tab w:leader="none" w:pos="680" w:val="left"/>
        </w:tabs>
        <w:numPr>
          <w:ilvl w:val="0"/>
          <w:numId w:val="1"/>
        </w:numPr>
        <w:rPr>
          <w:rFonts w:ascii="MS PGothic" w:cs="MS PGothic" w:eastAsia="MS PGothic" w:hAnsi="MS PGothic"/>
          <w:sz w:val="37"/>
          <w:szCs w:val="37"/>
          <w:color w:val="auto"/>
          <w:vertAlign w:val="subscript"/>
        </w:rPr>
      </w:pPr>
      <w:r>
        <w:rPr>
          <w:rFonts w:ascii="Arial" w:cs="Arial" w:eastAsia="Arial" w:hAnsi="Arial"/>
          <w:sz w:val="17"/>
          <w:szCs w:val="17"/>
          <w:b w:val="1"/>
          <w:bCs w:val="1"/>
          <w:color w:val="auto"/>
        </w:rPr>
        <w:t>ANNUAL REPORT PURSUANT TO SECTION 13 OR 15(d) OF THE SECURITIES EXCHANGE ACT OF 1934</w:t>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ind w:left="680" w:hanging="654"/>
        <w:spacing w:after="0" w:line="180" w:lineRule="auto"/>
        <w:tabs>
          <w:tab w:leader="none" w:pos="68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tcPr>
          <w:p>
            <w:pPr>
              <w:spacing w:after="0"/>
              <w:rPr>
                <w:sz w:val="14"/>
                <w:szCs w:val="14"/>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c>
          <w:tcPr>
            <w:tcW w:w="580" w:type="dxa"/>
            <w:vAlign w:val="bottom"/>
            <w:tcBorders>
              <w:bottom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tcPr>
          <w:p>
            <w:pPr>
              <w:jc w:val="center"/>
              <w:spacing w:after="0" w:line="159" w:lineRule="exact"/>
              <w:rPr>
                <w:sz w:val="20"/>
                <w:szCs w:val="20"/>
                <w:color w:val="auto"/>
              </w:rPr>
            </w:pPr>
            <w:r>
              <w:rPr>
                <w:rFonts w:ascii="Arial" w:cs="Arial" w:eastAsia="Arial" w:hAnsi="Arial"/>
                <w:sz w:val="14"/>
                <w:szCs w:val="14"/>
                <w:b w:val="1"/>
                <w:bCs w:val="1"/>
                <w:color w:val="auto"/>
                <w:w w:val="92"/>
              </w:rPr>
              <w:t>Commission file number 000-23211</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460" w:type="dxa"/>
            <w:vAlign w:val="bottom"/>
            <w:gridSpan w:val="8"/>
          </w:tcPr>
          <w:p>
            <w:pPr>
              <w:jc w:val="center"/>
              <w:ind w:left="135"/>
              <w:spacing w:after="0"/>
              <w:rPr>
                <w:sz w:val="20"/>
                <w:szCs w:val="20"/>
                <w:color w:val="auto"/>
              </w:rPr>
            </w:pPr>
            <w:r>
              <w:rPr>
                <w:rFonts w:ascii="Arial" w:cs="Arial" w:eastAsia="Arial" w:hAnsi="Arial"/>
                <w:sz w:val="11"/>
                <w:szCs w:val="11"/>
                <w:color w:val="auto"/>
                <w:w w:val="88"/>
              </w:rPr>
              <w:t>____________________________________________________</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9"/>
        </w:trPr>
        <w:tc>
          <w:tcPr>
            <w:tcW w:w="10840" w:type="dxa"/>
            <w:vAlign w:val="bottom"/>
            <w:gridSpan w:val="12"/>
          </w:tcPr>
          <w:p>
            <w:pPr>
              <w:jc w:val="center"/>
              <w:ind w:left="517"/>
              <w:spacing w:after="0"/>
              <w:rPr>
                <w:sz w:val="20"/>
                <w:szCs w:val="20"/>
                <w:color w:val="auto"/>
              </w:rPr>
            </w:pPr>
            <w:r>
              <w:rPr>
                <w:rFonts w:ascii="Arial" w:cs="Arial" w:eastAsia="Arial" w:hAnsi="Arial"/>
                <w:sz w:val="40"/>
                <w:szCs w:val="40"/>
                <w:b w:val="1"/>
                <w:bCs w:val="1"/>
                <w:color w:val="auto"/>
                <w:w w:val="97"/>
              </w:rPr>
              <w:t>CASELLA WASTE SYSTEMS, INC.</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460" w:type="dxa"/>
            <w:vAlign w:val="bottom"/>
            <w:gridSpan w:val="8"/>
          </w:tcPr>
          <w:p>
            <w:pPr>
              <w:jc w:val="center"/>
              <w:ind w:left="135"/>
              <w:spacing w:after="0"/>
              <w:rPr>
                <w:sz w:val="20"/>
                <w:szCs w:val="20"/>
                <w:color w:val="auto"/>
              </w:rPr>
            </w:pPr>
            <w:r>
              <w:rPr>
                <w:rFonts w:ascii="Arial" w:cs="Arial" w:eastAsia="Arial" w:hAnsi="Arial"/>
                <w:sz w:val="11"/>
                <w:szCs w:val="11"/>
                <w:color w:val="auto"/>
                <w:w w:val="88"/>
              </w:rPr>
              <w:t>____________________________________________________</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880" w:type="dxa"/>
            <w:vAlign w:val="bottom"/>
          </w:tcPr>
          <w:p>
            <w:pPr>
              <w:jc w:val="center"/>
              <w:ind w:left="1617"/>
              <w:spacing w:after="0"/>
              <w:rPr>
                <w:sz w:val="20"/>
                <w:szCs w:val="20"/>
                <w:color w:val="auto"/>
              </w:rPr>
            </w:pPr>
            <w:r>
              <w:rPr>
                <w:rFonts w:ascii="Arial" w:cs="Arial" w:eastAsia="Arial" w:hAnsi="Arial"/>
                <w:sz w:val="14"/>
                <w:szCs w:val="14"/>
                <w:b w:val="1"/>
                <w:bCs w:val="1"/>
                <w:color w:val="auto"/>
                <w:w w:val="94"/>
              </w:rPr>
              <w:t>Delaware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40" w:type="dxa"/>
            <w:vAlign w:val="bottom"/>
          </w:tcPr>
          <w:p>
            <w:pPr>
              <w:jc w:val="right"/>
              <w:ind w:right="1768"/>
              <w:spacing w:after="0"/>
              <w:rPr>
                <w:sz w:val="20"/>
                <w:szCs w:val="20"/>
                <w:color w:val="auto"/>
              </w:rPr>
            </w:pPr>
            <w:r>
              <w:rPr>
                <w:rFonts w:ascii="Arial" w:cs="Arial" w:eastAsia="Arial" w:hAnsi="Arial"/>
                <w:sz w:val="14"/>
                <w:szCs w:val="14"/>
                <w:b w:val="1"/>
                <w:bCs w:val="1"/>
                <w:color w:val="auto"/>
              </w:rPr>
              <w:t>03-0338873</w:t>
            </w:r>
          </w:p>
        </w:tc>
        <w:tc>
          <w:tcPr>
            <w:tcW w:w="0" w:type="dxa"/>
            <w:vAlign w:val="bottom"/>
          </w:tcPr>
          <w:p>
            <w:pPr>
              <w:spacing w:after="0"/>
              <w:rPr>
                <w:sz w:val="1"/>
                <w:szCs w:val="1"/>
                <w:color w:val="auto"/>
              </w:rPr>
            </w:pPr>
          </w:p>
        </w:tc>
      </w:tr>
      <w:tr>
        <w:trPr>
          <w:trHeight w:val="165"/>
        </w:trPr>
        <w:tc>
          <w:tcPr>
            <w:tcW w:w="3880" w:type="dxa"/>
            <w:vAlign w:val="bottom"/>
          </w:tcPr>
          <w:p>
            <w:pPr>
              <w:jc w:val="center"/>
              <w:ind w:left="1597"/>
              <w:spacing w:after="0"/>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40" w:type="dxa"/>
            <w:vAlign w:val="bottom"/>
          </w:tcPr>
          <w:p>
            <w:pPr>
              <w:jc w:val="center"/>
              <w:ind w:right="134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80" w:type="dxa"/>
            <w:vAlign w:val="bottom"/>
          </w:tcPr>
          <w:p>
            <w:pPr>
              <w:jc w:val="center"/>
              <w:ind w:left="1597"/>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jc w:val="center"/>
              <w:ind w:right="136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7"/>
        </w:trPr>
        <w:tc>
          <w:tcPr>
            <w:tcW w:w="3880" w:type="dxa"/>
            <w:vAlign w:val="bottom"/>
          </w:tcPr>
          <w:p>
            <w:pPr>
              <w:jc w:val="center"/>
              <w:ind w:left="1597"/>
              <w:spacing w:after="0"/>
              <w:rPr>
                <w:sz w:val="20"/>
                <w:szCs w:val="20"/>
                <w:color w:val="auto"/>
              </w:rPr>
            </w:pPr>
            <w:r>
              <w:rPr>
                <w:rFonts w:ascii="Arial" w:cs="Arial" w:eastAsia="Arial" w:hAnsi="Arial"/>
                <w:sz w:val="14"/>
                <w:szCs w:val="14"/>
                <w:b w:val="1"/>
                <w:bCs w:val="1"/>
                <w:color w:val="auto"/>
                <w:w w:val="96"/>
              </w:rPr>
              <w:t>25 Greens Hill Lane, Rutland, VT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940" w:type="dxa"/>
            <w:vAlign w:val="bottom"/>
          </w:tcPr>
          <w:p>
            <w:pPr>
              <w:jc w:val="right"/>
              <w:ind w:right="1928"/>
              <w:spacing w:after="0"/>
              <w:rPr>
                <w:sz w:val="20"/>
                <w:szCs w:val="20"/>
                <w:color w:val="auto"/>
              </w:rPr>
            </w:pPr>
            <w:r>
              <w:rPr>
                <w:rFonts w:ascii="Arial" w:cs="Arial" w:eastAsia="Arial" w:hAnsi="Arial"/>
                <w:sz w:val="14"/>
                <w:szCs w:val="14"/>
                <w:b w:val="1"/>
                <w:bCs w:val="1"/>
                <w:color w:val="auto"/>
              </w:rPr>
              <w:t>05701</w:t>
            </w:r>
          </w:p>
        </w:tc>
        <w:tc>
          <w:tcPr>
            <w:tcW w:w="0" w:type="dxa"/>
            <w:vAlign w:val="bottom"/>
          </w:tcPr>
          <w:p>
            <w:pPr>
              <w:spacing w:after="0"/>
              <w:rPr>
                <w:sz w:val="1"/>
                <w:szCs w:val="1"/>
                <w:color w:val="auto"/>
              </w:rPr>
            </w:pPr>
          </w:p>
        </w:tc>
      </w:tr>
      <w:tr>
        <w:trPr>
          <w:trHeight w:val="203"/>
        </w:trPr>
        <w:tc>
          <w:tcPr>
            <w:tcW w:w="656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jc w:val="center"/>
              <w:ind w:right="136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7900" w:type="dxa"/>
            <w:vAlign w:val="bottom"/>
            <w:gridSpan w:val="11"/>
          </w:tcPr>
          <w:p>
            <w:pPr>
              <w:jc w:val="center"/>
              <w:ind w:left="3437"/>
              <w:spacing w:after="0"/>
              <w:rPr>
                <w:sz w:val="20"/>
                <w:szCs w:val="20"/>
                <w:color w:val="auto"/>
              </w:rPr>
            </w:pPr>
            <w:r>
              <w:rPr>
                <w:rFonts w:ascii="Arial" w:cs="Arial" w:eastAsia="Arial" w:hAnsi="Arial"/>
                <w:sz w:val="14"/>
                <w:szCs w:val="14"/>
                <w:b w:val="1"/>
                <w:bCs w:val="1"/>
                <w:color w:val="auto"/>
                <w:w w:val="92"/>
              </w:rPr>
              <w:t>Registrant’s telephone number, including area code: (802) 775-0325</w:t>
            </w: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4020" w:type="dxa"/>
            <w:vAlign w:val="bottom"/>
            <w:gridSpan w:val="10"/>
          </w:tcPr>
          <w:p>
            <w:pPr>
              <w:jc w:val="center"/>
              <w:ind w:right="26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vMerge w:val="restart"/>
          </w:tcPr>
          <w:p>
            <w:pPr>
              <w:jc w:val="center"/>
              <w:ind w:left="37"/>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7"/>
              </w:rPr>
              <w:t>Trading</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jc w:val="center"/>
              <w:ind w:right="988"/>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05"/>
        </w:trPr>
        <w:tc>
          <w:tcPr>
            <w:tcW w:w="3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80" w:type="dxa"/>
            <w:vAlign w:val="bottom"/>
            <w:gridSpan w:val="2"/>
            <w:vMerge w:val="restart"/>
          </w:tcPr>
          <w:p>
            <w:pPr>
              <w:jc w:val="center"/>
              <w:ind w:left="108"/>
              <w:spacing w:after="0"/>
              <w:rPr>
                <w:sz w:val="20"/>
                <w:szCs w:val="20"/>
                <w:color w:val="auto"/>
              </w:rPr>
            </w:pPr>
            <w:r>
              <w:rPr>
                <w:rFonts w:ascii="Arial" w:cs="Arial" w:eastAsia="Arial" w:hAnsi="Arial"/>
                <w:sz w:val="14"/>
                <w:szCs w:val="14"/>
                <w:b w:val="1"/>
                <w:bCs w:val="1"/>
                <w:color w:val="auto"/>
                <w:w w:val="91"/>
              </w:rPr>
              <w:t>Symbol(s)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940" w:type="dxa"/>
            <w:vAlign w:val="bottom"/>
            <w:vMerge w:val="restart"/>
          </w:tcPr>
          <w:p>
            <w:pPr>
              <w:jc w:val="center"/>
              <w:ind w:right="988"/>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80" w:type="dxa"/>
            <w:vAlign w:val="bottom"/>
            <w:tcBorders>
              <w:bottom w:val="single" w:sz="8" w:color="auto"/>
            </w:tcBorders>
            <w:gridSpan w:val="2"/>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880" w:type="dxa"/>
            <w:vAlign w:val="bottom"/>
          </w:tcPr>
          <w:p>
            <w:pPr>
              <w:jc w:val="center"/>
              <w:ind w:left="17"/>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CWST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40" w:type="dxa"/>
            <w:vAlign w:val="bottom"/>
          </w:tcPr>
          <w:p>
            <w:pPr>
              <w:jc w:val="center"/>
              <w:ind w:right="98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jc w:val="center"/>
              <w:ind w:right="988"/>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r>
        <w:trPr>
          <w:trHeight w:val="259"/>
        </w:trPr>
        <w:tc>
          <w:tcPr>
            <w:tcW w:w="3880" w:type="dxa"/>
            <w:vAlign w:val="bottom"/>
          </w:tcPr>
          <w:p>
            <w:pPr>
              <w:spacing w:after="0"/>
              <w:rPr>
                <w:sz w:val="22"/>
                <w:szCs w:val="22"/>
                <w:color w:val="auto"/>
              </w:rPr>
            </w:pPr>
          </w:p>
        </w:tc>
        <w:tc>
          <w:tcPr>
            <w:tcW w:w="4020" w:type="dxa"/>
            <w:vAlign w:val="bottom"/>
            <w:gridSpan w:val="10"/>
          </w:tcPr>
          <w:p>
            <w:pPr>
              <w:jc w:val="center"/>
              <w:ind w:right="26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jc w:val="center"/>
              <w:ind w:left="688"/>
              <w:spacing w:after="0"/>
              <w:rPr>
                <w:sz w:val="20"/>
                <w:szCs w:val="20"/>
                <w:color w:val="auto"/>
              </w:rPr>
            </w:pPr>
            <w:r>
              <w:rPr>
                <w:rFonts w:ascii="Arial" w:cs="Arial" w:eastAsia="Arial" w:hAnsi="Arial"/>
                <w:sz w:val="14"/>
                <w:szCs w:val="14"/>
                <w:b w:val="1"/>
                <w:bCs w:val="1"/>
                <w:color w:val="auto"/>
                <w:w w:val="92"/>
              </w:rPr>
              <w:t>None.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9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6"/>
        </w:trPr>
        <w:tc>
          <w:tcPr>
            <w:tcW w:w="7340" w:type="dxa"/>
            <w:vAlign w:val="bottom"/>
            <w:gridSpan w:val="9"/>
          </w:tcPr>
          <w:p>
            <w:pPr>
              <w:ind w:left="4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17"/>
                <w:szCs w:val="17"/>
                <w:color w:val="auto"/>
              </w:rPr>
            </w:pP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340" w:type="dxa"/>
            <w:vAlign w:val="bottom"/>
            <w:gridSpan w:val="9"/>
          </w:tcPr>
          <w:p>
            <w:pPr>
              <w:ind w:left="4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140" w:type="dxa"/>
            <w:vAlign w:val="bottom"/>
          </w:tcPr>
          <w:p>
            <w:pPr>
              <w:spacing w:after="0"/>
              <w:rPr>
                <w:sz w:val="19"/>
                <w:szCs w:val="19"/>
                <w:color w:val="auto"/>
              </w:rPr>
            </w:pPr>
          </w:p>
        </w:tc>
        <w:tc>
          <w:tcPr>
            <w:tcW w:w="420" w:type="dxa"/>
            <w:vAlign w:val="bottom"/>
          </w:tcPr>
          <w:p>
            <w:pPr>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9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firstLine="446"/>
        <w:spacing w:after="0" w:line="182" w:lineRule="exact"/>
        <w:rPr>
          <w:sz w:val="20"/>
          <w:szCs w:val="20"/>
          <w:color w:val="auto"/>
        </w:rPr>
      </w:pPr>
      <w:r>
        <w:rPr>
          <w:rFonts w:ascii="Arial" w:cs="Arial" w:eastAsia="Arial" w:hAnsi="Arial"/>
          <w:sz w:val="14"/>
          <w:szCs w:val="14"/>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446"/>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446"/>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40" w:type="dxa"/>
            <w:vAlign w:val="bottom"/>
          </w:tcPr>
          <w:p>
            <w:pPr>
              <w:ind w:left="308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9" w:lineRule="exact"/>
        <w:rPr>
          <w:sz w:val="24"/>
          <w:szCs w:val="24"/>
          <w:color w:val="auto"/>
        </w:rPr>
      </w:pPr>
    </w:p>
    <w:p>
      <w:pPr>
        <w:ind w:right="200" w:firstLine="446"/>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spacing w:after="0" w:line="161" w:lineRule="exact"/>
        <w:tabs>
          <w:tab w:leader="none" w:pos="712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firstLine="446"/>
        <w:spacing w:after="0" w:line="254"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last reported sale price of the registrant’s Class A common stock on the Nasdaq Stock Market at the close of business on June 28, 2019 was approximately $1,765 million. The registrant does not have any non-voting common stock outstanding.</w:t>
      </w:r>
    </w:p>
    <w:p>
      <w:pPr>
        <w:spacing w:after="0" w:line="1" w:lineRule="exact"/>
        <w:rPr>
          <w:sz w:val="24"/>
          <w:szCs w:val="24"/>
          <w:color w:val="auto"/>
        </w:rPr>
      </w:pPr>
    </w:p>
    <w:p>
      <w:pPr>
        <w:ind w:firstLine="446"/>
        <w:spacing w:after="0" w:line="258" w:lineRule="auto"/>
        <w:rPr>
          <w:sz w:val="20"/>
          <w:szCs w:val="20"/>
          <w:color w:val="auto"/>
        </w:rPr>
      </w:pPr>
      <w:r>
        <w:rPr>
          <w:rFonts w:ascii="Arial" w:cs="Arial" w:eastAsia="Arial" w:hAnsi="Arial"/>
          <w:sz w:val="14"/>
          <w:szCs w:val="14"/>
          <w:color w:val="auto"/>
        </w:rPr>
        <w:t>There were 46,803,112 shares of Class A common stock, $0.01 par value per share, of the registrant outstanding at February 15, 2020. There were 988,200 shares of Class B common stock, $0.01 par value per share, of the registrant outstanding at February 15, 2020.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400" w:firstLine="446"/>
        <w:spacing w:after="0" w:line="273" w:lineRule="auto"/>
        <w:rPr>
          <w:sz w:val="20"/>
          <w:szCs w:val="20"/>
          <w:color w:val="auto"/>
        </w:rPr>
      </w:pPr>
      <w:r>
        <w:rPr>
          <w:rFonts w:ascii="Arial" w:cs="Arial" w:eastAsia="Arial" w:hAnsi="Arial"/>
          <w:sz w:val="14"/>
          <w:szCs w:val="14"/>
          <w:color w:val="auto"/>
        </w:rPr>
        <w:t>Part III of this Annual Report on Form 10-K incorporates by reference information from the definitive Proxy Statement for the registrant’s 2020 Annual Meeting of Stockholders or a Form10-K/A to be filed with the Securities and Exchange Commission not later than 120 days after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40" w:type="dxa"/>
            <w:vAlign w:val="bottom"/>
            <w:gridSpan w:val="16"/>
          </w:tcPr>
          <w:p>
            <w:pPr>
              <w:jc w:val="center"/>
              <w:ind w:right="2600"/>
              <w:spacing w:after="0"/>
              <w:rPr>
                <w:sz w:val="20"/>
                <w:szCs w:val="20"/>
                <w:color w:val="auto"/>
              </w:rPr>
            </w:pPr>
            <w:r>
              <w:rPr>
                <w:rFonts w:ascii="Arial" w:cs="Arial" w:eastAsia="Arial" w:hAnsi="Arial"/>
                <w:sz w:val="18"/>
                <w:szCs w:val="18"/>
                <w:b w:val="1"/>
                <w:bCs w:val="1"/>
                <w:color w:val="auto"/>
                <w:w w:val="98"/>
              </w:rPr>
              <w:t>CASELLA WASTE SYSTEMS, INC.</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40" w:type="dxa"/>
            <w:vAlign w:val="bottom"/>
            <w:gridSpan w:val="16"/>
          </w:tcPr>
          <w:p>
            <w:pPr>
              <w:jc w:val="center"/>
              <w:ind w:right="2620"/>
              <w:spacing w:after="0"/>
              <w:rPr>
                <w:sz w:val="20"/>
                <w:szCs w:val="20"/>
                <w:color w:val="auto"/>
              </w:rPr>
            </w:pPr>
            <w:r>
              <w:rPr>
                <w:rFonts w:ascii="Arial" w:cs="Arial" w:eastAsia="Arial" w:hAnsi="Arial"/>
                <w:sz w:val="18"/>
                <w:szCs w:val="18"/>
                <w:b w:val="1"/>
                <w:bCs w:val="1"/>
                <w:color w:val="auto"/>
                <w:w w:val="99"/>
              </w:rPr>
              <w:t>ANNUAL REPORT ON FORM 10-K</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0" w:type="dxa"/>
            <w:vAlign w:val="bottom"/>
            <w:gridSpan w:val="12"/>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73"/>
        </w:trPr>
        <w:tc>
          <w:tcPr>
            <w:tcW w:w="1900" w:type="dxa"/>
            <w:vAlign w:val="bottom"/>
            <w:gridSpan w:val="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8020" w:type="dxa"/>
            <w:vAlign w:val="bottom"/>
            <w:gridSpan w:val="22"/>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2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gridSpan w:val="5"/>
          </w:tcPr>
          <w:p>
            <w:pPr>
              <w:ind w:left="320"/>
              <w:spacing w:after="0" w:line="196" w:lineRule="exact"/>
              <w:rPr>
                <w:sz w:val="20"/>
                <w:szCs w:val="20"/>
                <w:color w:val="auto"/>
              </w:rPr>
            </w:pPr>
            <w:r>
              <w:rPr>
                <w:rFonts w:ascii="Arial" w:cs="Arial" w:eastAsia="Arial" w:hAnsi="Arial"/>
                <w:sz w:val="18"/>
                <w:szCs w:val="18"/>
                <w:color w:val="auto"/>
              </w:rPr>
              <w:t>ITEM 1.</w:t>
            </w:r>
          </w:p>
        </w:tc>
        <w:tc>
          <w:tcPr>
            <w:tcW w:w="8020" w:type="dxa"/>
            <w:vAlign w:val="bottom"/>
            <w:gridSpan w:val="2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1A.</w:t>
            </w:r>
          </w:p>
        </w:tc>
        <w:tc>
          <w:tcPr>
            <w:tcW w:w="8020" w:type="dxa"/>
            <w:vAlign w:val="bottom"/>
            <w:gridSpan w:val="2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FF"/>
            </w:tcBorders>
            <w:gridSpan w:val="10"/>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UNRESOLVED STAFF COMMENTS</w:t>
              </w:r>
            </w:hyperlink>
          </w:p>
        </w:tc>
        <w:tc>
          <w:tcPr>
            <w:tcW w:w="520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2.</w:t>
            </w:r>
          </w:p>
        </w:tc>
        <w:tc>
          <w:tcPr>
            <w:tcW w:w="8020" w:type="dxa"/>
            <w:vAlign w:val="bottom"/>
            <w:gridSpan w:val="2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PROPERTIES</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FF"/>
            </w:tcBorders>
            <w:gridSpan w:val="5"/>
          </w:tcPr>
          <w:p>
            <w:pPr>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LEGAL PROCEEDINGS</w:t>
              </w:r>
            </w:hyperlink>
          </w:p>
        </w:tc>
        <w:tc>
          <w:tcPr>
            <w:tcW w:w="61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29">
              <w:r>
                <w:rPr>
                  <w:rFonts w:ascii="Arial" w:cs="Arial" w:eastAsia="Arial" w:hAnsi="Arial"/>
                  <w:sz w:val="18"/>
                  <w:szCs w:val="18"/>
                  <w:color w:val="0000FF"/>
                  <w:w w:val="95"/>
                </w:rPr>
                <w:t>MINE SAFETY DISCLOSURES</w:t>
              </w:r>
            </w:hyperlink>
          </w:p>
        </w:tc>
        <w:tc>
          <w:tcPr>
            <w:tcW w:w="558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PART II.</w:t>
              </w:r>
            </w:hyperlink>
          </w:p>
        </w:tc>
        <w:tc>
          <w:tcPr>
            <w:tcW w:w="7640" w:type="dxa"/>
            <w:vAlign w:val="bottom"/>
            <w:gridSpan w:val="17"/>
            <w:vMerge w:val="restart"/>
          </w:tcPr>
          <w:p>
            <w:pPr>
              <w:spacing w:after="0"/>
              <w:rPr>
                <w:rFonts w:ascii="Arial" w:cs="Arial" w:eastAsia="Arial" w:hAnsi="Arial"/>
                <w:sz w:val="18"/>
                <w:szCs w:val="18"/>
                <w:color w:val="0000FF"/>
                <w:w w:val="97"/>
              </w:rPr>
            </w:pPr>
            <w:hyperlink w:anchor="page30">
              <w:r>
                <w:rPr>
                  <w:rFonts w:ascii="Arial" w:cs="Arial" w:eastAsia="Arial" w:hAnsi="Arial"/>
                  <w:sz w:val="18"/>
                  <w:szCs w:val="18"/>
                  <w:color w:val="0000FF"/>
                  <w:w w:val="97"/>
                </w:rPr>
                <w:t>MARKET FOR REGISTRANT’S COMMON EQUITY, RELATED STOCKHOLDER MATTERS AND</w:t>
              </w:r>
            </w:hyperlink>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40" w:type="dxa"/>
            <w:vAlign w:val="bottom"/>
            <w:gridSpan w:val="1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5.</w:t>
            </w:r>
          </w:p>
        </w:tc>
        <w:tc>
          <w:tcPr>
            <w:tcW w:w="7640" w:type="dxa"/>
            <w:vAlign w:val="bottom"/>
            <w:tcBorders>
              <w:bottom w:val="single" w:sz="8" w:color="0000FF"/>
            </w:tcBorders>
            <w:gridSpan w:val="17"/>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760" w:type="dxa"/>
            <w:vAlign w:val="bottom"/>
            <w:tcBorders>
              <w:bottom w:val="single" w:sz="8" w:color="0000FF"/>
            </w:tcBorders>
            <w:gridSpan w:val="11"/>
          </w:tcPr>
          <w:p>
            <w:pPr>
              <w:spacing w:after="0" w:line="156" w:lineRule="exact"/>
              <w:rPr>
                <w:rFonts w:ascii="Arial" w:cs="Arial" w:eastAsia="Arial" w:hAnsi="Arial"/>
                <w:sz w:val="18"/>
                <w:szCs w:val="18"/>
                <w:color w:val="0000FF"/>
                <w:w w:val="93"/>
              </w:rPr>
            </w:pPr>
            <w:hyperlink w:anchor="page30">
              <w:r>
                <w:rPr>
                  <w:rFonts w:ascii="Arial" w:cs="Arial" w:eastAsia="Arial" w:hAnsi="Arial"/>
                  <w:sz w:val="18"/>
                  <w:szCs w:val="18"/>
                  <w:color w:val="0000FF"/>
                  <w:w w:val="93"/>
                </w:rPr>
                <w:t>ISSUER PURCHASES OF EQUITY SECURITIES</w:t>
              </w:r>
            </w:hyperlink>
          </w:p>
        </w:tc>
        <w:tc>
          <w:tcPr>
            <w:tcW w:w="388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00" w:type="dxa"/>
            <w:vAlign w:val="bottom"/>
            <w:gridSpan w:val="5"/>
          </w:tcPr>
          <w:p>
            <w:pPr>
              <w:ind w:left="320"/>
              <w:spacing w:after="0" w:line="196" w:lineRule="exact"/>
              <w:rPr>
                <w:sz w:val="20"/>
                <w:szCs w:val="20"/>
                <w:color w:val="auto"/>
              </w:rPr>
            </w:pPr>
            <w:r>
              <w:rPr>
                <w:rFonts w:ascii="Arial" w:cs="Arial" w:eastAsia="Arial" w:hAnsi="Arial"/>
                <w:sz w:val="18"/>
                <w:szCs w:val="18"/>
                <w:color w:val="auto"/>
              </w:rPr>
              <w:t>ITEM 6.</w:t>
            </w:r>
          </w:p>
        </w:tc>
        <w:tc>
          <w:tcPr>
            <w:tcW w:w="8020" w:type="dxa"/>
            <w:vAlign w:val="bottom"/>
            <w:gridSpan w:val="22"/>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SELECTED FINANCIAL DATA</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7.</w:t>
            </w:r>
          </w:p>
        </w:tc>
        <w:tc>
          <w:tcPr>
            <w:tcW w:w="802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00" w:type="dxa"/>
            <w:vAlign w:val="bottom"/>
            <w:gridSpan w:val="5"/>
          </w:tcPr>
          <w:p>
            <w:pPr>
              <w:ind w:left="320"/>
              <w:spacing w:after="0" w:line="19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FF"/>
            </w:tcBorders>
            <w:gridSpan w:val="16"/>
          </w:tcPr>
          <w:p>
            <w:pPr>
              <w:spacing w:after="0" w:line="196" w:lineRule="exact"/>
              <w:rPr>
                <w:rFonts w:ascii="Arial" w:cs="Arial" w:eastAsia="Arial" w:hAnsi="Arial"/>
                <w:sz w:val="18"/>
                <w:szCs w:val="18"/>
                <w:color w:val="0000FF"/>
                <w:w w:val="98"/>
              </w:rPr>
            </w:pPr>
            <w:hyperlink w:anchor="page56">
              <w:r>
                <w:rPr>
                  <w:rFonts w:ascii="Arial" w:cs="Arial" w:eastAsia="Arial" w:hAnsi="Arial"/>
                  <w:sz w:val="18"/>
                  <w:szCs w:val="18"/>
                  <w:color w:val="0000FF"/>
                  <w:w w:val="98"/>
                </w:rPr>
                <w:t>QUANTITATIVE AND QUALITATIVE DISCLOSURES ABOUT MARKET RISK</w:t>
              </w:r>
            </w:hyperlink>
          </w:p>
        </w:tc>
        <w:tc>
          <w:tcPr>
            <w:tcW w:w="18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57">
              <w:r>
                <w:rPr>
                  <w:rFonts w:ascii="Arial" w:cs="Arial" w:eastAsia="Arial" w:hAnsi="Arial"/>
                  <w:sz w:val="18"/>
                  <w:szCs w:val="18"/>
                  <w:color w:val="0000FF"/>
                  <w:w w:val="96"/>
                </w:rPr>
                <w:t>FINANCIAL STATEMENTS AND SUPPLEMENTARY DATA</w:t>
              </w:r>
            </w:hyperlink>
          </w:p>
        </w:tc>
        <w:tc>
          <w:tcPr>
            <w:tcW w:w="33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9.</w:t>
            </w:r>
          </w:p>
        </w:tc>
        <w:tc>
          <w:tcPr>
            <w:tcW w:w="8020" w:type="dxa"/>
            <w:vAlign w:val="bottom"/>
            <w:gridSpan w:val="22"/>
          </w:tcPr>
          <w:p>
            <w:pPr>
              <w:spacing w:after="0"/>
              <w:rPr>
                <w:rFonts w:ascii="Arial" w:cs="Arial" w:eastAsia="Arial" w:hAnsi="Arial"/>
                <w:sz w:val="18"/>
                <w:szCs w:val="18"/>
                <w:color w:val="0000FF"/>
                <w:w w:val="98"/>
              </w:rPr>
            </w:pPr>
            <w:hyperlink w:anchor="page109">
              <w:r>
                <w:rPr>
                  <w:rFonts w:ascii="Arial" w:cs="Arial" w:eastAsia="Arial" w:hAnsi="Arial"/>
                  <w:sz w:val="18"/>
                  <w:szCs w:val="18"/>
                  <w:color w:val="0000FF"/>
                  <w:w w:val="98"/>
                </w:rPr>
                <w:t>CHANGES IN AND DISAGREEMENTS WITH ACCOUNTANTS ON ACCOUNTING AND FINANCIAL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DISCLOSURE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00" w:type="dxa"/>
            <w:vAlign w:val="bottom"/>
            <w:gridSpan w:val="5"/>
          </w:tcPr>
          <w:p>
            <w:pPr>
              <w:ind w:left="320"/>
              <w:spacing w:after="0" w:line="19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w:anchor="page109">
              <w:r>
                <w:rPr>
                  <w:rFonts w:ascii="Arial" w:cs="Arial" w:eastAsia="Arial" w:hAnsi="Arial"/>
                  <w:sz w:val="18"/>
                  <w:szCs w:val="18"/>
                  <w:color w:val="0000FF"/>
                  <w:w w:val="93"/>
                </w:rPr>
                <w:t>CONTROLS AND PROCEDURES</w:t>
              </w:r>
            </w:hyperlink>
          </w:p>
        </w:tc>
        <w:tc>
          <w:tcPr>
            <w:tcW w:w="54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9B.</w:t>
            </w:r>
          </w:p>
        </w:tc>
        <w:tc>
          <w:tcPr>
            <w:tcW w:w="8020" w:type="dxa"/>
            <w:vAlign w:val="bottom"/>
            <w:gridSpan w:val="22"/>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OTHER INFORMATION</w:t>
              </w:r>
            </w:hyperlink>
          </w:p>
        </w:tc>
        <w:tc>
          <w:tcPr>
            <w:tcW w:w="0" w:type="dxa"/>
            <w:vAlign w:val="bottom"/>
          </w:tcPr>
          <w:p>
            <w:pPr>
              <w:spacing w:after="0"/>
              <w:rPr>
                <w:sz w:val="1"/>
                <w:szCs w:val="1"/>
                <w:color w:val="auto"/>
              </w:rPr>
            </w:pPr>
          </w:p>
        </w:tc>
      </w:tr>
      <w:tr>
        <w:trPr>
          <w:trHeight w:val="20"/>
        </w:trPr>
        <w:tc>
          <w:tcPr>
            <w:tcW w:w="720" w:type="dxa"/>
            <w:vAlign w:val="bottom"/>
            <w:gridSpan w:val="4"/>
            <w:vMerge w:val="restart"/>
          </w:tcPr>
          <w:p>
            <w:pPr>
              <w:spacing w:after="0"/>
              <w:rPr>
                <w:rFonts w:ascii="Arial" w:cs="Arial" w:eastAsia="Arial" w:hAnsi="Arial"/>
                <w:sz w:val="18"/>
                <w:szCs w:val="18"/>
                <w:color w:val="0000FF"/>
                <w:w w:val="95"/>
              </w:rPr>
            </w:pPr>
            <w:hyperlink w:anchor="page110">
              <w:r>
                <w:rPr>
                  <w:rFonts w:ascii="Arial" w:cs="Arial" w:eastAsia="Arial" w:hAnsi="Arial"/>
                  <w:sz w:val="18"/>
                  <w:szCs w:val="18"/>
                  <w:color w:val="0000FF"/>
                  <w:w w:val="95"/>
                </w:rPr>
                <w:t>PART III.</w:t>
              </w:r>
            </w:hyperlink>
          </w:p>
        </w:tc>
        <w:tc>
          <w:tcPr>
            <w:tcW w:w="1180" w:type="dxa"/>
            <w:vAlign w:val="bottom"/>
            <w:vMerge w:val="restart"/>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0" w:type="dxa"/>
            <w:vAlign w:val="bottom"/>
            <w:tcBorders>
              <w:bottom w:val="single" w:sz="8" w:color="0000FF"/>
            </w:tcBorders>
            <w:gridSpan w:val="4"/>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5800" w:type="dxa"/>
            <w:vAlign w:val="bottom"/>
            <w:gridSpan w:val="15"/>
            <w:vMerge w:val="restart"/>
          </w:tcPr>
          <w:p>
            <w:pPr>
              <w:spacing w:after="0"/>
              <w:rPr>
                <w:rFonts w:ascii="Arial" w:cs="Arial" w:eastAsia="Arial" w:hAnsi="Arial"/>
                <w:sz w:val="18"/>
                <w:szCs w:val="18"/>
                <w:color w:val="0000FF"/>
                <w:w w:val="94"/>
              </w:rPr>
            </w:pPr>
            <w:hyperlink w:anchor="page111">
              <w:r>
                <w:rPr>
                  <w:rFonts w:ascii="Arial" w:cs="Arial" w:eastAsia="Arial" w:hAnsi="Arial"/>
                  <w:sz w:val="18"/>
                  <w:szCs w:val="18"/>
                  <w:color w:val="0000FF"/>
                  <w:w w:val="94"/>
                </w:rPr>
                <w:t>DIRECTORS, EXECUTIVE OFFICERS AND CORPORATE GOVERNANCE</w:t>
              </w:r>
            </w:hyperlink>
          </w:p>
        </w:tc>
        <w:tc>
          <w:tcPr>
            <w:tcW w:w="2220" w:type="dxa"/>
            <w:vAlign w:val="bottom"/>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900" w:type="dxa"/>
            <w:vAlign w:val="bottom"/>
            <w:gridSpan w:val="5"/>
          </w:tcPr>
          <w:p>
            <w:pPr>
              <w:ind w:left="320"/>
              <w:spacing w:after="0" w:line="196" w:lineRule="exact"/>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FF"/>
            </w:tcBorders>
            <w:gridSpan w:val="15"/>
            <w:vMerge w:val="continue"/>
          </w:tcPr>
          <w:p>
            <w:pPr>
              <w:spacing w:after="0"/>
              <w:rPr>
                <w:sz w:val="18"/>
                <w:szCs w:val="18"/>
                <w:color w:val="auto"/>
              </w:rPr>
            </w:pPr>
          </w:p>
        </w:tc>
        <w:tc>
          <w:tcPr>
            <w:tcW w:w="22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11.</w:t>
            </w:r>
          </w:p>
        </w:tc>
        <w:tc>
          <w:tcPr>
            <w:tcW w:w="8020" w:type="dxa"/>
            <w:vAlign w:val="bottom"/>
            <w:gridSpan w:val="2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EXECUTIVE COMPENSATION</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12.</w:t>
            </w:r>
          </w:p>
        </w:tc>
        <w:tc>
          <w:tcPr>
            <w:tcW w:w="8020" w:type="dxa"/>
            <w:vAlign w:val="bottom"/>
            <w:gridSpan w:val="22"/>
          </w:tcPr>
          <w:p>
            <w:pPr>
              <w:spacing w:after="0"/>
              <w:rPr>
                <w:rFonts w:ascii="Arial" w:cs="Arial" w:eastAsia="Arial" w:hAnsi="Arial"/>
                <w:sz w:val="18"/>
                <w:szCs w:val="18"/>
                <w:color w:val="0000FF"/>
                <w:w w:val="96"/>
              </w:rPr>
            </w:pPr>
            <w:hyperlink w:anchor="page111">
              <w:r>
                <w:rPr>
                  <w:rFonts w:ascii="Arial" w:cs="Arial" w:eastAsia="Arial" w:hAnsi="Arial"/>
                  <w:sz w:val="18"/>
                  <w:szCs w:val="18"/>
                  <w:color w:val="0000FF"/>
                  <w:w w:val="96"/>
                </w:rPr>
                <w:t>SECURITY OWNERSHIP OF CERTAIN BENEFICIAL OWNERS AND MANAGEMENT AND RELATED</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4"/>
              </w:rPr>
            </w:pPr>
            <w:hyperlink w:anchor="page111">
              <w:r>
                <w:rPr>
                  <w:rFonts w:ascii="Arial" w:cs="Arial" w:eastAsia="Arial" w:hAnsi="Arial"/>
                  <w:sz w:val="18"/>
                  <w:szCs w:val="18"/>
                  <w:color w:val="0000FF"/>
                  <w:w w:val="94"/>
                </w:rPr>
                <w:t>STOCKHOLDER MATTERS</w:t>
              </w:r>
            </w:hyperlink>
          </w:p>
        </w:tc>
        <w:tc>
          <w:tcPr>
            <w:tcW w:w="582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FF"/>
            </w:tcBorders>
            <w:gridSpan w:val="18"/>
          </w:tcPr>
          <w:p>
            <w:pPr>
              <w:spacing w:after="0" w:line="196" w:lineRule="exact"/>
              <w:rPr>
                <w:rFonts w:ascii="Arial" w:cs="Arial" w:eastAsia="Arial" w:hAnsi="Arial"/>
                <w:sz w:val="18"/>
                <w:szCs w:val="18"/>
                <w:color w:val="0000FF"/>
                <w:w w:val="95"/>
              </w:rPr>
            </w:pPr>
            <w:hyperlink w:anchor="page111">
              <w:r>
                <w:rPr>
                  <w:rFonts w:ascii="Arial" w:cs="Arial" w:eastAsia="Arial" w:hAnsi="Arial"/>
                  <w:sz w:val="18"/>
                  <w:szCs w:val="18"/>
                  <w:color w:val="0000FF"/>
                  <w:w w:val="95"/>
                </w:rPr>
                <w:t>CERTAIN RELATIONSHIPS AND RELATED TRANSACTIONS, AND DIRECTOR INDEPENDENCE</w:t>
              </w:r>
            </w:hyperlink>
          </w:p>
        </w:tc>
        <w:tc>
          <w:tcPr>
            <w:tcW w:w="3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14.</w:t>
            </w:r>
          </w:p>
        </w:tc>
        <w:tc>
          <w:tcPr>
            <w:tcW w:w="8020" w:type="dxa"/>
            <w:vAlign w:val="bottom"/>
            <w:gridSpan w:val="22"/>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PRINCIPAL ACCOUNTING FEES AND SERVICES</w:t>
              </w:r>
            </w:hyperlink>
          </w:p>
        </w:tc>
        <w:tc>
          <w:tcPr>
            <w:tcW w:w="0" w:type="dxa"/>
            <w:vAlign w:val="bottom"/>
          </w:tcPr>
          <w:p>
            <w:pPr>
              <w:spacing w:after="0"/>
              <w:rPr>
                <w:sz w:val="1"/>
                <w:szCs w:val="1"/>
                <w:color w:val="auto"/>
              </w:rPr>
            </w:pPr>
          </w:p>
        </w:tc>
      </w:tr>
      <w:tr>
        <w:trPr>
          <w:trHeight w:val="20"/>
        </w:trPr>
        <w:tc>
          <w:tcPr>
            <w:tcW w:w="700" w:type="dxa"/>
            <w:vAlign w:val="bottom"/>
            <w:gridSpan w:val="3"/>
            <w:vMerge w:val="restart"/>
          </w:tcPr>
          <w:p>
            <w:pPr>
              <w:spacing w:after="0"/>
              <w:rPr>
                <w:rFonts w:ascii="Arial" w:cs="Arial" w:eastAsia="Arial" w:hAnsi="Arial"/>
                <w:sz w:val="18"/>
                <w:szCs w:val="18"/>
                <w:color w:val="0000FF"/>
                <w:w w:val="90"/>
              </w:rPr>
            </w:pPr>
            <w:hyperlink w:anchor="page111">
              <w:r>
                <w:rPr>
                  <w:rFonts w:ascii="Arial" w:cs="Arial" w:eastAsia="Arial" w:hAnsi="Arial"/>
                  <w:sz w:val="18"/>
                  <w:szCs w:val="18"/>
                  <w:color w:val="0000FF"/>
                  <w:w w:val="90"/>
                </w:rPr>
                <w:t>PART IV.</w:t>
              </w:r>
            </w:hyperlink>
          </w:p>
        </w:tc>
        <w:tc>
          <w:tcPr>
            <w:tcW w:w="1200" w:type="dxa"/>
            <w:vAlign w:val="bottom"/>
            <w:gridSpan w:val="2"/>
            <w:vMerge w:val="restart"/>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00" w:type="dxa"/>
            <w:vAlign w:val="bottom"/>
            <w:tcBorders>
              <w:bottom w:val="single" w:sz="8" w:color="0000FF"/>
            </w:tcBorders>
            <w:gridSpan w:val="3"/>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4340" w:type="dxa"/>
            <w:vAlign w:val="bottom"/>
            <w:gridSpan w:val="13"/>
            <w:vMerge w:val="restart"/>
          </w:tcPr>
          <w:p>
            <w:pPr>
              <w:spacing w:after="0"/>
              <w:rPr>
                <w:rFonts w:ascii="Arial" w:cs="Arial" w:eastAsia="Arial" w:hAnsi="Arial"/>
                <w:sz w:val="18"/>
                <w:szCs w:val="18"/>
                <w:color w:val="0000FF"/>
                <w:w w:val="97"/>
              </w:rPr>
            </w:pPr>
            <w:hyperlink w:anchor="page112">
              <w:r>
                <w:rPr>
                  <w:rFonts w:ascii="Arial" w:cs="Arial" w:eastAsia="Arial" w:hAnsi="Arial"/>
                  <w:sz w:val="18"/>
                  <w:szCs w:val="18"/>
                  <w:color w:val="0000FF"/>
                  <w:w w:val="97"/>
                </w:rPr>
                <w:t>EXHIBITS AND FINANCIAL STATEMENT SCHEDULE</w:t>
              </w:r>
            </w:hyperlink>
          </w:p>
        </w:tc>
        <w:tc>
          <w:tcPr>
            <w:tcW w:w="3680" w:type="dxa"/>
            <w:vAlign w:val="bottom"/>
            <w:gridSpan w:val="9"/>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900" w:type="dxa"/>
            <w:vAlign w:val="bottom"/>
            <w:gridSpan w:val="5"/>
          </w:tcPr>
          <w:p>
            <w:pPr>
              <w:ind w:left="320"/>
              <w:spacing w:after="0" w:line="196" w:lineRule="exact"/>
              <w:rPr>
                <w:sz w:val="20"/>
                <w:szCs w:val="20"/>
                <w:color w:val="auto"/>
              </w:rPr>
            </w:pPr>
            <w:r>
              <w:rPr>
                <w:rFonts w:ascii="Arial" w:cs="Arial" w:eastAsia="Arial" w:hAnsi="Arial"/>
                <w:sz w:val="18"/>
                <w:szCs w:val="18"/>
                <w:color w:val="auto"/>
              </w:rPr>
              <w:t>ITEM 15.</w:t>
            </w:r>
          </w:p>
        </w:tc>
        <w:tc>
          <w:tcPr>
            <w:tcW w:w="4340" w:type="dxa"/>
            <w:vAlign w:val="bottom"/>
            <w:tcBorders>
              <w:bottom w:val="single" w:sz="8" w:color="0000FF"/>
            </w:tcBorders>
            <w:gridSpan w:val="13"/>
            <w:vMerge w:val="continue"/>
          </w:tcPr>
          <w:p>
            <w:pPr>
              <w:spacing w:after="0"/>
              <w:rPr>
                <w:sz w:val="18"/>
                <w:szCs w:val="18"/>
                <w:color w:val="auto"/>
              </w:rPr>
            </w:pPr>
          </w:p>
        </w:tc>
        <w:tc>
          <w:tcPr>
            <w:tcW w:w="368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00" w:type="dxa"/>
            <w:vAlign w:val="bottom"/>
            <w:gridSpan w:val="5"/>
          </w:tcPr>
          <w:p>
            <w:pPr>
              <w:ind w:left="320"/>
              <w:spacing w:after="0"/>
              <w:rPr>
                <w:sz w:val="20"/>
                <w:szCs w:val="20"/>
                <w:color w:val="auto"/>
              </w:rPr>
            </w:pPr>
            <w:r>
              <w:rPr>
                <w:rFonts w:ascii="Arial" w:cs="Arial" w:eastAsia="Arial" w:hAnsi="Arial"/>
                <w:sz w:val="18"/>
                <w:szCs w:val="18"/>
                <w:color w:val="auto"/>
              </w:rPr>
              <w:t>ITEM 16.</w:t>
            </w:r>
          </w:p>
        </w:tc>
        <w:tc>
          <w:tcPr>
            <w:tcW w:w="8020" w:type="dxa"/>
            <w:vAlign w:val="bottom"/>
            <w:gridSpan w:val="22"/>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FORM 10-K SUMMARY</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SIGNATURES</w:t>
        </w:r>
      </w:hyperlink>
    </w:p>
    <w:p>
      <w:pPr>
        <w:spacing w:after="0" w:line="23" w:lineRule="exact"/>
        <w:rPr>
          <w:sz w:val="20"/>
          <w:szCs w:val="20"/>
          <w:color w:val="auto"/>
        </w:rPr>
      </w:pPr>
    </w:p>
    <w:p>
      <w:pPr>
        <w:ind w:left="2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SCHEDULE II – VALUATION AND QUALIFYING ACCOUNTS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1099185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p>
      <w:pPr>
        <w:spacing w:after="0" w:line="63" w:lineRule="exact"/>
        <w:rPr>
          <w:sz w:val="20"/>
          <w:szCs w:val="20"/>
          <w:color w:val="auto"/>
        </w:rPr>
      </w:pPr>
    </w:p>
    <w:p>
      <w:pPr>
        <w:ind w:left="100"/>
        <w:spacing w:after="0"/>
        <w:rPr>
          <w:rFonts w:ascii="Arial" w:cs="Arial" w:eastAsia="Arial" w:hAnsi="Arial"/>
          <w:sz w:val="16"/>
          <w:szCs w:val="16"/>
          <w:color w:val="0000FF"/>
        </w:rPr>
      </w:pPr>
      <w:hyperlink w:anchor="page18">
        <w:r>
          <w:rPr>
            <w:rFonts w:ascii="Arial" w:cs="Arial" w:eastAsia="Arial" w:hAnsi="Arial"/>
            <w:sz w:val="16"/>
            <w:szCs w:val="16"/>
            <w:color w:val="0000FF"/>
          </w:rPr>
          <w:t>18</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25">
        <w:r>
          <w:rPr>
            <w:rFonts w:ascii="Arial" w:cs="Arial" w:eastAsia="Arial" w:hAnsi="Arial"/>
            <w:sz w:val="16"/>
            <w:szCs w:val="16"/>
            <w:color w:val="0000FF"/>
          </w:rPr>
          <w:t>26</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26">
        <w:r>
          <w:rPr>
            <w:rFonts w:ascii="Arial" w:cs="Arial" w:eastAsia="Arial" w:hAnsi="Arial"/>
            <w:sz w:val="16"/>
            <w:szCs w:val="16"/>
            <w:color w:val="0000FF"/>
          </w:rPr>
          <w:t>26</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p>
      <w:pPr>
        <w:spacing w:after="0" w:line="200" w:lineRule="exact"/>
        <w:rPr>
          <w:sz w:val="20"/>
          <w:szCs w:val="20"/>
          <w:color w:val="auto"/>
        </w:rPr>
      </w:pPr>
    </w:p>
    <w:p>
      <w:pPr>
        <w:spacing w:after="0" w:line="251" w:lineRule="exact"/>
        <w:rPr>
          <w:sz w:val="20"/>
          <w:szCs w:val="20"/>
          <w:color w:val="auto"/>
        </w:rPr>
      </w:pPr>
    </w:p>
    <w:p>
      <w:pPr>
        <w:ind w:left="100"/>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31">
        <w:r>
          <w:rPr>
            <w:rFonts w:ascii="Arial" w:cs="Arial" w:eastAsia="Arial" w:hAnsi="Arial"/>
            <w:sz w:val="16"/>
            <w:szCs w:val="16"/>
            <w:color w:val="0000FF"/>
          </w:rPr>
          <w:t>32</w:t>
        </w:r>
      </w:hyperlink>
    </w:p>
    <w:p>
      <w:pPr>
        <w:spacing w:after="0" w:line="221" w:lineRule="exact"/>
        <w:rPr>
          <w:sz w:val="20"/>
          <w:szCs w:val="20"/>
          <w:color w:val="auto"/>
        </w:rPr>
      </w:pPr>
    </w:p>
    <w:p>
      <w:pPr>
        <w:ind w:left="10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56">
        <w:r>
          <w:rPr>
            <w:rFonts w:ascii="Arial" w:cs="Arial" w:eastAsia="Arial" w:hAnsi="Arial"/>
            <w:sz w:val="16"/>
            <w:szCs w:val="16"/>
            <w:color w:val="0000FF"/>
          </w:rPr>
          <w:t>56</w:t>
        </w:r>
      </w:hyperlink>
    </w:p>
    <w:p>
      <w:pPr>
        <w:spacing w:after="0" w:line="86" w:lineRule="exact"/>
        <w:rPr>
          <w:sz w:val="20"/>
          <w:szCs w:val="20"/>
          <w:color w:val="auto"/>
        </w:rPr>
      </w:pPr>
    </w:p>
    <w:p>
      <w:pPr>
        <w:ind w:left="100"/>
        <w:spacing w:after="0"/>
        <w:rPr>
          <w:rFonts w:ascii="Arial" w:cs="Arial" w:eastAsia="Arial" w:hAnsi="Arial"/>
          <w:sz w:val="16"/>
          <w:szCs w:val="16"/>
          <w:color w:val="0000FF"/>
        </w:rPr>
      </w:pPr>
      <w:hyperlink w:anchor="page57">
        <w:r>
          <w:rPr>
            <w:rFonts w:ascii="Arial" w:cs="Arial" w:eastAsia="Arial" w:hAnsi="Arial"/>
            <w:sz w:val="16"/>
            <w:szCs w:val="16"/>
            <w:color w:val="0000FF"/>
          </w:rPr>
          <w:t>58</w:t>
        </w:r>
      </w:hyperlink>
    </w:p>
    <w:p>
      <w:pPr>
        <w:spacing w:after="0" w:line="221" w:lineRule="exact"/>
        <w:rPr>
          <w:sz w:val="20"/>
          <w:szCs w:val="20"/>
          <w:color w:val="auto"/>
        </w:rPr>
      </w:pPr>
    </w:p>
    <w:p>
      <w:pPr>
        <w:spacing w:after="0"/>
        <w:rPr>
          <w:rFonts w:ascii="Arial" w:cs="Arial" w:eastAsia="Arial" w:hAnsi="Arial"/>
          <w:sz w:val="16"/>
          <w:szCs w:val="16"/>
          <w:color w:val="0000FF"/>
        </w:rPr>
      </w:pPr>
      <w:hyperlink w:anchor="page109">
        <w:r>
          <w:rPr>
            <w:rFonts w:ascii="Arial" w:cs="Arial" w:eastAsia="Arial" w:hAnsi="Arial"/>
            <w:sz w:val="16"/>
            <w:szCs w:val="16"/>
            <w:color w:val="0000FF"/>
          </w:rPr>
          <w:t>109</w:t>
        </w:r>
      </w:hyperlink>
    </w:p>
    <w:p>
      <w:pPr>
        <w:spacing w:after="0" w:line="86" w:lineRule="exact"/>
        <w:rPr>
          <w:sz w:val="20"/>
          <w:szCs w:val="20"/>
          <w:color w:val="auto"/>
        </w:rPr>
      </w:pPr>
    </w:p>
    <w:p>
      <w:pPr>
        <w:ind w:left="20"/>
        <w:spacing w:after="0"/>
        <w:rPr>
          <w:rFonts w:ascii="Arial" w:cs="Arial" w:eastAsia="Arial" w:hAnsi="Arial"/>
          <w:sz w:val="15"/>
          <w:szCs w:val="15"/>
          <w:color w:val="0000FF"/>
        </w:rPr>
      </w:pPr>
      <w:hyperlink w:anchor="page109">
        <w:r>
          <w:rPr>
            <w:rFonts w:ascii="Arial" w:cs="Arial" w:eastAsia="Arial" w:hAnsi="Arial"/>
            <w:sz w:val="15"/>
            <w:szCs w:val="15"/>
            <w:color w:val="0000FF"/>
          </w:rPr>
          <w:t>110</w:t>
        </w:r>
      </w:hyperlink>
    </w:p>
    <w:p>
      <w:pPr>
        <w:spacing w:after="0" w:line="98" w:lineRule="exact"/>
        <w:rPr>
          <w:sz w:val="20"/>
          <w:szCs w:val="20"/>
          <w:color w:val="auto"/>
        </w:rPr>
      </w:pPr>
    </w:p>
    <w:p>
      <w:pPr>
        <w:ind w:left="20"/>
        <w:spacing w:after="0"/>
        <w:rPr>
          <w:rFonts w:ascii="Arial" w:cs="Arial" w:eastAsia="Arial" w:hAnsi="Arial"/>
          <w:sz w:val="15"/>
          <w:szCs w:val="15"/>
          <w:color w:val="0000FF"/>
        </w:rPr>
      </w:pPr>
      <w:hyperlink w:anchor="page110">
        <w:r>
          <w:rPr>
            <w:rFonts w:ascii="Arial" w:cs="Arial" w:eastAsia="Arial" w:hAnsi="Arial"/>
            <w:sz w:val="15"/>
            <w:szCs w:val="15"/>
            <w:color w:val="0000FF"/>
          </w:rPr>
          <w:t>110</w:t>
        </w:r>
      </w:hyperlink>
    </w:p>
    <w:p>
      <w:pPr>
        <w:spacing w:after="0" w:line="327" w:lineRule="exact"/>
        <w:rPr>
          <w:sz w:val="20"/>
          <w:szCs w:val="20"/>
          <w:color w:val="auto"/>
        </w:rPr>
      </w:pPr>
    </w:p>
    <w:p>
      <w:pPr>
        <w:ind w:left="20"/>
        <w:spacing w:after="0"/>
        <w:rPr>
          <w:rFonts w:ascii="Arial" w:cs="Arial" w:eastAsia="Arial" w:hAnsi="Arial"/>
          <w:sz w:val="15"/>
          <w:szCs w:val="15"/>
          <w:color w:val="0000FF"/>
        </w:rPr>
      </w:pPr>
      <w:hyperlink w:anchor="page111">
        <w:r>
          <w:rPr>
            <w:rFonts w:ascii="Arial" w:cs="Arial" w:eastAsia="Arial" w:hAnsi="Arial"/>
            <w:sz w:val="15"/>
            <w:szCs w:val="15"/>
            <w:color w:val="0000FF"/>
          </w:rPr>
          <w:t>111</w:t>
        </w:r>
      </w:hyperlink>
    </w:p>
    <w:p>
      <w:pPr>
        <w:spacing w:after="0" w:line="98" w:lineRule="exact"/>
        <w:rPr>
          <w:sz w:val="20"/>
          <w:szCs w:val="20"/>
          <w:color w:val="auto"/>
        </w:rPr>
      </w:pPr>
    </w:p>
    <w:p>
      <w:pPr>
        <w:ind w:left="20"/>
        <w:spacing w:after="0"/>
        <w:rPr>
          <w:rFonts w:ascii="Arial" w:cs="Arial" w:eastAsia="Arial" w:hAnsi="Arial"/>
          <w:sz w:val="15"/>
          <w:szCs w:val="15"/>
          <w:color w:val="0000FF"/>
        </w:rPr>
      </w:pPr>
      <w:hyperlink w:anchor="page111">
        <w:r>
          <w:rPr>
            <w:rFonts w:ascii="Arial" w:cs="Arial" w:eastAsia="Arial" w:hAnsi="Arial"/>
            <w:sz w:val="15"/>
            <w:szCs w:val="15"/>
            <w:color w:val="0000FF"/>
          </w:rPr>
          <w:t>111</w:t>
        </w:r>
      </w:hyperlink>
    </w:p>
    <w:p>
      <w:pPr>
        <w:spacing w:after="0" w:line="233" w:lineRule="exact"/>
        <w:rPr>
          <w:sz w:val="20"/>
          <w:szCs w:val="20"/>
          <w:color w:val="auto"/>
        </w:rPr>
      </w:pPr>
    </w:p>
    <w:p>
      <w:pPr>
        <w:ind w:left="20"/>
        <w:spacing w:after="0"/>
        <w:rPr>
          <w:rFonts w:ascii="Arial" w:cs="Arial" w:eastAsia="Arial" w:hAnsi="Arial"/>
          <w:sz w:val="15"/>
          <w:szCs w:val="15"/>
          <w:color w:val="0000FF"/>
        </w:rPr>
      </w:pPr>
      <w:hyperlink w:anchor="page111">
        <w:r>
          <w:rPr>
            <w:rFonts w:ascii="Arial" w:cs="Arial" w:eastAsia="Arial" w:hAnsi="Arial"/>
            <w:sz w:val="15"/>
            <w:szCs w:val="15"/>
            <w:color w:val="0000FF"/>
          </w:rPr>
          <w:t>111</w:t>
        </w:r>
      </w:hyperlink>
    </w:p>
    <w:p>
      <w:pPr>
        <w:spacing w:after="0" w:line="98" w:lineRule="exact"/>
        <w:rPr>
          <w:sz w:val="20"/>
          <w:szCs w:val="20"/>
          <w:color w:val="auto"/>
        </w:rPr>
      </w:pPr>
    </w:p>
    <w:p>
      <w:pPr>
        <w:ind w:left="20"/>
        <w:spacing w:after="0"/>
        <w:rPr>
          <w:rFonts w:ascii="Arial" w:cs="Arial" w:eastAsia="Arial" w:hAnsi="Arial"/>
          <w:sz w:val="15"/>
          <w:szCs w:val="15"/>
          <w:color w:val="0000FF"/>
        </w:rPr>
      </w:pPr>
      <w:hyperlink w:anchor="page111">
        <w:r>
          <w:rPr>
            <w:rFonts w:ascii="Arial" w:cs="Arial" w:eastAsia="Arial" w:hAnsi="Arial"/>
            <w:sz w:val="15"/>
            <w:szCs w:val="15"/>
            <w:color w:val="0000FF"/>
          </w:rPr>
          <w:t>111</w:t>
        </w:r>
      </w:hyperlink>
    </w:p>
    <w:p>
      <w:pPr>
        <w:spacing w:after="0" w:line="98" w:lineRule="exact"/>
        <w:rPr>
          <w:sz w:val="20"/>
          <w:szCs w:val="20"/>
          <w:color w:val="auto"/>
        </w:rPr>
      </w:pPr>
    </w:p>
    <w:p>
      <w:pPr>
        <w:ind w:left="20"/>
        <w:spacing w:after="0"/>
        <w:rPr>
          <w:rFonts w:ascii="Arial" w:cs="Arial" w:eastAsia="Arial" w:hAnsi="Arial"/>
          <w:sz w:val="15"/>
          <w:szCs w:val="15"/>
          <w:color w:val="0000FF"/>
        </w:rPr>
      </w:pPr>
      <w:hyperlink w:anchor="page111">
        <w:r>
          <w:rPr>
            <w:rFonts w:ascii="Arial" w:cs="Arial" w:eastAsia="Arial" w:hAnsi="Arial"/>
            <w:sz w:val="15"/>
            <w:szCs w:val="15"/>
            <w:color w:val="0000FF"/>
          </w:rPr>
          <w:t>111</w:t>
        </w:r>
      </w:hyperlink>
    </w:p>
    <w:p>
      <w:pPr>
        <w:spacing w:after="0" w:line="327" w:lineRule="exact"/>
        <w:rPr>
          <w:sz w:val="20"/>
          <w:szCs w:val="20"/>
          <w:color w:val="auto"/>
        </w:rPr>
      </w:pPr>
    </w:p>
    <w:p>
      <w:pPr>
        <w:ind w:left="20"/>
        <w:spacing w:after="0"/>
        <w:rPr>
          <w:rFonts w:ascii="Arial" w:cs="Arial" w:eastAsia="Arial" w:hAnsi="Arial"/>
          <w:sz w:val="15"/>
          <w:szCs w:val="15"/>
          <w:color w:val="0000FF"/>
        </w:rPr>
      </w:pPr>
      <w:hyperlink w:anchor="page112">
        <w:r>
          <w:rPr>
            <w:rFonts w:ascii="Arial" w:cs="Arial" w:eastAsia="Arial" w:hAnsi="Arial"/>
            <w:sz w:val="15"/>
            <w:szCs w:val="15"/>
            <w:color w:val="0000FF"/>
          </w:rPr>
          <w:t>112</w:t>
        </w:r>
      </w:hyperlink>
    </w:p>
    <w:p>
      <w:pPr>
        <w:spacing w:after="0" w:line="98" w:lineRule="exact"/>
        <w:rPr>
          <w:sz w:val="20"/>
          <w:szCs w:val="20"/>
          <w:color w:val="auto"/>
        </w:rPr>
      </w:pPr>
    </w:p>
    <w:p>
      <w:pPr>
        <w:ind w:left="20"/>
        <w:spacing w:after="0"/>
        <w:rPr>
          <w:rFonts w:ascii="Arial" w:cs="Arial" w:eastAsia="Arial" w:hAnsi="Arial"/>
          <w:sz w:val="15"/>
          <w:szCs w:val="15"/>
          <w:color w:val="0000FF"/>
        </w:rPr>
      </w:pPr>
      <w:hyperlink w:anchor="page116">
        <w:r>
          <w:rPr>
            <w:rFonts w:ascii="Arial" w:cs="Arial" w:eastAsia="Arial" w:hAnsi="Arial"/>
            <w:sz w:val="15"/>
            <w:szCs w:val="15"/>
            <w:color w:val="0000FF"/>
          </w:rPr>
          <w:t>117</w:t>
        </w:r>
      </w:hyperlink>
    </w:p>
    <w:p>
      <w:pPr>
        <w:spacing w:after="0" w:line="58" w:lineRule="exact"/>
        <w:rPr>
          <w:sz w:val="20"/>
          <w:szCs w:val="20"/>
          <w:color w:val="auto"/>
        </w:rPr>
      </w:pPr>
    </w:p>
    <w:p>
      <w:pPr>
        <w:ind w:left="20"/>
        <w:spacing w:after="0"/>
        <w:rPr>
          <w:rFonts w:ascii="Arial" w:cs="Arial" w:eastAsia="Arial" w:hAnsi="Arial"/>
          <w:sz w:val="15"/>
          <w:szCs w:val="15"/>
          <w:color w:val="0000FF"/>
        </w:rPr>
      </w:pPr>
      <w:hyperlink w:anchor="page117">
        <w:r>
          <w:rPr>
            <w:rFonts w:ascii="Arial" w:cs="Arial" w:eastAsia="Arial" w:hAnsi="Arial"/>
            <w:sz w:val="15"/>
            <w:szCs w:val="15"/>
            <w:color w:val="0000FF"/>
          </w:rPr>
          <w:t>118</w:t>
        </w:r>
      </w:hyperlink>
    </w:p>
    <w:p>
      <w:pPr>
        <w:spacing w:after="0" w:line="57" w:lineRule="exact"/>
        <w:rPr>
          <w:sz w:val="20"/>
          <w:szCs w:val="20"/>
          <w:color w:val="auto"/>
        </w:rPr>
      </w:pPr>
    </w:p>
    <w:p>
      <w:pPr>
        <w:ind w:left="20"/>
        <w:spacing w:after="0"/>
        <w:rPr>
          <w:rFonts w:ascii="Arial" w:cs="Arial" w:eastAsia="Arial" w:hAnsi="Arial"/>
          <w:sz w:val="15"/>
          <w:szCs w:val="15"/>
          <w:color w:val="0000FF"/>
        </w:rPr>
      </w:pPr>
      <w:hyperlink w:anchor="page118">
        <w:r>
          <w:rPr>
            <w:rFonts w:ascii="Arial" w:cs="Arial" w:eastAsia="Arial" w:hAnsi="Arial"/>
            <w:sz w:val="15"/>
            <w:szCs w:val="15"/>
            <w:color w:val="0000FF"/>
          </w:rPr>
          <w:t>119</w:t>
        </w:r>
      </w:hyperlink>
    </w:p>
    <w:p>
      <w:pPr>
        <w:sectPr>
          <w:pgSz w:w="11900" w:h="16838" w:orient="portrait"/>
          <w:cols w:equalWidth="0" w:num="2">
            <w:col w:w="10380" w:space="720"/>
            <w:col w:w="280"/>
          </w:cols>
          <w:pgMar w:left="240" w:top="118" w:right="27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the context requires otherwise, all references in this Annual Report on Form 10-K to “Casella Waste Systems, Inc.”, “Casella”, the “Company”, “we”, “us” or “our” refer to Casella Waste Systems, Inc.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Annual Report on Form 10-K contains or incorporates a number of forward-looking statements within the meaning of Section 27A of the Securities Act of 1933, as amended, and Section 21E of the Exchange Act of 1934, as amended, including statements regarding:</w:t>
      </w:r>
    </w:p>
    <w:p>
      <w:pPr>
        <w:spacing w:after="0" w:line="8"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commodity pricing of our recyclables, increases in landfill tipping fees and fuel costs and general economic and weather conditions;</w:t>
      </w:r>
    </w:p>
    <w:p>
      <w:pPr>
        <w:spacing w:after="0" w:line="86" w:lineRule="exact"/>
        <w:rPr>
          <w:rFonts w:ascii="Arial" w:cs="Arial" w:eastAsia="Arial" w:hAnsi="Arial"/>
          <w:sz w:val="16"/>
          <w:szCs w:val="16"/>
          <w:color w:val="auto"/>
        </w:rPr>
      </w:pPr>
    </w:p>
    <w:p>
      <w:pPr>
        <w:ind w:left="500" w:right="260" w:hanging="330"/>
        <w:spacing w:after="0" w:line="27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We cannot guarantee that we actually will achieve the plans, intentions or expectations disclosed in the forward-looking statements made.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 We explicitly disclaim any obligation to update any forward-looking statements whether as a result of new information, future events or otherwise, except as otherwise required by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Founded in 1975 with a single truck, Casella Waste Systems, Inc. is a regional, vertically 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have managed operations through four operating segments, including (i) two regional operating segments, which we designate as our Eastern and Western regions, (ii) Recycling, which comprises our larger-scale recycling operations and our commodity brokerage operations and (iii) "Other", which comprises organic services, ancillary operations, along with major accounts and industrial services. Effective January 1, 2020, we reorganized our operating segments as follows: we aligned our organics services and our major account and industrial services with our Recycling segment to form the Resource Solutions segment, thus creating a single resource renewal-focused segment. We also moved our ancillary transportation services, which were previously included in our Other segment, into our Western region.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January 31, 2020, we owned and/or operated 43 solid waste collection operations, 58 transfer stations, 20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goal is to build a sustainable and profitable company by providing exemplary service to our customers, while operating safe and environmentally sound facilities. Over the last decade, we have worked with many of our key customers to improve their environmental footprint to meet sustainability goals by increasing their recycling rates, diverting organic materials out of the waste stream into beneficial use processes, and partnering to develop resource solutions within their organizations. Since we first began operating in Vermont in 1975, our business strategy has been firmly tied to creating a sustainable resource management model and we continue to be rooted in these same tenets today.</w:t>
      </w:r>
    </w:p>
    <w:p>
      <w:pPr>
        <w:spacing w:after="0" w:line="6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continue to invest in resources (team, technology, and capital) to further develop this important long-term strategy that we believe will continue to differentiate our service offerings to our customers, make us an employer of choice for our people, and improve our economic returns. We strive to create long-term value for all of our stakeholders, including customers, employees, communities and shareholders.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objective is to maximize long-term shareholder value through a combination of financial performance and strategic asset positioning. Annually, we complete a comprehensive strategic planning process to assess and refine our strategic objectives in the context of our asset mix and the current market environment. This process helps the management team allocate resources to a range of business opportunities with the goal to maximize long-term financial returns and competitive positioning.</w:t>
      </w:r>
    </w:p>
    <w:p>
      <w:pPr>
        <w:spacing w:after="0" w:line="79"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 early August 2017, we announced an updated long-term strategic plan through our fiscal year ending December 31, 2021 (the “2021 Plan”). The 2021 Plan remains focused on enhancing shareholder returns by improving cash flows and reducing debt leverage through the following strategic initiatives:</w:t>
      </w:r>
    </w:p>
    <w:p>
      <w:pPr>
        <w:ind w:left="500" w:right="58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landfill returns by driving pricing in excess of inflation in the disposal capacity constrained markets in the Northeast and working to maximize capacity utilization.</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Driving additional profitability in our collection operations through profitable revenue growth and operating efficiencies.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Creating incremental value through our resource solutions offerings in our recycling, organics, and customer solutions operations.</w:t>
      </w:r>
    </w:p>
    <w:p>
      <w:pPr>
        <w:spacing w:after="0" w:line="63" w:lineRule="exact"/>
        <w:rPr>
          <w:rFonts w:ascii="Arial" w:cs="Arial" w:eastAsia="Arial" w:hAnsi="Arial"/>
          <w:sz w:val="18"/>
          <w:szCs w:val="18"/>
          <w:color w:val="auto"/>
        </w:rPr>
      </w:pPr>
    </w:p>
    <w:p>
      <w:pPr>
        <w:ind w:left="500" w:right="18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Using technology to drive profitable growth and efficiencies through our efforts to update key systems to drive back office transformation, operating efficiencies and sales force effectiveness.</w:t>
      </w:r>
    </w:p>
    <w:p>
      <w:pPr>
        <w:spacing w:after="0" w:line="8" w:lineRule="exact"/>
        <w:rPr>
          <w:rFonts w:ascii="Arial" w:cs="Arial" w:eastAsia="Arial" w:hAnsi="Arial"/>
          <w:sz w:val="18"/>
          <w:szCs w:val="18"/>
          <w:color w:val="auto"/>
        </w:rPr>
      </w:pPr>
    </w:p>
    <w:p>
      <w:pPr>
        <w:ind w:left="500" w:right="420" w:hanging="330"/>
        <w:spacing w:after="0" w:line="277"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Allocating capital to balance debt delevering with smart growth through continued capital discipline and selective acquisitions of complementary businesses and assets.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 support our efforts, we continue to invest in our employees through leadership development, our career paths program that helps to build long-term development for our employees, technical training for key roles such as drivers and mechanics, and incentive compensation structures that seek to align our employees’ incentives with our long-term goal to improve cash flows and returns on invested capital. Over the last three years we have grown our workforce by approximately 32%, and we believe that continuing to invest in our team and culture are keys to our continued success.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Landfill Returns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Disposal capacity continues to tighten in the Northeast market as permanent site closures are reducing capacity and stronger economic and construction activity are driving higher volumes. Given this supply-demand imbalance and the positioning of our assets, we were able to advance disposal pricing by 5.1% (or average price per ton by 7.1%) for the fiscal year ended December 31, 2019 ("fiscal year 2019").</w:t>
      </w:r>
    </w:p>
    <w:p>
      <w:pPr>
        <w:spacing w:after="0" w:line="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believe that this positive pricing backdrop will continue as additional site closures are expected over the next several years, and as we reset multi-year contracts we expect to advance pricing in excess of Consumer Price Index on a larger percentage of our inbound waste streams.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the landfill development side, we continue to advance key permitting activities across our landfills to increase annual capacity limits at select sites and expand total permitted capacity across our footprint. We have been successful in advancing permit increases at Subtitle D landfills located in Angelica, New York (“Hyland Landfill”), Seneca, New York ("Ontario County Landfill"), Chemung, New York ("Chemung County Landfill"), West Old Town, Maine ("Juniper Ridge Landfill"), Schuyler Falls, New York (“Clinton County Landfill”), Coventry, Vermont ("Waste USA Landfill"), and Campbell, New York (“Hakes Landfill”) over the last four years. Cumulatively, these efforts have added 462 thousand tons per year of permitted capacity and approximately 46.8 million tons of permitted airspace. We have recently been informed by the New Hampshire Division of Environmental Services that it will be necessary to amend our permit application for an additional 1.2 million cubic yards of capacity at the North Country Environmental Services landfill located in Bethlehem, New Hampshire ("NCES Landfill"). This will likely impact the timing of our permit and our results of operations. There can be no assurance that we will receive this permit after it is refiled.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Driving Additional Profitability in Collection Operations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Collection pricing was up 5.3% for fiscal year 2019, as compared to the fiscal year ended December 31, 2018 ("fiscal year 2018"), with sustained execution against our strategic pricing programs. On the operating side, we continue to advance several key areas, including route optimization, fleet standardization and automation, and maintenance programs to further reduce our operating costs in the collection line-of-business. We are in the fifth year of our comprehensive fleet plan, which is designed to optimize our fleet and target truck replacements to maximize returns, reduce our operating expenses through lower maintenance costs, improve our service levels through reduced down times, and conduct additional automation and optimization of trucks and service types.</w:t>
      </w:r>
    </w:p>
    <w:p>
      <w:pPr>
        <w:spacing w:after="0" w:line="8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combination of these operating advancements and pricing programs are driving improved results in our collection line-of-business, with our cost of operations as a percentage of revenues down approximately (510) basis points from the twelve months ended December 31, 2014 to fiscal year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Creating Incremental Value Through Resource Solutions</w:t>
      </w:r>
    </w:p>
    <w:p>
      <w:pPr>
        <w:spacing w:after="0" w:line="11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One of the key objectives of our strategy is to differentiate ourselves in the marketplace by offering value-added resource solutions to our customers. These solutions range from our customer solutions business, which provides professional services to large industrial institutional or multi-site retail customers, to our organics business, which is a leader in organics processing and disposal in the Northeast, and to our large scale, technology-driven recycling business.</w:t>
      </w:r>
    </w:p>
    <w:p>
      <w:pPr>
        <w:spacing w:after="0" w:line="3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customer solutions business has continued to improve margins and returns through fiscal year 2019, as we further transformed the business from the legacy brokerage model to a professional services organization focused on providing resource solutions to large industrial and institutional accounts.</w:t>
      </w:r>
    </w:p>
    <w:p>
      <w:pPr>
        <w:spacing w:after="0" w:line="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Over the last three years, we have worked to reshape our recycling business model to drive higher returns in all market cycles and reduce exposure to recycling commodity volatility. We have accomplished this goal by: (1) restructuring most third-party processing contracts to limit downside risk by charging processing fees; (2) implementing our Sustainability Recycling Adjustment Fee (“SRA Fee”) for our collection customers (the SRA Fee floats inversely to changes in recycling commodity prices); (3) making key investments in recycling processing infrastructure to reduce operating costs and improve the quality of the end commodities; and (4) developing strong partnerships with industrial consumers of recycled materials to ensure that the materials our customers recycle make their way into new products and beneficial uses. Our risk mitigation programs have offset most of the recent commodity price declines driven primarily by China’s National Sword program that banned the import of certain recycled materials and imposed strict new contamination standards for others, and we expect these programs to continue to reduce our commodity risk exposure.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Using Technology to Drive Profitable Growth and Efficiencies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launched a 5-year technology plan in August 2017 to drive profitable growth, reduce our general and administration costs by 75 to 100 basis points as a percentage of revenues by 2021, and improve our operating efficiencies. We have focused our efforts on improving our overall technology platform, driving sales force effectiveness, and increasing efficiencies in our back-office and across our operations.</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 date as part of our technology plan, we have successfully implemented: the Microsoft Dynamics CRM system to help manage and drive higher salesforce effectiveness; the Microsoft Dynamics Case Management system to ensure strong integration between our salesforce, customer care group and operating teams; and the cloud-based NetSuite ERP system as the new financial backbone to our business. We plan to focus our technology efforts in the fiscal year ending December 31, 2020 ("fiscal year 2020") on process and technology enhancement for procurement, piloting a new order-to-cash system for our collection line-of-business, and piloting a new on-board computing and dynamic route optimization system.</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Allocating Capital to Balance Debt Delevering with Smart Growth</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Over the last six years we made significant progress in simplifying our business structure, improving cash flows and reducing risk exposure by: (1) divesting, or in certain cases, closing underperforming operations that did not enhance or complement our core operations; (2) refinancing debt to lower interest costs and improve financial flexibility; and (3) adhering to strict capital discipline and debt repayment.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our progress in each area and as part of the 2021 Plan, we shifted our capital strategy to use our capital in a manner that balances continued delevering with smart acquisition and development growth. As part of this strategy, we set a goal of adding $20 million to $40 million per year of annualized revenues through acquisition or development activity. We believe that acquisition or development activity should be opportunistic, and we plan to strictly adhere to our disciplined capital return hurdles and rigorous review process.</w:t>
      </w:r>
    </w:p>
    <w:p>
      <w:pPr>
        <w:spacing w:after="0" w:line="7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We have made significant progress ramping up our strategic growth initiative, as we have acquired 19 solid waste collection and transfer businesses during fiscal year 2018 and fiscal year 2019, with approximately $130 million of annualized revenues. We expect revenue growth of approximately $30 million in fiscal year 2020 from the full year of revenue from acquisitions completed in 2019, but which contributed to our revenues for only part of the year in 2019.</w:t>
      </w:r>
    </w:p>
    <w:p>
      <w:pPr>
        <w:spacing w:after="0" w:line="3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are focused on acquiring well-run businesses in strategic markets across our footprint that will drive additional internalization to our landfills and operating synergies. We are also focused on more effectively optimizing waste placement around the Northeast as the ever-tightening disposal market is creating additional opportunities to source new volumes at higher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Overview</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solid waste and recycling operations comprise a full range of non-hazardous solid waste services, including collections, transfer stations, material recovery facilities ("MRFs") and disposal facilities.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Collections. </w:t>
      </w:r>
      <w:r>
        <w:rPr>
          <w:rFonts w:ascii="Arial" w:cs="Arial" w:eastAsia="Arial" w:hAnsi="Arial"/>
          <w:sz w:val="18"/>
          <w:szCs w:val="18"/>
          <w:color w:val="auto"/>
        </w:rPr>
        <w:t>A majority of our commercial and industrial collection services are performed under one-to-five year service agreements, with prices and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such factors as: collection frequency; type of equipment and containers furnished; type, volume and weight of solid waste collected; distance to the disposal or processing facility; and cost of disposal or processing. Our residential collection and disposal services are performed either on a subscription basis (with no underlying contract) with individuals, or through contracts with municipalities, homeowner associations, apartment building owners or mobile home park operators.</w:t>
      </w:r>
    </w:p>
    <w:p>
      <w:pPr>
        <w:spacing w:after="0" w:line="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Transfer Stations. </w:t>
      </w:r>
      <w:r>
        <w:rPr>
          <w:rFonts w:ascii="Arial" w:cs="Arial" w:eastAsia="Arial" w:hAnsi="Arial"/>
          <w:sz w:val="17"/>
          <w:szCs w:val="17"/>
          <w:color w:val="auto"/>
        </w:rPr>
        <w:t>Our transfer stations receive, compact and transfer solid waste, collected primarily by our various residential and commercial collection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for transport to disposal facilities by larger vehicles. We believe that transfer stations benefit us by: (1) increasing the size of the wastesheds which have access to our landfills; (2) reducing costs by improving utilization of collection personnel and equipment; and (3) helping us build relationships with municipalities and other customers by providing a local physical presence and enhanced local service capabilities.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Material Recovery Facilities. </w:t>
      </w:r>
      <w:r>
        <w:rPr>
          <w:rFonts w:ascii="Arial" w:cs="Arial" w:eastAsia="Arial" w:hAnsi="Arial"/>
          <w:sz w:val="18"/>
          <w:szCs w:val="18"/>
          <w:color w:val="auto"/>
        </w:rPr>
        <w:t>Our MRFs receive, sort, bale and sell recyclable materials originating from the municipal solid waste stream,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newsprint, cardboard, office paper, glass, plastic, steel or aluminum containers and bottles. We operate six large-scale, high volume MRFs within our Recycling region in geographic areas served by our collection divisions. Revenues are received from municipalities and customers in the form of processing fees, tipping fees and commodity sales. These MRFs, one of which is located in New York, two of which are located in Vermont, two of which are located in Massachusetts, and one of which is located in Maine, process over 0.4 million tons per year of recycled materials delivered to them by municipalities and commercial customers under long-term contracts. We also operate smaller MRFs, which generally process recyclables collected from our various residential and commercial collection operations.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Landfills. </w:t>
      </w:r>
      <w:r>
        <w:rPr>
          <w:rFonts w:ascii="Arial" w:cs="Arial" w:eastAsia="Arial" w:hAnsi="Arial"/>
          <w:sz w:val="18"/>
          <w:szCs w:val="18"/>
          <w:color w:val="auto"/>
        </w:rPr>
        <w:t>We operate eight solid waste Subtitle D landfills and one landfill permitted to accept C&amp;D materials. Revenues are received from municipalities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customers in the form of tipping fees. The estimated capacity at our landfills is subject to change based on engineering factors, requirements of regulatory authorities, our ability to continue to operate our landfills in compliance with applicable regulations and our ability to successfully renew operating permits and obtain expansion permits at our sites.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(in thousands) reflects the aggregate landfill capacity and airspace changes, in tons, for landfills we operated during fiscal years 2019, 2018 and 2017:</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4"/>
              </w:rPr>
              <w:t>Fiscal Year 2019</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4"/>
              </w:rPr>
              <w:t>Fiscal Year 2018</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4"/>
              </w:rPr>
              <w:t>Fiscal Year 2017</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Estimated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Estimated</w:t>
            </w: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Remaining</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Estimated</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Estimated</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Permitted</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Permittable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Capacity</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Capacity</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4"/>
        </w:trPr>
        <w:tc>
          <w:tcPr>
            <w:tcW w:w="24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(1)(2)</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Capacity</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Capacity</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(1)(2)</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Capacity</w:t>
            </w:r>
          </w:p>
        </w:tc>
        <w:tc>
          <w:tcPr>
            <w:tcW w:w="0" w:type="dxa"/>
            <w:vAlign w:val="bottom"/>
          </w:tcPr>
          <w:p>
            <w:pPr>
              <w:spacing w:after="0"/>
              <w:rPr>
                <w:sz w:val="1"/>
                <w:szCs w:val="1"/>
                <w:color w:val="auto"/>
              </w:rPr>
            </w:pPr>
          </w:p>
        </w:tc>
      </w:tr>
      <w:tr>
        <w:trPr>
          <w:trHeight w:val="250"/>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8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35,810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47,053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82,863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36,159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46,301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82,460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31,022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59,089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90,111</w:t>
            </w:r>
          </w:p>
        </w:tc>
        <w:tc>
          <w:tcPr>
            <w:tcW w:w="0" w:type="dxa"/>
            <w:vAlign w:val="bottom"/>
          </w:tcPr>
          <w:p>
            <w:pPr>
              <w:spacing w:after="0"/>
              <w:rPr>
                <w:sz w:val="1"/>
                <w:szCs w:val="1"/>
                <w:color w:val="auto"/>
              </w:rPr>
            </w:pPr>
          </w:p>
        </w:tc>
      </w:tr>
      <w:tr>
        <w:trPr>
          <w:trHeight w:val="243"/>
        </w:trPr>
        <w:tc>
          <w:tcPr>
            <w:tcW w:w="2480" w:type="dxa"/>
            <w:vAlign w:val="bottom"/>
          </w:tcPr>
          <w:p>
            <w:pPr>
              <w:ind w:left="360"/>
              <w:spacing w:after="0"/>
              <w:rPr>
                <w:sz w:val="20"/>
                <w:szCs w:val="20"/>
                <w:color w:val="auto"/>
              </w:rPr>
            </w:pPr>
            <w:r>
              <w:rPr>
                <w:rFonts w:ascii="Arial" w:cs="Arial" w:eastAsia="Arial" w:hAnsi="Arial"/>
                <w:sz w:val="18"/>
                <w:szCs w:val="18"/>
                <w:color w:val="auto"/>
                <w:w w:val="93"/>
              </w:rPr>
              <w:t xml:space="preserve">New expansions pursued </w:t>
            </w:r>
            <w:r>
              <w:rPr>
                <w:rFonts w:ascii="Arial" w:cs="Arial" w:eastAsia="Arial" w:hAnsi="Arial"/>
                <w:sz w:val="14"/>
                <w:szCs w:val="14"/>
                <w:color w:val="auto"/>
                <w:w w:val="93"/>
              </w:rPr>
              <w:t>(3)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Permits granted </w:t>
            </w:r>
            <w:r>
              <w:rPr>
                <w:rFonts w:ascii="Arial" w:cs="Arial" w:eastAsia="Arial" w:hAnsi="Arial"/>
                <w:sz w:val="14"/>
                <w:szCs w:val="14"/>
                <w:color w:val="auto"/>
              </w:rPr>
              <w:t>(4)</w:t>
            </w:r>
          </w:p>
        </w:tc>
        <w:tc>
          <w:tcPr>
            <w:tcW w:w="8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12,675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(12,675)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9,273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Pr>
          <w:p>
            <w:pPr>
              <w:ind w:left="340"/>
              <w:spacing w:after="0"/>
              <w:rPr>
                <w:sz w:val="20"/>
                <w:szCs w:val="20"/>
                <w:color w:val="auto"/>
              </w:rPr>
            </w:pPr>
            <w:r>
              <w:rPr>
                <w:rFonts w:ascii="Arial" w:cs="Arial" w:eastAsia="Arial" w:hAnsi="Arial"/>
                <w:sz w:val="18"/>
                <w:szCs w:val="18"/>
                <w:color w:val="auto"/>
              </w:rPr>
              <w:t>Airspace consumed</w:t>
            </w:r>
          </w:p>
        </w:tc>
        <w:tc>
          <w:tcPr>
            <w:tcW w:w="860" w:type="dxa"/>
            <w:vAlign w:val="bottom"/>
          </w:tcPr>
          <w:p>
            <w:pPr>
              <w:jc w:val="right"/>
              <w:ind w:right="42"/>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21"/>
                <w:szCs w:val="21"/>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1"/>
                <w:szCs w:val="21"/>
                <w:color w:val="auto"/>
              </w:rPr>
            </w:pP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(3,958)</w:t>
            </w:r>
          </w:p>
        </w:tc>
        <w:tc>
          <w:tcPr>
            <w:tcW w:w="12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4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Changes in engineering</w:t>
            </w:r>
          </w:p>
        </w:tc>
        <w:tc>
          <w:tcPr>
            <w:tcW w:w="86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62"/>
              <w:spacing w:after="0"/>
              <w:rPr>
                <w:sz w:val="20"/>
                <w:szCs w:val="20"/>
                <w:color w:val="auto"/>
              </w:rPr>
            </w:pPr>
            <w:r>
              <w:rPr>
                <w:rFonts w:ascii="Arial" w:cs="Arial" w:eastAsia="Arial" w:hAnsi="Arial"/>
                <w:sz w:val="18"/>
                <w:szCs w:val="18"/>
                <w:color w:val="auto"/>
              </w:rPr>
              <w:t>3,811</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3"/>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35"/>
        </w:trPr>
        <w:tc>
          <w:tcPr>
            <w:tcW w:w="2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estimates </w:t>
            </w:r>
            <w:r>
              <w:rPr>
                <w:rFonts w:ascii="Arial" w:cs="Arial" w:eastAsia="Arial" w:hAnsi="Arial"/>
                <w:sz w:val="14"/>
                <w:szCs w:val="14"/>
                <w:color w:val="auto"/>
              </w:rPr>
              <w:t>(5)</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860" w:type="dxa"/>
            <w:vAlign w:val="bottom"/>
          </w:tcPr>
          <w:p>
            <w:pPr>
              <w:jc w:val="right"/>
              <w:ind w:right="82"/>
              <w:spacing w:after="0"/>
              <w:rPr>
                <w:sz w:val="20"/>
                <w:szCs w:val="20"/>
                <w:color w:val="auto"/>
              </w:rPr>
            </w:pPr>
            <w:r>
              <w:rPr>
                <w:rFonts w:ascii="Arial" w:cs="Arial" w:eastAsia="Arial" w:hAnsi="Arial"/>
                <w:sz w:val="18"/>
                <w:szCs w:val="18"/>
                <w:color w:val="auto"/>
              </w:rPr>
              <w:t>44,434</w:t>
            </w:r>
          </w:p>
        </w:tc>
        <w:tc>
          <w:tcPr>
            <w:tcW w:w="100" w:type="dxa"/>
            <w:vAlign w:val="bottom"/>
          </w:tcPr>
          <w:p>
            <w:pPr>
              <w:spacing w:after="0"/>
              <w:rPr>
                <w:sz w:val="20"/>
                <w:szCs w:val="20"/>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34,139</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78,573</w:t>
            </w:r>
          </w:p>
        </w:tc>
        <w:tc>
          <w:tcPr>
            <w:tcW w:w="12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8"/>
                <w:szCs w:val="18"/>
                <w:color w:val="auto"/>
              </w:rPr>
              <w:t>35,810</w:t>
            </w:r>
          </w:p>
        </w:tc>
        <w:tc>
          <w:tcPr>
            <w:tcW w:w="120" w:type="dxa"/>
            <w:vAlign w:val="bottom"/>
          </w:tcPr>
          <w:p>
            <w:pPr>
              <w:spacing w:after="0"/>
              <w:rPr>
                <w:sz w:val="20"/>
                <w:szCs w:val="20"/>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47,053</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82,863</w:t>
            </w:r>
          </w:p>
        </w:tc>
        <w:tc>
          <w:tcPr>
            <w:tcW w:w="12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920" w:type="dxa"/>
            <w:vAlign w:val="bottom"/>
          </w:tcPr>
          <w:p>
            <w:pPr>
              <w:jc w:val="right"/>
              <w:ind w:right="83"/>
              <w:spacing w:after="0"/>
              <w:rPr>
                <w:sz w:val="20"/>
                <w:szCs w:val="20"/>
                <w:color w:val="auto"/>
              </w:rPr>
            </w:pPr>
            <w:r>
              <w:rPr>
                <w:rFonts w:ascii="Arial" w:cs="Arial" w:eastAsia="Arial" w:hAnsi="Arial"/>
                <w:sz w:val="18"/>
                <w:szCs w:val="18"/>
                <w:color w:val="auto"/>
              </w:rPr>
              <w:t>46,301</w:t>
            </w:r>
          </w:p>
        </w:tc>
        <w:tc>
          <w:tcPr>
            <w:tcW w:w="10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120" w:hanging="330"/>
        <w:spacing w:after="0" w:line="264"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8"/>
          <w:szCs w:val="18"/>
          <w:color w:val="auto"/>
        </w:rPr>
        <w:t>We convert estimated remaining permitted capacity and estimated additional permittable capacity from cubic yards to tons generally by assuming a compaction factor derived from historical average compaction factors, with modification for future anticipated changes. In addition to a total capacity limit, certain permits place a daily and/or annual limit on capacity.</w:t>
      </w:r>
    </w:p>
    <w:p>
      <w:pPr>
        <w:spacing w:after="0" w:line="19" w:lineRule="exact"/>
        <w:rPr>
          <w:rFonts w:ascii="Arial" w:cs="Arial" w:eastAsia="Arial" w:hAnsi="Arial"/>
          <w:sz w:val="14"/>
          <w:szCs w:val="14"/>
          <w:color w:val="auto"/>
        </w:rPr>
      </w:pPr>
    </w:p>
    <w:p>
      <w:pPr>
        <w:ind w:left="500" w:hanging="330"/>
        <w:spacing w:after="0" w:line="276"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7"/>
          <w:szCs w:val="17"/>
          <w:color w:val="auto"/>
        </w:rPr>
        <w:t>Represents capacity which we have determined to be “permittable” in accordance with the following criteria: (i) we control the land on which the expansion is sought; (ii) all technical siting criteria have been met or a variance has been obtained or is reasonably expected to be obtained; (iii) we have not identified any legal or political impediments which we believe will not be resolved in our favor; (iv) we are actively working on obtaining any necessary permits and we expect that all required permits will be received; and (v) senior management has approved the project based on a review of the engineering design and determination that the financial return profile meets our investment criteria.</w:t>
      </w:r>
    </w:p>
    <w:p>
      <w:pPr>
        <w:spacing w:after="0" w:line="10" w:lineRule="exact"/>
        <w:rPr>
          <w:rFonts w:ascii="Arial" w:cs="Arial" w:eastAsia="Arial" w:hAnsi="Arial"/>
          <w:sz w:val="14"/>
          <w:szCs w:val="14"/>
          <w:color w:val="auto"/>
        </w:rPr>
      </w:pPr>
    </w:p>
    <w:p>
      <w:pPr>
        <w:ind w:left="500" w:right="200" w:hanging="330"/>
        <w:spacing w:after="0" w:line="277" w:lineRule="auto"/>
        <w:tabs>
          <w:tab w:leader="none" w:pos="4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capacity associated with new expansions pursued in fiscal year 2019 relates to the determination of additional permittable airspace at the NCES Landfill in our Eastern region.</w:t>
      </w:r>
    </w:p>
    <w:p>
      <w:pPr>
        <w:spacing w:after="0" w:line="8" w:lineRule="exact"/>
        <w:rPr>
          <w:rFonts w:ascii="Arial" w:cs="Arial" w:eastAsia="Arial" w:hAnsi="Arial"/>
          <w:sz w:val="18"/>
          <w:szCs w:val="18"/>
          <w:color w:val="auto"/>
        </w:rPr>
      </w:pPr>
    </w:p>
    <w:p>
      <w:pPr>
        <w:ind w:left="500" w:right="420" w:hanging="330"/>
        <w:spacing w:after="0" w:line="264" w:lineRule="auto"/>
        <w:tabs>
          <w:tab w:leader="none" w:pos="49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increase in remaining permitted airspace capacity in fiscal year 2019 was the result of a permit received at the Waste USA Landfill and at the Hakes Landfill in our Western region. The increase in remaining permitted capacity in fiscal year 2017 was the result of a permit received at the Juniper Ridge Landfill in our Eastern region.</w:t>
      </w:r>
    </w:p>
    <w:p>
      <w:pPr>
        <w:spacing w:after="0" w:line="19" w:lineRule="exact"/>
        <w:rPr>
          <w:rFonts w:ascii="Arial" w:cs="Arial" w:eastAsia="Arial" w:hAnsi="Arial"/>
          <w:sz w:val="18"/>
          <w:szCs w:val="18"/>
          <w:i w:val="1"/>
          <w:iCs w:val="1"/>
          <w:color w:val="auto"/>
        </w:rPr>
      </w:pPr>
    </w:p>
    <w:p>
      <w:pPr>
        <w:ind w:left="500" w:right="40" w:hanging="330"/>
        <w:spacing w:after="0" w:line="264" w:lineRule="auto"/>
        <w:tabs>
          <w:tab w:leader="none" w:pos="492" w:val="left"/>
        </w:tabs>
        <w:numPr>
          <w:ilvl w:val="0"/>
          <w:numId w:val="5"/>
        </w:numPr>
        <w:rPr>
          <w:rFonts w:ascii="Arial" w:cs="Arial" w:eastAsia="Arial" w:hAnsi="Arial"/>
          <w:sz w:val="14"/>
          <w:szCs w:val="14"/>
          <w:color w:val="auto"/>
        </w:rPr>
      </w:pPr>
      <w:r>
        <w:rPr>
          <w:rFonts w:ascii="Arial" w:cs="Arial" w:eastAsia="Arial" w:hAnsi="Arial"/>
          <w:sz w:val="18"/>
          <w:szCs w:val="18"/>
          <w:color w:val="auto"/>
        </w:rPr>
        <w:t>The variation in changes in airspace capacity associated with engineering estimates are primarily the result of changes in compaction at our landfills and estimated airspace changes associated with design changes at certain of our landfills, which in fiscal year 2017 includes the impact associated with the decision to close the Town of Southbridge, Massachusetts landfill ("Southbridge Landfill").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Eastern Region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NCES Landfill. </w:t>
      </w:r>
      <w:r>
        <w:rPr>
          <w:rFonts w:ascii="Arial" w:cs="Arial" w:eastAsia="Arial" w:hAnsi="Arial"/>
          <w:sz w:val="16"/>
          <w:szCs w:val="16"/>
          <w:color w:val="auto"/>
        </w:rPr>
        <w:t>NCES Landfill is a Subtitle D landfill located in Bethlehem, New Hampshire that we purchased in 1994. NCES Landfill currently consists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50 acres of permitted or permittable landfill area, is permitted to accept municipal solid waste, C&amp;D material and certain pre-approved special waste and has no annual tonnage limitations. We have recently been informed by the New Hampshire Division of Environmental Services that it will be necessary to amend our permit application for an additional 1.2 million cubic yards of capacity at the NCES Landfill. This will likely impact the timing of our permit and our results of operations. There can be no assurance that we will receive this permit after it is refiled. In fiscal year 2017, NCES Landfill entered into an agreement for the construction of a landfill gas-to-energy plant, which will be constructed, owned and operated by a third-party once completed.</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Juniper Ridge Landfill. </w:t>
      </w:r>
      <w:r>
        <w:rPr>
          <w:rFonts w:ascii="Arial" w:cs="Arial" w:eastAsia="Arial" w:hAnsi="Arial"/>
          <w:sz w:val="16"/>
          <w:szCs w:val="16"/>
          <w:color w:val="auto"/>
        </w:rPr>
        <w:t>Juniper Ridge Landfill is a Subtitle D landfill located in West Old Town, Maine. In 2004, we completed transactions with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Maine and Georgia-Pacific Corporation (“Georgia Pacific”), pursuant to which the State of Maine took ownership of Juniper Ridge Landfill, formerly owned by Georgia Pacific, and we became the operator under a 30-year operating and services agreement between us and the State of Maine. Juniper Ridge Landfill currently consists of approximately 179 acres of permitted or permittable landfill area, which is sufficient to permit the additional airspace required for the term of the 30-year operating and services agreement, and is permitted to accept the following waste originating from the State of Maine: up to 0.1 million tons of municipal solid waste per year through March 2020, and C&amp;D material, ash from municipal solid waste incinerators and fossil fuel boilers, front end processed residuals and bypass municipal solid waste from waste-to-energy facilities and certain pre-approved special waste. Outside of the limitations on municipal solid waste, there are no annual tonnage limitations at Juniper Ridge Landfill. In fiscal year 2019, Casella entered into an agreement for the construction of a landfill gas-to-energy plant at the Juniper Ridge Landfill, which will be constructed, owned and operated by a third-party.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Western Region</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Waste USA Landfill. </w:t>
      </w:r>
      <w:r>
        <w:rPr>
          <w:rFonts w:ascii="Arial" w:cs="Arial" w:eastAsia="Arial" w:hAnsi="Arial"/>
          <w:sz w:val="16"/>
          <w:szCs w:val="16"/>
          <w:color w:val="auto"/>
        </w:rPr>
        <w:t>Waste USA Landfill is a Subtitle D landfill located in Coventry, Vermont that we purchased in 1995, and is the only operating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Subtitle D landfill in the State of Vermont. Waste USA Landfill consists of approximately 148 acres of permitted or permittable landfill area and is permitted to accept up to 0.6 million tons of municipal solid waste, C&amp;D material and certain pre-approved special waste annually. The Waste USA Landfill site houses a landfill gas-to-energy plant, which is owned and operated by a third-party, that has the capacity to generate 8.0 MW of energy.</w:t>
      </w:r>
    </w:p>
    <w:p>
      <w:pPr>
        <w:spacing w:after="0" w:line="4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Clinton County Landfill. </w:t>
      </w:r>
      <w:r>
        <w:rPr>
          <w:rFonts w:ascii="Arial" w:cs="Arial" w:eastAsia="Arial" w:hAnsi="Arial"/>
          <w:sz w:val="16"/>
          <w:szCs w:val="16"/>
          <w:color w:val="auto"/>
        </w:rPr>
        <w:t>Clinton County Landfill is a Subtitle D landfill located in Schuyler Falls, New York. Clinton County Landfill, which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approximately 197 acres of permitted or permittable landfill area portions of which are leased from Clinton County, is permitted to accept up to approximately 0.25 million tons of municipal solid waste, C&amp;D material and certain pre-approved special waste annually. The Clinton County Landfill site houses a landfill gas-to-energy facility, which is owned by us and operated by a third-party, that has the capacity to generate 6.4 MW of energy.</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Hyland Landfill. </w:t>
      </w:r>
      <w:r>
        <w:rPr>
          <w:rFonts w:ascii="Arial" w:cs="Arial" w:eastAsia="Arial" w:hAnsi="Arial"/>
          <w:sz w:val="18"/>
          <w:szCs w:val="18"/>
          <w:color w:val="auto"/>
        </w:rPr>
        <w:t>Hyland Landfill is a Subtitle D landfill located in Angelica, New York that we own, and that began accepting waste in 1998. Hyland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consists of approximately 121 acres of permitted or permittable landfill area and is permitted to accept up to 0.5 million tons of municipal solid waste, C&amp;D material and certain pre-approved special waste annually. The Hyland Landfill site houses a landfill gas-to-energy facility, which is owned by us and operated by a third-party, that has the capacity to generate 4.8 MW of energy.</w:t>
      </w:r>
    </w:p>
    <w:p>
      <w:pPr>
        <w:spacing w:after="0" w:line="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Ontario County Landfill. </w:t>
      </w:r>
      <w:r>
        <w:rPr>
          <w:rFonts w:ascii="Arial" w:cs="Arial" w:eastAsia="Arial" w:hAnsi="Arial"/>
          <w:sz w:val="16"/>
          <w:szCs w:val="16"/>
          <w:color w:val="auto"/>
        </w:rPr>
        <w:t>Ontario County Landfill is a Subtitle D landfill located in Seneca, New York. In 2003, we entered into a 25-year operation,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lease agreement for the Ontario County Landfill with the Ontario County Board of Supervisors. Ontario County Landfill currently consists of approximately 171 acres of permitted or permittable landfill area and is permitted to accept up to 0.9 million tons of municipal solid waste, C&amp;D material and certain pre-approved special waste annually and is strategically situated to accept long haul volume from both the eastern and downstate New York markets. In January 2016, we received an expansion permit at the Ontario County Landfill, which is sufficient to permit the additional airspace required for the remaining term of the 25-year operation, management and lease agreement. The Ontario County Landfill site houses a Zero-Sort MRF, which is operated by us, and a landfill gas-to-energy facility, which is owned and operated by a third-party, that has the capacity to generate 11.2 MW of energy.</w:t>
      </w:r>
    </w:p>
    <w:p>
      <w:pPr>
        <w:spacing w:after="0" w:line="59"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i w:val="1"/>
          <w:iCs w:val="1"/>
          <w:color w:val="auto"/>
        </w:rPr>
        <w:t xml:space="preserve">Hakes Landfill. </w:t>
      </w:r>
      <w:r>
        <w:rPr>
          <w:rFonts w:ascii="Arial" w:cs="Arial" w:eastAsia="Arial" w:hAnsi="Arial"/>
          <w:sz w:val="16"/>
          <w:szCs w:val="16"/>
          <w:color w:val="auto"/>
        </w:rPr>
        <w:t>Hakes Landfill is a C&amp;D landfill located in Campbell, New York that we purchased in 1998. Hakes Landfill currently consists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78 acres of permitted or permittable landfill area and is permitted to accept up to 0.5 million tons of C&amp;D material annually.</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Chemung County Landfill. </w:t>
      </w:r>
      <w:r>
        <w:rPr>
          <w:rFonts w:ascii="Arial" w:cs="Arial" w:eastAsia="Arial" w:hAnsi="Arial"/>
          <w:sz w:val="17"/>
          <w:szCs w:val="17"/>
          <w:color w:val="auto"/>
        </w:rPr>
        <w:t>Chemung County Landfill is a Subtitle D landfill located in Chemung, New York. In 2005, we entered into a 25-year operation,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and lease agreement for Chemung County Landfill and certain other facilities with Chemung County. Chemung County Landfill currently consists of approximately 113 acres of permitted or permittable landfill area strategically situated to accept long haul volume from both eastern and downstate New York markets and is permitted to accept up to 0.4 million tons of municipal solid waste and certain pre-approved special waste annually and 20.5 thousand tons of C&amp;D material annually. In fiscal year 2016, we received an expansion permit at Chemung County Landfill, which is sufficient to permit the additional airspace required for the remaining term of the 25-year operation, management and lease agreement. In fiscal year 2019, we exercised an option to extend the remaining term of the operation, management and lease agreement for five years through 2035.</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McKean Landfill. </w:t>
      </w:r>
      <w:r>
        <w:rPr>
          <w:rFonts w:ascii="Arial" w:cs="Arial" w:eastAsia="Arial" w:hAnsi="Arial"/>
          <w:sz w:val="18"/>
          <w:szCs w:val="18"/>
          <w:color w:val="auto"/>
        </w:rPr>
        <w:t>McKean landfill is a Subtitle D landfill located in Mount Jewett, Pennsylvania (“McKean Landfill”) that we purchased in 2011 as part of a</w:t>
      </w:r>
      <w:r>
        <w:rPr>
          <w:rFonts w:ascii="Arial" w:cs="Arial" w:eastAsia="Arial" w:hAnsi="Arial"/>
          <w:sz w:val="18"/>
          <w:szCs w:val="18"/>
          <w:i w:val="1"/>
          <w:iCs w:val="1"/>
          <w:color w:val="auto"/>
        </w:rPr>
        <w:t xml:space="preserve"> </w:t>
      </w:r>
      <w:r>
        <w:rPr>
          <w:rFonts w:ascii="Arial" w:cs="Arial" w:eastAsia="Arial" w:hAnsi="Arial"/>
          <w:sz w:val="18"/>
          <w:szCs w:val="18"/>
          <w:color w:val="auto"/>
        </w:rPr>
        <w:t>bankruptcy reorganization. McKean Landfill currently consists of approximately 256 acres of permitted or permittable landfill area and is permitted to accept up to approximately 0.3 million tons of municipal solid waste, C&amp;D material and certain pre-approved special waste annually. The facility permit authorizes the construction of the rail siding at the landfill which if completed, would expand the market reach for the landfill to other rail capable transfer facilities. We have not yet committed to the construction of the rail siding pending a determination of the economic viability. We believe that McKean Landfill is well situated to provide services to the oil and gas industry that explores natural gas resources in the Marcellus Shale region of Pennsylvania in the form of disposal capacity for residual materials.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Closed Landfills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fiscal year 2017, we initiated a plan to cease operations of Southbridge Landfill and decided to not proceed with expansion efforts and to close Southbridge Landfill once the remaining capacity had been exhausted, which occurred in fiscal year 2018. Closure operations, which began in November 2018 when Southbridge Landfill reached its final capacity, are ongoing.</w:t>
      </w:r>
    </w:p>
    <w:p>
      <w:pPr>
        <w:spacing w:after="0" w:line="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addition to Southbridge Landfill, we own and/or manage five unlined landfills and three lined landfills that are not currently in operation. We are closing, in the case of Southbridge Landfill, or have closed and capped all of these landfills according to applicable environmental regulatory standards.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managed operations through four operating segments, including (i) two regional operating segments, which we designate as our Eastern and Western regions, (ii) Recycling, which comprises our larger-scale recycling operations and our commodity brokerage operations and (iii) "Other", which comprises organic services, ancillary operations, along with major accounts and industrial services. Effective January 1, 2020, we reorganized our operating segments as follows: we aligned our organics services and our major account and industrial services, with our Recycling segment to form the Resource Solutions segment, thus creating a single resource renewal-focused segment. We also moved our ancillary transportation services, which were previously included in our Other segment, into our Western region. Accordingly, as of January 1, 2020, our operating segments consist of the Eastern and Western regions and Resource Solutions. See Note 20,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 our consolidated financial statements included under Item 8 of this Annual Report on Form 10-K for a summary of revenues, certain expenses, profitability, capital expenditures, goodwill, and total assets of our operating segments.</w:t>
      </w:r>
    </w:p>
    <w:p>
      <w:pPr>
        <w:spacing w:after="0" w:line="5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Within each geographic region, we organize our solid waste services around smaller areas that we refer to as “wastesheds.” A wasteshed is an area that comprises the complete cycle of activities in the solid waste services process, from collection to transfer operations and recycling to disposal in landfills, some of which may be owned and/or operated by third parties. We typically operate several divisions within each wasteshed, each of which provides a particular service, such as collection, recycling, disposal or transfer. Each division operates interdependently with the other divisions within the wasteshed. Each wasteshed generally operates autonomously from adjoining wastesheds.</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Through the six MRFs and commodity brokerage operation comprising our Recycling segment, we provide services to five anchor contracts, which have original terms ranging from five to twenty years and expire at various times through calendar year end 2028. The terms of each contract vary, but all of the contracts provide that the municipality or third-party delivers materials to our facility. These contracts may include a minimum volume guarantee by the municipality. We also have service agreements with individual towns and cities and commercial customers, including small solid waste companies and major competitors, that do not have processing capacity within a specific geographic region.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each operating segment (as of January 31, 2020 except revenue information, which is for fiscal year 2019):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Eastern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Western</w:t>
            </w: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Recycling</w:t>
            </w:r>
          </w:p>
        </w:tc>
        <w:tc>
          <w:tcPr>
            <w:tcW w:w="12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8"/>
        </w:trPr>
        <w:tc>
          <w:tcPr>
            <w:tcW w:w="622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Region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Region</w:t>
            </w:r>
          </w:p>
        </w:tc>
        <w:tc>
          <w:tcPr>
            <w:tcW w:w="13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2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2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Revenues (in millions)</w:t>
            </w:r>
          </w:p>
        </w:tc>
        <w:tc>
          <w:tcPr>
            <w:tcW w:w="1200" w:type="dxa"/>
            <w:vAlign w:val="bottom"/>
            <w:tcBorders>
              <w:bottom w:val="single" w:sz="8" w:color="BFE4FF"/>
            </w:tcBorders>
            <w:shd w:val="clear" w:color="auto" w:fill="BFE4FF"/>
          </w:tcPr>
          <w:p>
            <w:pPr>
              <w:jc w:val="center"/>
              <w:ind w:right="54"/>
              <w:spacing w:after="0"/>
              <w:rPr>
                <w:sz w:val="20"/>
                <w:szCs w:val="20"/>
                <w:color w:val="auto"/>
              </w:rPr>
            </w:pPr>
            <w:r>
              <w:rPr>
                <w:rFonts w:ascii="Arial" w:cs="Arial" w:eastAsia="Arial" w:hAnsi="Arial"/>
                <w:sz w:val="18"/>
                <w:szCs w:val="18"/>
                <w:color w:val="auto"/>
                <w:w w:val="90"/>
              </w:rPr>
              <w:t>$219.5</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54"/>
              <w:spacing w:after="0"/>
              <w:rPr>
                <w:sz w:val="20"/>
                <w:szCs w:val="20"/>
                <w:color w:val="auto"/>
              </w:rPr>
            </w:pPr>
            <w:r>
              <w:rPr>
                <w:rFonts w:ascii="Arial" w:cs="Arial" w:eastAsia="Arial" w:hAnsi="Arial"/>
                <w:sz w:val="18"/>
                <w:szCs w:val="18"/>
                <w:color w:val="auto"/>
                <w:w w:val="90"/>
              </w:rPr>
              <w:t>$343.4</w:t>
            </w:r>
          </w:p>
        </w:tc>
        <w:tc>
          <w:tcPr>
            <w:tcW w:w="10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33"/>
              <w:spacing w:after="0"/>
              <w:rPr>
                <w:sz w:val="20"/>
                <w:szCs w:val="20"/>
                <w:color w:val="auto"/>
              </w:rPr>
            </w:pPr>
            <w:r>
              <w:rPr>
                <w:rFonts w:ascii="Arial" w:cs="Arial" w:eastAsia="Arial" w:hAnsi="Arial"/>
                <w:sz w:val="18"/>
                <w:szCs w:val="18"/>
                <w:color w:val="auto"/>
                <w:w w:val="88"/>
              </w:rPr>
              <w:t>$42.8</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53"/>
              <w:spacing w:after="0"/>
              <w:rPr>
                <w:sz w:val="20"/>
                <w:szCs w:val="20"/>
                <w:color w:val="auto"/>
              </w:rPr>
            </w:pPr>
            <w:r>
              <w:rPr>
                <w:rFonts w:ascii="Arial" w:cs="Arial" w:eastAsia="Arial" w:hAnsi="Arial"/>
                <w:sz w:val="18"/>
                <w:szCs w:val="18"/>
                <w:color w:val="auto"/>
                <w:w w:val="90"/>
              </w:rPr>
              <w:t>$137.6</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Solid waste collection facilities</w:t>
            </w:r>
          </w:p>
        </w:tc>
        <w:tc>
          <w:tcPr>
            <w:tcW w:w="1200" w:type="dxa"/>
            <w:vAlign w:val="bottom"/>
            <w:tcBorders>
              <w:bottom w:val="single" w:sz="8" w:color="BFE4FF"/>
            </w:tcBorders>
            <w:shd w:val="clear" w:color="auto" w:fill="BFE4FF"/>
          </w:tcPr>
          <w:p>
            <w:pPr>
              <w:jc w:val="center"/>
              <w:ind w:right="54"/>
              <w:spacing w:after="0"/>
              <w:rPr>
                <w:sz w:val="20"/>
                <w:szCs w:val="20"/>
                <w:color w:val="auto"/>
              </w:rPr>
            </w:pPr>
            <w:r>
              <w:rPr>
                <w:rFonts w:ascii="Arial" w:cs="Arial" w:eastAsia="Arial" w:hAnsi="Arial"/>
                <w:sz w:val="18"/>
                <w:szCs w:val="18"/>
                <w:color w:val="auto"/>
                <w:w w:val="89"/>
              </w:rPr>
              <w:t>17</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54"/>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center"/>
              <w:ind w:right="2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center"/>
              <w:ind w:right="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220" w:type="dxa"/>
            <w:vAlign w:val="bottom"/>
          </w:tcPr>
          <w:p>
            <w:pPr>
              <w:ind w:left="120"/>
              <w:spacing w:after="0"/>
              <w:rPr>
                <w:sz w:val="20"/>
                <w:szCs w:val="20"/>
                <w:color w:val="auto"/>
              </w:rPr>
            </w:pPr>
            <w:r>
              <w:rPr>
                <w:rFonts w:ascii="Arial" w:cs="Arial" w:eastAsia="Arial" w:hAnsi="Arial"/>
                <w:sz w:val="18"/>
                <w:szCs w:val="18"/>
                <w:color w:val="auto"/>
              </w:rPr>
              <w:t>Transfer stations</w:t>
            </w:r>
          </w:p>
        </w:tc>
        <w:tc>
          <w:tcPr>
            <w:tcW w:w="1200" w:type="dxa"/>
            <w:vAlign w:val="bottom"/>
          </w:tcPr>
          <w:p>
            <w:pPr>
              <w:jc w:val="center"/>
              <w:ind w:right="54"/>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21"/>
                <w:szCs w:val="21"/>
                <w:color w:val="auto"/>
              </w:rPr>
            </w:pPr>
          </w:p>
        </w:tc>
        <w:tc>
          <w:tcPr>
            <w:tcW w:w="1200" w:type="dxa"/>
            <w:vAlign w:val="bottom"/>
          </w:tcPr>
          <w:p>
            <w:pPr>
              <w:jc w:val="center"/>
              <w:ind w:right="54"/>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Recycling facilities</w:t>
            </w:r>
          </w:p>
        </w:tc>
        <w:tc>
          <w:tcPr>
            <w:tcW w:w="1200" w:type="dxa"/>
            <w:vAlign w:val="bottom"/>
            <w:tcBorders>
              <w:bottom w:val="single" w:sz="8" w:color="BFE4FF"/>
            </w:tcBorders>
            <w:shd w:val="clear" w:color="auto" w:fill="BFE4FF"/>
          </w:tcPr>
          <w:p>
            <w:pPr>
              <w:jc w:val="center"/>
              <w:ind w:right="54"/>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74"/>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53"/>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center"/>
              <w:ind w:right="73"/>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6220" w:type="dxa"/>
            <w:vAlign w:val="bottom"/>
          </w:tcPr>
          <w:p>
            <w:pPr>
              <w:ind w:left="120"/>
              <w:spacing w:after="0"/>
              <w:rPr>
                <w:sz w:val="20"/>
                <w:szCs w:val="20"/>
                <w:color w:val="auto"/>
              </w:rPr>
            </w:pPr>
            <w:r>
              <w:rPr>
                <w:rFonts w:ascii="Arial" w:cs="Arial" w:eastAsia="Arial" w:hAnsi="Arial"/>
                <w:sz w:val="18"/>
                <w:szCs w:val="18"/>
                <w:color w:val="auto"/>
              </w:rPr>
              <w:t>Subtitle D landfills</w:t>
            </w:r>
          </w:p>
        </w:tc>
        <w:tc>
          <w:tcPr>
            <w:tcW w:w="1200" w:type="dxa"/>
            <w:vAlign w:val="bottom"/>
          </w:tcPr>
          <w:p>
            <w:pPr>
              <w:jc w:val="center"/>
              <w:ind w:right="54"/>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200" w:type="dxa"/>
            <w:vAlign w:val="bottom"/>
          </w:tcPr>
          <w:p>
            <w:pPr>
              <w:jc w:val="center"/>
              <w:ind w:right="74"/>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21"/>
                <w:szCs w:val="21"/>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20" w:type="dxa"/>
            <w:vAlign w:val="bottom"/>
            <w:shd w:val="clear" w:color="auto" w:fill="BFE4FF"/>
          </w:tcPr>
          <w:p>
            <w:pPr>
              <w:ind w:left="120"/>
              <w:spacing w:after="0"/>
              <w:rPr>
                <w:sz w:val="20"/>
                <w:szCs w:val="20"/>
                <w:color w:val="auto"/>
              </w:rPr>
            </w:pPr>
            <w:r>
              <w:rPr>
                <w:rFonts w:ascii="Arial" w:cs="Arial" w:eastAsia="Arial" w:hAnsi="Arial"/>
                <w:sz w:val="18"/>
                <w:szCs w:val="18"/>
                <w:color w:val="auto"/>
              </w:rPr>
              <w:t>C&amp;D landfills</w:t>
            </w:r>
          </w:p>
        </w:tc>
        <w:tc>
          <w:tcPr>
            <w:tcW w:w="1320" w:type="dxa"/>
            <w:vAlign w:val="bottom"/>
            <w:gridSpan w:val="2"/>
            <w:shd w:val="clear" w:color="auto" w:fill="BFE4FF"/>
          </w:tcPr>
          <w:p>
            <w:pPr>
              <w:jc w:val="center"/>
              <w:ind w:right="2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BFE4FF"/>
          </w:tcPr>
          <w:p>
            <w:pPr>
              <w:jc w:val="center"/>
              <w:ind w:right="74"/>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BFE4FF"/>
          </w:tcPr>
          <w:p>
            <w:pPr>
              <w:spacing w:after="0"/>
              <w:rPr>
                <w:sz w:val="21"/>
                <w:szCs w:val="21"/>
                <w:color w:val="auto"/>
              </w:rPr>
            </w:pPr>
          </w:p>
        </w:tc>
        <w:tc>
          <w:tcPr>
            <w:tcW w:w="1320" w:type="dxa"/>
            <w:vAlign w:val="bottom"/>
            <w:gridSpan w:val="2"/>
            <w:shd w:val="clear" w:color="auto" w:fill="BFE4FF"/>
          </w:tcPr>
          <w:p>
            <w:pPr>
              <w:jc w:val="center"/>
              <w:ind w:right="2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BFE4FF"/>
          </w:tcPr>
          <w:p>
            <w:pPr>
              <w:jc w:val="center"/>
              <w:ind w:right="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22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our consolidated financial statements included under Item 8 of this Annual Report on Form 10-K for our financial results for fiscal years 2019, 2018 and 2017, and our financial position as of December 31, 2019 and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Eastern region consists of wastesheds located in Maine, northern, central and southeastern New Hampshire and central and eastern Massachusetts. Our Eastern region is vertically integrated, with transfer, landfill, processing and recycling assets serviced by our collection operations.</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entered the Maine market in 1996 and have grown organically and through acquisitions. We currently operate the Juniper Ridge Landfill under a 30-year agreement with the State of Maine.</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entered the southern New Hampshire market in 1999 and the eastern Massachusetts market in 2000 and since have grown organically and through acquisitions. In this market, we rely to a large extent on third-party disposal capacity, but our landfills and other assets have provided additional opportunities to internalize volumes. In fiscal year 2018, we acquired Complete Disposal Company, Inc. and its subsidiary United Material Management of Holyoke, Inc. (collectively, "Complete"). Complete provides residential and roll-off collection services, and operates a C&amp;D processing facility and a solid waste transfer station with both truck and rail transfer capabilities. In fiscal year 2017, we initiated the plan to cease operations of our Southbridge Landfill and decided to not proceed with expansion efforts and to close the Southbridge Landfill once the remaining capacity had been exhausted, which occurred in fiscal year 2018. Closure operations at the Southbridge Landfill began in November 2018.</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Western region includes wastesheds located in Vermont, southwestern New Hampshire, eastern, western and upstate New York and in Pennsylvania around McKean Landfill. The portion of eastern New York served by our Western region includes Clinton (operation of Clinton County), Franklin, Essex, Warren, Washington, Saratoga, Rennselaer, and Albany counties.</w:t>
      </w:r>
    </w:p>
    <w:p>
      <w:pPr>
        <w:spacing w:after="0" w:line="7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Western region also consists of wastesheds in western New York, which includes Ithaca, Elmira, Oneonta, Lowville, Potsdam, Geneva, Auburn, Rochester, Dunkirk, Jamestown and Olean markets. We began entering into these wastesheds in 1997 and have expanded primarily through tuck-in acquisitions and organic growth. Our Western region collection operations include leadership positions in nearly every rural market outside of the larger metropolitan markets such as Syracuse and Buffalo.</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remain focused on increasing our vertical integration in our Western region through extension of our reach into new markets and managing new materials.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maximizing these logistics through the use of rail, if implemented, long haul trucks and trailer tippers at our facilities will increase our reach.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Recycling segment is one of the largest processors and marketers of recycled materials in the northeastern United States, comprised of six MRFs that process and market recyclable materials that municipalities and commercial customers deliver under long-term contracts. Two of the six MRFs are leased, three are owned, and one is operated by us under a contract with municipal third-party. In fiscal year 2019, our Recycling segment processed and/or marketed over 0.7 million tons of recyclable materials including tons marketed through our commodity brokerage division and our baling facilities located throughout our footprint. Recycling’s facilities are located in Vermont, New York, Maine, and Massachusetts.</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substantial portion of the material provided to Recycling is delivered pursuant to five anchor contracts. The anchor contracts have an original term of five to twenty years and expire at various times through 2028. The terms of the recycling contracts vary, but all of the contracts provide that the municipality or a third-party delivers the recycled materials to our facility. Under the recycling contracts, we charge the municipality a fee for each ton of material delivered to us. Some contracts contain revenue sharing arrangements under which the municipality receives a specified percentage of our revenues from the sale of the recovered materials if certain economic thresholds are met.</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Recycling segment has historically derived a significant portion of its revenues from the sale of recyclable materials, particularly newspaper, corrugated containers, plastics, ferrous and aluminum. The pricing for these materials can fluctuate based upon market conditions. However, we have actively worked to reduce our risk exposure to commodity pricing volatility over the last four years through our efforts to shift customers to a processing fee model and other risk management programs. In fiscal year 2019, we generated 36.8% of Recycling segment revenues from commodity sales as compared to 77.6% in the fiscal year ended December 31, 2015.</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effectively manage commodity pricing volatility through our long-term revenue sharing (or processing fee) contracts with customers. Under such contracts, we obtain a guaranteed minimum price for recyclable materials through the receipt of a tipping or processing fee when commodity prices fall below agreed upon thresholds. Conversely, when prices for recyclable materials rise above agreed upon thresholds, we provide the counterparty with a portion of the related revenues above such threshold. Also, we mitigate the impact from commodity price fluctuations through the use of a floating SRA fee charged to collection customers to offtake recycling commodity risk. Further, we work to manage commodity pricing risk through commodity sales contracts with large domestic companies that use the recyclable materials in their manufacturing process, such as paper, packaging and consumer goods companies.</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times, we also hedge against fluctuations in the commodity prices of recycled paper and corrugated containers in order to mitigate the variability in cash flows and earnings generated from the sales of recycled materials at floating prices. As of December 31, 2019, no such commodity hedges were in place. The global recycling market has experienced negative commodity pricing pressure resulting from China's National Sword program in 2017. Markets continued to decline in 2019, leveling off at historical lows compared to prior years. We expect markets to remain depressed into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Other segment derives a significant portion of its revenues from our Customer Solutions and Organics businesses. Our resource solutions strategy seeks to leverage our core competencies in materials processing, industrial recycling, clean energy, and organics service offerings in order to generate additional value from the waste stream for our customers. Our Customer Solutions business works with larger scale organizations (including multi-location customers, colleges and universities, municipalities, and industrial customers) to develop customized solid waste solutions. The focus of this business is to help these large-scale organizations achieve their economic and environmental objectives related to waste and residual management. We differentiate our services from our competitors by providing customized and comprehensive resource solutions, which enables us to win new business, including traditional solid waste collection and disposal customers.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Organics business has been working to develop and/or partner with firms that have developed innovative approaches to deriving incremental value from the organic portion of the waste stream. Through our earthlife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soils products, we offer a wide array of organic fertilizers, composts, and mulches that help our customers recycle organic waste streams. We also have ownership interests in AGreen Energy, LLC and BGreen Energy, LLC, which we account for as cost method investments, that partner with other capital investors to build farm-based anaerobic digesters in the northeastern United States to generate electricity from farm and food waste streams.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solid waste services industry is highly competitive. We compete for collection and disposal volume primarily on the basis of the quality, breadth and price of our services. From time to time, competitors may reduce the price of their services in an effort to expand market share or to win a competitively bid municipal contract. These practices may also lead to reduced pricing for our services or the loss of business. In addition, competition exists within the industry for potential acquisition candidates.</w:t>
      </w:r>
    </w:p>
    <w:p>
      <w:pPr>
        <w:spacing w:after="0" w:line="7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Our business strategy generally focuses on operating in secondary or tertiary markets where we have a leading market share. However, in the larger urban markets where we operate, we typically compete against one or more of the large national solid waste companies, including Waste Management, Inc., Republic Services, Inc. and Waste Connections, Inc., any of which may be able to achieve greater economies of scale than we can. We also compete with a number of regional and local companies that offer competitive prices and quality service. In addition, we compete with operators of alternative disposal facilities, including incinerators; with certain municipalities, counties and districts that operate their own solid waste collection and disposal facilities; and with rail-serviced transfer stations that use rail transport to move waste to disposal sites outside of northeastern markets. Public sector facilities may have certain advantages over us due to the availability of user fees, charges or tax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fully integrated sales and marketing strategies with a primary focus on acquiring and retaining commercial, industrial, municipal and residential customers. Our business strategy focuses on creating a highly differentiated sustainable resource management model that meets customers’ unique needs and provides value “beyond the curb”.</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Maintenance of a local presence and identity is an important aspect of our sales and marketing strategy, and many of our divisional managers are involved in local governmental, civic and business organizations. Our name and logo, or, where appropriate, that of our divisional operations, are displayed on all of our containers and trucks. We attend and make presentations at municipal and state meetings, and we advertise in a variety of media throughout our service footprint.</w:t>
      </w:r>
    </w:p>
    <w:p>
      <w:pPr>
        <w:spacing w:after="0" w:line="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Customer Solutions business serves customers with multiple locations and is focused on growing our share of business with municipal, institutional, commercial and industrial customers. This group provides customers with a broader set of solutions to augment our regional and divisional service capabilities.</w:t>
      </w:r>
    </w:p>
    <w:p>
      <w:pPr>
        <w:spacing w:after="0" w:line="7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Marketing activities are focused on retaining existing customers and attracting new commercial and residential customers directly on-route in order to enhance profitability. Marketing campaigns are integrated with divisional management teams, sales personnel and the centralized customer care center.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January 31, 2020, we employed approximately 2,500 employees, including approximately 500 professionals or managers, sales, clerical, information systems or other administrative employees and approximately 2,000 employees involved in collection, transfer, disposal, recycling or other operations. Approximately 150 of our employees are covered by collective bargaining agreements. We believe relations with our employees are strong.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Insurance and Performance or Surety Bonds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actively maintain environmental and other risk management programs that we believe are appropriate for our business. Our environmental risk management program includes evaluating existing facilities, as well as potential acquisitions, for compliance with environmental law requirements. Operating practices at all of our operations are intended to reduce the possibility of environmental contamination, enforcement actions and litigation. We also maintain a worker safety program, which focuses on safe practices in the workplace.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carry a range of insurance intended to protect our assets and operations, including a commercial general liability policy and a property damage policy. A partially or completely uninsured claim against us (including liabilities associated with cleanup or remediation at our facilities), if successful and of sufficient magnitude, could have a material adverse effect on our business, financial condition and results of operations. Due primarily to market factors beyond our control, the insurance market is increasingly restrictive, prohibiting our ability to obtain adequate coverage at reasonable prices, if at all. Any future difficulty in obtaining insurance could also impair our ability to secure future contracts, which may be conditioned upon the availability of adequate insurance coverage. See the risk factor titled “</w:t>
      </w:r>
      <w:r>
        <w:rPr>
          <w:rFonts w:ascii="Arial" w:cs="Arial" w:eastAsia="Arial" w:hAnsi="Arial"/>
          <w:sz w:val="17"/>
          <w:szCs w:val="17"/>
          <w:i w:val="1"/>
          <w:iCs w:val="1"/>
          <w:color w:val="auto"/>
        </w:rPr>
        <w:t>Our insurance coverage and self-insurance reserves may be inadequate to cover all significant risk exposures</w:t>
      </w:r>
      <w:r>
        <w:rPr>
          <w:rFonts w:ascii="Arial" w:cs="Arial" w:eastAsia="Arial" w:hAnsi="Arial"/>
          <w:sz w:val="17"/>
          <w:szCs w:val="17"/>
          <w:color w:val="auto"/>
        </w:rPr>
        <w:t>” in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10-K.</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also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self-insure for automobile and workers’ compensation coverage with reinsurance coverage limiting our maximum exposure. Our maximum exposure in fiscal year 2019 under the workers’ compensation plan was $1.25 million per individual event. Our maximum exposure in fiscal year 2019 under the automobile plan was $1.2 million per individual event. Effective, January 1, 2020, our maximum exposure under the automobile plan was increased to $1.65 million per individual event.</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Municipal solid waste collection contracts and landfill closure and post-closure obligations may require performance or surety bonds, letters of credit or other means of financial assurance to secure contractual performance. While we have not experienced difficulty in obtaining these financial instruments, if we are unable to obtain these financial instruments in sufficient amounts or at acceptable rates we could be precluded from entering into additional municipal contracts or obtaining or retaining landfill operating permits.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hold a 19.9% ownership interest in Evergreen National Indemnity Company (“Evergreen”), a surety company which provides surety bonds to secure our contractual obligations for certain municipal solid waste collection contracts and landfill closure and post-closure obligations. Our ownership interest in Evergreen is pledged to Evergreen as security for our obligations under the bonds they provide on our behalf.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our collection services to commercial, institutional, industrial and residential customers. A majority of our commercial and industrial collection services are performed under one-to-five year service agreements, and fees are determined by such factors as: professional or management services required; collection frequency; type of equipment and containers furnished; the type, volume and weight of the solid waste, recyclables or organics collected; the distance to the disposal or processing facility; and the cost of disposal or processing. Our residential collection and disposal services are performed either on a subscription basis (with no underlying contract) with individuals, or through contracts with municipalities, homeowners' associations, apartment owners or mobile home park operators.</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Recycling segment provides recycling services to municipalities, commercial haulers and commercial waste generators within the geographic proximity of the processing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8"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63" w:lineRule="exact"/>
        <w:rPr>
          <w:rFonts w:ascii="Arial" w:cs="Arial" w:eastAsia="Arial" w:hAnsi="Arial"/>
          <w:sz w:val="18"/>
          <w:szCs w:val="18"/>
          <w:color w:val="auto"/>
        </w:rPr>
      </w:pPr>
    </w:p>
    <w:p>
      <w:pPr>
        <w:ind w:left="500" w:right="120" w:hanging="330"/>
        <w:spacing w:after="0" w:line="277"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Our Recycling segment experiences increased volumes of fiber in November and December due to increased retail activity during the holiday season.</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subject to extensive federal, state and local environmental laws and regulations. The environmental regulations affecting us are administered by the United States Environmental Protection Agency (“EPA”) and other federal, state and local environmental, zoning, health and safety agencies. Failure to comply with such requirements could result in substantial costs, including civil and criminal fines and penalties. Except as described in this Annual Report on Form 10-K, we believe that we are currently in substantial compliance with applicable federal, state and local environmental laws, permits, orders and regulations. Other than as disclosed herein, we do not currently anticipate any material costs to bring our existing operations into environmental compliance, although there can be no assurance in this regard for the future. We expect that our operations in the solid waste services industry will be subject to continued and increased regulation, legislation and enforcement oversight. We attempt to anticipate future legal and regulatory requirements and to keep our operations in compliance with those requirements.</w:t>
      </w:r>
    </w:p>
    <w:p>
      <w:pPr>
        <w:spacing w:after="0" w:line="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order to transport, process, or dispose of solid waste, it is necessary for us to possess and comply with one or more permits from federal, state and/or local agencies. We must renew these permits periodically, and the permits may be modified or revoked by the issuing agency under certain circumstances.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federal statutes and regulations applicable to our operations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Resource Conservation and Recovery Act of 1976, as amended (“RCRA”)</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RCRA regulates the generation, treatment, storage, handling, transportation and disposal of solid waste and requires states to develop programs to ensure the safe disposal of solid waste. The RCRA divides waste into two categories, hazardous and non-hazardous. Wastes are generally classified as hazardous if they either (a) are specifically included on a list of hazardous wastes, or (b) exhibit certain characteristics defined as hazardous and are not specifically designated as non-hazardous. Wastes classified as hazardous waste are subject to more extensive regulation than wastes classified as non-hazardous, and businesses that deal with hazardous waste are subject to regulatory obligations in addition to those imposed on businesses that deal with non-hazardous waste.</w:t>
      </w:r>
    </w:p>
    <w:p>
      <w:pPr>
        <w:spacing w:after="0" w:line="5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Among the wastes that are specifically designated as non-hazardous are household waste and “special” waste, including items such as petroleum contaminated soils, asbestos, foundry sand, shredder fluff and most non-hazardous industrial waste products.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EPA regulations issued under Subtitle C of the RCRA impose a comprehensive “cradle to grave” system for tracking the generation, transportation, treatment, storage and disposal of hazardous wastes. Subtitle C regulations impose obligations on generators, transporters and disposers of hazardous wastes, and require permits that are costly to obtain and maintain for sites where those businesses treat, store or dispose of such material. Subtitle C requirements include detailed operating, inspection, training and emergency preparedness and response standards, as well as requirements for manifesting, record keeping and reporting, corrective action, facility closure, post-closure and financial responsibility. Most states have promulgated regulations modeled on some or all of the Subtitle C provisions issued by the EPA, and in many instances the EPA has delegated to those states the principal role in regulating businesses which are subject to those requirements. Some state regulations impose obligations different from and in addition to those the EPA imposes under Subtitle 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Leachate generated at our landfills and transfer stations is tested on a regular basis, and generally is not regulated as a hazardous waste under federal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there is no guarantee that leachate generated from our facilities in the future will not be classified as hazardous waste.</w:t>
      </w:r>
    </w:p>
    <w:p>
      <w:pPr>
        <w:spacing w:after="0" w:line="10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October 1991, the EPA adopted the Subtitle D regulations under RCRA governing solid waste landfills. The Subtitle D regulations, which generally became effective in October 1993, include siting restrictions, facility design standards, operating criteria, closure and post-closure requirements, financial assurance requirements, groundwater monitoring requirements, groundwater remediation standards and corrective action requirements. In addition, the Subtitle D regulations require that new landfill sites meet more stringent liner design criteria (typically, composite soil and synthetic liners or two or more synthetic liners) intended to keep leachate out of groundwater and have extensive collection systems to carry away leachate for treatment prior to disposal. Regulations generally require us to install groundwater monitoring wells at virtually all landfills we operate, to monitor groundwater quality and, indirectly, the effectiveness of the leachate collection systems. The Subtitle D regulations also require facility owners or operators to control emissions of landfill gas (including methane) generated at landfills exceeding certain regulatory thresholds. State landfill regulations must meet those requirements or the EPA will impose such requirements upon landfill owners and operators in that state.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Federal Water Pollution Control Act of 1972, as amended (“Clean Water Act”)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Clean Water Act regulates the discharge of pollutants into the “waters of the United States” from a variety of sources, including solid waste disposal sites and transfer stations, processing facilities and waste-to-energy facilities (collectively, “solid waste management facilities”). If run-off or treated leachate from our solid waste management facilities is discharged into streams, rivers or other surface waters, the Clean Water Act would require us to apply for and obtain a discharge permit, conduct sampling and monitoring and, under certain circumstances, reduce the quantity of pollutants in such discharge. A permit also may be required if that run-off or leachate is discharged to an offsite treatment facility. The U.S. Supreme Court is currently considering whether discharges to groundwater also require permits under the Clean Water Act. </w:t>
      </w:r>
      <w:r>
        <w:rPr>
          <w:rFonts w:ascii="Arial" w:cs="Arial" w:eastAsia="Arial" w:hAnsi="Arial"/>
          <w:sz w:val="16"/>
          <w:szCs w:val="16"/>
          <w:i w:val="1"/>
          <w:iCs w:val="1"/>
          <w:color w:val="auto"/>
        </w:rPr>
        <w:t>County of Maui, Hawaii v. Hawaii Wildlife Fund</w:t>
      </w:r>
      <w:r>
        <w:rPr>
          <w:rFonts w:ascii="Arial" w:cs="Arial" w:eastAsia="Arial" w:hAnsi="Arial"/>
          <w:sz w:val="16"/>
          <w:szCs w:val="16"/>
          <w:color w:val="auto"/>
        </w:rPr>
        <w:t>, Docket No. 18-260. Almost all solid waste management facilities must comply with the EPA’s storm water regulations, which govern the discharge of regulated storm water to surface waters.</w:t>
      </w:r>
    </w:p>
    <w:p>
      <w:pPr>
        <w:spacing w:after="0" w:line="5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Under federal regulation, facilities that have above ground and/or below ground petroleum storage capacities over certain thresholds may be subject to regulations and/or permitting under the Clean Water Act. Many of our facilities have petroleum storage and are required to have a spill, prevention, control and countermeasures (“SPCC”) plan to prevent petroleum release to waters of the U.S. due to a spill, rupture or leak.</w:t>
      </w:r>
    </w:p>
    <w:p>
      <w:pPr>
        <w:spacing w:after="0" w:line="5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Several states in which we operate have been delegated the authority to implement the Clean Water Act requirements and in some cases the regulations are more stringent than the federal regulations. We believe we are in compliance with the Clean Water Act regulations; however future changes to the law or regulations could have a material impact on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Comprehensive Environmental Response, Compensation, and Liability Act of 1980, as amended (“CERCLA”)</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CERCLA established a regulatory and remedial program intended to provide for the investigation and remediation of facilities where, or from which, a release of any hazardous substance into the environment has occurred or is threatened. CERCLA has been interpreted to impose retroactive, strict, and under certain circumstances, joint and severable, liability for the costs to investigate and clean up facilities on current owners and operators of the site, former owners and operators of the site at the time of the disposal of the hazardous substances, as well as the generators and certain transporters of the hazardous substances. CERCLA imposes liability for the costs of evaluating and addressing damage to natural resources. The costs of CERCLA investigation and cleanup can be substantial. Liability under CERCLA does not depend upon the existence or disposal of “hazardous waste” as defined by RCRA, but can be based on the presence of any of more than 700 “hazardous substances” listed by the EPA, many of which can be found in household waste. The definition of “hazardous substances” in CERCLA incorporates substances designated as hazardous or toxic under the Federal Clean Water Act, Clean Air Act and Toxic Substances Control Act ("TSCA"). If we were found to be a responsible party for a CERCLA cleanup, under certain circumstances, the enforcing agency could pursue us or any other responsible party, for all investigative and remedial costs, even if others also were liable. CERCLA also authorizes the EPA to impose a lien in favor of the United States upon all real property subject to, or affected by, a remedial action for all costs for which the property owner is liable. CERCLA provides a responsible party with the right to bring a contribution action against other responsible parties for their allocable share of investigative and remedial costs. Our ability to obtain reimbursement for amounts we pay in excess of our allocable share of such costs would be limited by our ability to identify and locate other responsible parties and to prove the extent of their responsibility and by the financial resources of such other parties.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Clean Air Act of 1970, as amended (“Clean Air Act”)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Clean Air Act, generally through state implementation of federal requirements, regulates emissions of air pollutants from certain landfills based upon the date the landfill was constructed, the total capacity of the landfill and the annual volume of emissions. The EPA has promulgated new source performance standards regulating air emissions of certain regulated pollutants (non-methane organic compounds) from municipal solid waste landfills. Landfills located in areas where ambient levels of regulated pollutants exceed certain thresholds may be subject to more extensive air pollution controls and emission limitations. In addition, the EPA has issued standards regulating the disposal of asbestos-containing materials under the Clean Air Act.</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EPA is also focusing on the emissions of greenhouse gases, or GHG, including carbon dioxide and methane. In December 2009, the EPA issued its “endangerment finding” that carbon dioxide poses a threat to human health and welfare, providing the basis for the EPA to regulate GHG emissions. In December 2009 the EPA’s “Mandatory Reporting of Greenhouse Gases” rule went into effect, requiring facilities that emit twenty-five thousand metric tons or more per year of GHG emissions to submit annual reports to the EPA.</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2010, the EPA issued the so-called “GHG Tailoring Rule”, which described how certain sources that emit GHG would be subject to heightened Clean Air Act Prevention of Significant Deterioration ("PSD") / Title V regulation. In June 2014, the U.S. Supreme Court issued a decision partially invalidating the GHG Tailoring Rule and in 2015, the D.C. Circuit directed the EPA to consider further revisions to its regulations. We do not know whether or when the EPA will finalize regulations following the Supreme Court and D.C. Circuit decisions, or what obligations such regulations will impose on our operations.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adoption of other laws and regulations, which may include the imposition of fees or taxes, could adversely affect our collection and disposal operations. Additionally, certain of the states in which we operate are implementing air pollution control regulations, including regional cap and trade systems, relating to GHG that may be more stringent than regulations the EPA may promulgate. Changing environmental regulations could require us to take any number of actions, including purchasing emission allowances or installing additional pollution control technology, and could make some operations less profitable, which could adversely affect our results of operations.</w:t>
      </w:r>
    </w:p>
    <w:p>
      <w:pPr>
        <w:spacing w:after="0" w:line="8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Congress has considered various options, including a cap and trade system, which could impose a limit on and establish a pricing mechanism for GHG emissions and emission allowances. There also is pressure for the United States to join international efforts to control GHG emissions.</w:t>
      </w:r>
    </w:p>
    <w:p>
      <w:pPr>
        <w:spacing w:after="0" w:line="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Clean Air Act regulates emissions of air pollutants from our processing facilities. The EPA has enacted standards that apply to those emissions. It is possible that the EPA, or a state where we operate, will enact additional or different emission standards in the future.</w:t>
      </w:r>
    </w:p>
    <w:p>
      <w:pPr>
        <w:spacing w:after="0" w:line="6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All of the federal statutes described above authorize lawsuits by private citizens to enforce certain provisions of the statutes. In addition to a penalty award to the United States, some of those statutes authorize an award of attorney’s fees to private parties successfully advancing such an action.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Occupational Safety and Health Act of 1970, as amended (“OSHA”)</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OSHA establishes employer responsibilities and authorizes the Occupational Safety and Health Administration to promulgate and enforce occupational health and safety standards, including the obligation to maintain a workplace free of recognized hazards likely to cause death or serious injury, to comply with adopted worker protection standards, to maintain certain records, to provide workers with required disclosures and to implement certain health and safety training programs. A variety of those promulgated standards may apply to our operations, including those standards concerning notices of hazards, safety in excavation and demolition work, the handling of asbestos and asbestos-containing materials, and worker training and emergency response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Utility Regulatory Policies Act of 1978, As Amended (“PURPA”)</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PURPA exempts qualifying facilities from most federal and state laws governing the financial organization and rate regulation of electric utilities, and generally requires electric utilities to purchase electricity generated by qualifying facilities at a price equal to the utility’s full “avoided cost”. Our five landfill gas-to-energy facilities are self- certified as “qualifying facilities”.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Regulations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Each state in which we now operate or may operate in the future has laws and regulations governing (1) water and air pollution, and the generation, storage, treatment, handling, processing, transportation, incineration and disposal of solid waste and hazardous waste; (2) in most cases, the siting, design, operation, maintenance, closure and post-closure maintenance of solid waste management facilities; and (3) in some cases, vehicle emissions limits or fuel types, which impact our collection operations. Such standards typically are as stringent as, and may be more stringent and broader in scope than, federal regulations. Most of the federal statutes noted above authorize states to enact and enforce laws with standards that are more protective of the environment than the federal analog. In addition, many states have adopted statutes comparable to, and in some cases more stringent than, CERCLA. Those statutes impose requirements for investigation and remediation of contaminated sites and liability for costs and damages associated with such sites, and some authorize the state to impose liens to secure costs expended addressing contamination on property owned by responsible parties. Some of those liens may take priority over previously filed instruments. Some states have enacted statutes that impose liability for substances in addition to the “hazardous substances” listed by EPA under CERCLA.</w:t>
      </w:r>
    </w:p>
    <w:p>
      <w:pPr>
        <w:spacing w:after="0" w:line="5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Many municipalities in which we currently operate or may operate in the future also have ordinances, laws and regulations affecting our operations. These include zoning and health measures that limit solid waste management activities to specified sites or conduct, flow control provisions that direct the delivery of solid wastes to specific facilities or to facilities in specific areas, laws that grant the right to establish franchises for collection services and then put out for bid the right to provide collection services, and bans or other restrictions on the movement of solid wastes into a municipality.</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Some states have enacted laws that allow agencies with jurisdiction over waste management facilities to deny or revoke permits based on the applicant’s or permit holder’s compliance status. Some states also consider the compliance history of the corporate parent, subsidiaries and affiliates of the applicant or permit holder.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Certain permits and approvals issued under state or local law may limit the types of waste that may be accepted at a solid waste management facility or the quantity of waste that may be accepted at a solid waste management facility during a specific time period. In addition, certain permits and approvals, as well as certain state and local regulations, may limit a solid waste management facility to accepting waste that originates from specified geographic areas or seek to restrict the importation of out-of-state waste or otherwise discriminate against out-of-state waste. Generally, restrictions on importing out-of-state waste have not withstood judicial challenge. However, from time to time federal legislation is proposed which would allow individual states to prohibit the disposal of out-of-state waste or to limit the amount of out-of-state waste that could be imported for disposal and would require states, under certain circumstances, to reduce the amounts of waste exported to other states. Although such legislation has not been passed by Congress, if similar legislation is enacted, states in which we operate solid waste management facilities could limit or prohibit the importation of out-of-state waste. Such actions could materially and adversely affect the business, financial condition and results of operations of any of our landfills within those states that receive a significant portion of waste originating from out-of-state.</w:t>
      </w:r>
    </w:p>
    <w:p>
      <w:pPr>
        <w:spacing w:after="0" w:line="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Certain states and localities may restrict the export of waste from their jurisdiction, or require that a specified amount of waste be disposed of at facilities within their jurisdiction. In 1994, the U.S. Supreme Court rejected as unconstitutional and therefore invalid, a local ordinance that sought to limit waste going out of the locality by imposing a requirement that the waste be delivered to a particular privately-owned facility. However, in 2007, the U.S. Supreme Court upheld a U.S. District Court ruling that the flow control regulations in Oneida and Herkimer counties in New York requiring trash haulers to use publicly-owned transfer stations are constitutional, and therefore valid. Additionally, certain state and local jurisdictions continue to seek to enforce such restrictions. Some proposed federal legislation would allow states and localities to impose flow restrictions. Those restrictions could reduce the volume of waste going to solid waste management facilities in certain areas, which may materially adversely affect our ability to operate our facilities and/or affect the prices we can charge for certain services. Those restrictions also may result in higher disposal costs for our collection operations. Flow control restrictions could have a material adverse effect on our business, financial condition and results of operations.</w:t>
      </w:r>
    </w:p>
    <w:p>
      <w:pPr>
        <w:spacing w:after="0" w:line="7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There has been an increasing trend at the state and local levels to mandate or encourage both waste reduction at the source and waste recycling, and to prohibit or restrict the disposal in landfills of certain types of solid wastes, including yard wastes and leaves, certain construction or architectural wastes, food wastes, beverage containers, newspapers, household appliances and electronics such as computers, and batteries. Regulations reducing the volume and types of wastes available for transport to and disposal in landfills could affect our ability to operate our landfill facilities. Vermont, for example, enacted Act 148, containing among other things, a phased waste ban for recyclables, organics and leaf/yard waste. The law became effective July 1, 2012, with phased deadlines for compliance beginning 2014 through 2020. Vermont also passed a law requiring recycling of architectural waste from construction or demolition of a commercial project. The law became effective in January 2015.</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Massachusetts revised its regulations governing solid waste management with a framework to encourage the re-use of organic waste material and prohibiting such material from disposal for large-scale commercial generators by October 2014.</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New York State revised its regulations governing solid waste management, 6 NYCRR Part 360, effective in November 2017. The revised regulations, among other things, include requirements to conduct landfill liner integrity testing and install radiation detectors at certain facilities.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there is no federal law governing extended producer responsibility (“EPR”) regulations; many states have implemented or are contemplating EPR regulations for certain products. EPR regulations are intended to place responsibility for ultimate management or end-of-useful-life handling of the products they create. In addition to financial responsibility, an EPR program may include responsibility for local take-back or recycling programs. For example, several states in which we operate have EPR regulations for electronic waste. If broad EPR laws or regulations were adopted and managed under a manufacturer implemented program, it could have an impact on our business.</w:t>
      </w:r>
    </w:p>
    <w:p>
      <w:pPr>
        <w:spacing w:after="0" w:line="8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The EPA and environmental agencies within individual states in which we operate also consider and promulgate changes to water quality standards, action levels, remediation goals, and other federal or state regulatory standards for individual compounds or classes of compounds. These changes can also include the development of new or more stringent standards for “Emerging Contaminants”, including per- and polyfluoroalkyl substances ("PFASs"), pharmaceutical compounds, and a variety of synthetic chemical compounds used in manufacturing and industrial processes. In December 2016, EPA also designated ten chemical substances for risk evaluations under TSCA, and in December 2019, EPA designated an additional 20 chemical substances for risk evaluation, based on the requirements of the </w:t>
      </w:r>
      <w:r>
        <w:rPr>
          <w:rFonts w:ascii="Arial" w:cs="Arial" w:eastAsia="Arial" w:hAnsi="Arial"/>
          <w:sz w:val="18"/>
          <w:szCs w:val="18"/>
          <w:color w:val="212121"/>
        </w:rPr>
        <w:t>June 2016 Frank R. Lautenberg Chemical Safety for the 21</w:t>
      </w:r>
      <w:r>
        <w:rPr>
          <w:rFonts w:ascii="Arial" w:cs="Arial" w:eastAsia="Arial" w:hAnsi="Arial"/>
          <w:sz w:val="23"/>
          <w:szCs w:val="23"/>
          <w:color w:val="212121"/>
          <w:vertAlign w:val="superscript"/>
        </w:rPr>
        <w:t>st</w:t>
      </w:r>
      <w:r>
        <w:rPr>
          <w:rFonts w:ascii="Arial" w:cs="Arial" w:eastAsia="Arial" w:hAnsi="Arial"/>
          <w:sz w:val="18"/>
          <w:szCs w:val="18"/>
          <w:color w:val="auto"/>
        </w:rPr>
        <w:t xml:space="preserve"> </w:t>
      </w:r>
      <w:r>
        <w:rPr>
          <w:rFonts w:ascii="Arial" w:cs="Arial" w:eastAsia="Arial" w:hAnsi="Arial"/>
          <w:sz w:val="18"/>
          <w:szCs w:val="18"/>
          <w:color w:val="212121"/>
        </w:rPr>
        <w:t>Century Act. Changes in regulatory standards for existing or emerging</w:t>
      </w:r>
      <w:r>
        <w:rPr>
          <w:rFonts w:ascii="Arial" w:cs="Arial" w:eastAsia="Arial" w:hAnsi="Arial"/>
          <w:sz w:val="18"/>
          <w:szCs w:val="18"/>
          <w:color w:val="auto"/>
        </w:rPr>
        <w:t xml:space="preserve"> </w:t>
      </w:r>
      <w:r>
        <w:rPr>
          <w:rFonts w:ascii="Arial" w:cs="Arial" w:eastAsia="Arial" w:hAnsi="Arial"/>
          <w:sz w:val="18"/>
          <w:szCs w:val="18"/>
          <w:color w:val="212121"/>
        </w:rPr>
        <w:t>contaminants can result in higher levels of cost and effort associated with the performance of environmental investigations and ongoing compliance at our facilities.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their respective ages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92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 W. Casella</w:t>
            </w:r>
          </w:p>
        </w:tc>
        <w:tc>
          <w:tcPr>
            <w:tcW w:w="15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of Directors, Chief Executive Officer and Secretary</w:t>
            </w:r>
          </w:p>
        </w:tc>
      </w:tr>
      <w:tr>
        <w:trPr>
          <w:trHeight w:val="243"/>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Edwin D. Johnson</w:t>
            </w:r>
          </w:p>
        </w:tc>
        <w:tc>
          <w:tcPr>
            <w:tcW w:w="1520" w:type="dxa"/>
            <w:vAlign w:val="bottom"/>
          </w:tcPr>
          <w:p>
            <w:pPr>
              <w:jc w:val="right"/>
              <w:ind w:right="65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50"/>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Edmond “Ned” R. Coletta</w:t>
            </w:r>
          </w:p>
        </w:tc>
        <w:tc>
          <w:tcPr>
            <w:tcW w:w="152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Christopher B. Heald</w:t>
            </w:r>
          </w:p>
        </w:tc>
        <w:tc>
          <w:tcPr>
            <w:tcW w:w="1520" w:type="dxa"/>
            <w:vAlign w:val="bottom"/>
          </w:tcPr>
          <w:p>
            <w:pPr>
              <w:jc w:val="right"/>
              <w:ind w:right="65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920" w:type="dxa"/>
            <w:vAlign w:val="bottom"/>
          </w:tcPr>
          <w:p>
            <w:pPr>
              <w:spacing w:after="0"/>
              <w:rPr>
                <w:sz w:val="2"/>
                <w:szCs w:val="2"/>
                <w:color w:val="auto"/>
              </w:rPr>
            </w:pPr>
          </w:p>
        </w:tc>
      </w:tr>
      <w:tr>
        <w:trPr>
          <w:trHeight w:val="24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L. Schmitt</w:t>
            </w:r>
          </w:p>
        </w:tc>
        <w:tc>
          <w:tcPr>
            <w:tcW w:w="152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John W. Casella </w:t>
      </w:r>
      <w:r>
        <w:rPr>
          <w:rFonts w:ascii="Arial" w:cs="Arial" w:eastAsia="Arial" w:hAnsi="Arial"/>
          <w:sz w:val="16"/>
          <w:szCs w:val="16"/>
          <w:color w:val="auto"/>
        </w:rPr>
        <w:t>has served as Chairman of our Board of Directors since July 2001 and as our Chief Executive Officer since 1993. Mr. Casella also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our President from 1993 to July 2001 and as Chairman of our Board from 1993 to December 1999. In addition, Mr. Casella has served as Chairman of the Board of Directors of Casella Waste Management, Inc., a wholly-owned subsidiary of ours, since 1977. Mr. Casella is also an executive officer and director of Casella Construction, Inc., a company owned by Mr. Casella and his brother Douglas R. Casella, also a member of our Board of Directors, which specializes in general contracting, soil excavation and heavy equipment work, and which performs landfill-construction and related services for us. Mr. Casella has been a member of numerous industry-related and community service-related state and local boards and commissions, including the National Recycling Coalition, Board of Directors of the Associated Industries of Vermont, the Association of Vermont Recyclers, the Vermont State Chamber of Commerce, the Rutland Industrial Development Corporation and the Rutland Regional Medical Center. Mr. Casella has also served on various state task forces, serving in an advisory capacity to the Governors of Vermont and New Hampshire on solid waste issues. Mr. Casella holds an A.S. in Business Management from Bryant &amp; Stratton College and a B.S. in Business Education from Castleton State College.</w:t>
      </w:r>
    </w:p>
    <w:p>
      <w:pPr>
        <w:spacing w:after="0" w:line="6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Edwin D. Johnson </w:t>
      </w:r>
      <w:r>
        <w:rPr>
          <w:rFonts w:ascii="Arial" w:cs="Arial" w:eastAsia="Arial" w:hAnsi="Arial"/>
          <w:sz w:val="16"/>
          <w:szCs w:val="16"/>
          <w:color w:val="auto"/>
        </w:rPr>
        <w:t>has served as our President and Chief Operating Officer since December 2012 and as our Senior Vice President and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from July 2010 until December 2012. From March 2007 to July 2010, Mr. Johnson served as Executive Vice President, Chief Financial Officer and Chief Accounting Officer at Waste Services, Inc, a solid waste services company. From November 2004 to March 2007, Mr. Johnson served as Chief Financial Officer of Expert Real Estate Services, Inc., a full service real estate brokerage company. Mr. Johnson is a Certified Public Accountant and holds an MBA from Florida International University and a Bachelor of Science in Accounting and Administration from Washington &amp; Lee University.</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Edmond “Ned” R. Coletta </w:t>
      </w:r>
      <w:r>
        <w:rPr>
          <w:rFonts w:ascii="Arial" w:cs="Arial" w:eastAsia="Arial" w:hAnsi="Arial"/>
          <w:sz w:val="18"/>
          <w:szCs w:val="18"/>
          <w:color w:val="auto"/>
        </w:rPr>
        <w:t>has served as our Senior Vice President, Chief Financial Officer and Treasurer since December 2012. Mr. Coletta joined us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2004 and has served in positions of increasing responsibility, including as our Vice President of Finance and Investor Relations from January 2011 to December 2012. Prior to that Mr. Coletta served as our Director of Finance and Investor Relations from August 2005 to January 2011. From 2002 until he joined us, Mr. Coletta served as the Chief Financial Officer and was a member of the Board of Directors of Avedro, Inc. (FKA ThermalVision, Inc.), an early stage medical device company that he co-founded. From 1997 to 2001, he served as a research and development engineer for Lockheed Martin Michoud Space Systems. Mr. Coletta holds an MBA from the Tuck School of Business at Dartmouth College and a Bachelor of Science in Materials Science Engineering from Brown University.</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Christopher B. Heald </w:t>
      </w:r>
      <w:r>
        <w:rPr>
          <w:rFonts w:ascii="Arial" w:cs="Arial" w:eastAsia="Arial" w:hAnsi="Arial"/>
          <w:sz w:val="18"/>
          <w:szCs w:val="18"/>
          <w:color w:val="auto"/>
        </w:rPr>
        <w:t>has served as our Vice President of Finance and Chief Accounting Officer since January 2013. Mr. Heald joined us in September 2001</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served in positions of increasing responsibility, including as our Director of Financial Reporting and Analysis from July 2010 to January 2013 and as our Accounting Manager from August 2002 to July 2010. Mr. Heald is a Certified Public Accountant and holds a Bachelor of Science in Business Administration from the University of Vermont.</w:t>
      </w:r>
    </w:p>
    <w:p>
      <w:pPr>
        <w:spacing w:after="0" w:line="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David L. Schmitt </w:t>
      </w:r>
      <w:r>
        <w:rPr>
          <w:rFonts w:ascii="Arial" w:cs="Arial" w:eastAsia="Arial" w:hAnsi="Arial"/>
          <w:sz w:val="18"/>
          <w:szCs w:val="18"/>
          <w:color w:val="auto"/>
        </w:rPr>
        <w:t>has served as our Senior Vice President and General Counsel since June 2012. Mr. Schmitt joined us in May 2006 as our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Prior to that, Mr. Schmitt served as President of a privately held consulting firm, and further served from 2002 until 2005 as Vice President and General Counsel of BioEnergy International, LLC, (a predecessor company to Myriant Corporation), a firm specializing in the production of bio-succinic acid. He served from 1995 until 2001, as Senior Vice President, General Counsel and Secretary of Bradlees, Inc., a retailer in the northeast United States, and from 1986 through 1990, as Vice President and General Counsel of Wheelabrator Technologies, Inc., a multi-faceted corporation specializing in the development, ownership and operation of large-scale power facilities, fueled by solid waste and other alternative fuels. He is admitted to the Bar of Pennsylvania, and holds a Juris Doctor, cum laude, from Duquesne University School of Law and a Bachelor of Arts degree from The Pennsylvania State University.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Reports and Other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www.casella.com</w:t>
      </w:r>
      <w:r>
        <w:rPr>
          <w:rFonts w:ascii="Arial" w:cs="Arial" w:eastAsia="Arial" w:hAnsi="Arial"/>
          <w:sz w:val="18"/>
          <w:szCs w:val="18"/>
          <w:color w:val="auto"/>
        </w:rPr>
        <w:t>. We make available, free of charge through our website, our Annual and Transition Reports on Form 10-K and 10-KT, Quarterly Reports on Form 10-Q, Current Reports on Form 8-K, Proxy Statements on Schedule 14A, and any amendments to those materials filed pursuant to Sections 13(a) and 15(d) of the Securities Exchange Act of 1934, as amended. We make these reports available through our website as soon as reasonably practicable after we electronically file such materials with or furnish them to the Securities and Exchange Commission (“SEC”). The information found on our website is not part of this or any other report we file with or furnish to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important factors, among others, could cause actual results to differ materially from those indicated by forward-looking statements made in this Annual Report on Form 10-K and presented elsewhere by management from time to time. The risks and uncertainties described below are those that we have identified as material, but are not the only risks and uncertainties facing us. Our business is also subject to general risks and uncertainties that affect many other companies, including overall economic and industry conditions, especially in the northeastern United States, where our operations and customers are principally located, changes in laws or accounting rules or other disruptions of expected economic or business conditions. Additional risks and uncertainties not currently known to us or that we currently believe are not material also may impair our business’s results of operations and financial condition.</w:t>
      </w:r>
    </w:p>
    <w:p>
      <w:pPr>
        <w:spacing w:after="0" w:line="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have in place an Enterprise Risk Management process that involves systematic risk identification and mitigation covering the categories of strategic, financial, operational, and compliance risk. The goal of enterprise risk management is not to eliminate all risk, but rather to identify and assess risks; assign, mitigate and monitor risks; and report the status of our risks to the Board of Directors and its committees.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solid waste services industry, and if we cannot successfully compete in the marketplace, our business, financial condition and results of operations may be materially adversely affected.</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solid waste services industry is highly competitive, has undergone a period of consolidation and requires substantial labor and capital resources. The markets in which we compete are served by, or are adjacent to markets served by, one or more of the large national or super regional solid waste companies, as well as numerous regional and local solid waste companies. Intense competition exists not only to provide services to customers, but also to acquire other businesses within each market. Some of our competitors have significantly greater financial and other resources than we do. From time to time, competitors may reduce the price of their services in an effort to expand market share or to win a competitively bid contract. These practices may require us to reduce the pricing of our services and may result in a loss of business.</w:t>
      </w:r>
    </w:p>
    <w:p>
      <w:pPr>
        <w:spacing w:after="0" w:line="8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is generally the case in our industry, municipal contracts are typically subject to periodic competitive bidding. We may not be the successful bidder to obtain or retain these contracts. If we are unable to compete with larger and better capitalized companies or replace municipal contracts lost through the competitive bidding process with comparable contracts or other revenue sources within a reasonable time period, our revenues would decrease and our operating results could be materially adversely affected.</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our solid waste disposal markets, we also compete with operators of alternative disposal and recycling facilities and with counties, municipalities and solid waste districts that maintain their own solid waste collection, recycling and disposal operations. We are also increasingly competing with companies which seek to use parts of the waste stream as feedstock for renewable energy supplies. Public entities may have financial advantages because of their ability to charge user fees or similar charges, impose taxes and apply resulting revenues, access tax-exempt financing, transport waste to disposal sites outside of the northeastern markets, and, in some cases, utilize government subsidies.</w:t>
      </w:r>
    </w:p>
    <w:p>
      <w:pPr>
        <w:spacing w:after="0" w:line="6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addition, we may be impacted by the development and commercialization of disruptive technologies that may materially change how waste management services are provided. If we are unable to gain access to these technologies or to compete effectively against them, our financial results may suffer.</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experience competition in our hiring of drivers and mechanics necessary to service our customers. This competition may come from other waste management companies, but it also comes from other employers who hire drivers and maintain fleets, such as companies that provide courier delivery services, including United Parcel Service, Inc. and FedEx Corporation, as well as from a tightening labor market. If we are unable to hire and retain sufficient numbers of drivers to service our collection and disposal routes and mechanics to maintain our trucks, our financial condition and operating results could be materially impacted.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Our growth strategy focuses on complementing or expanding our business through the acquisition of companies or assets, or the development of new operations. However, we may be unable to complete these transactions and, if executed, these transactions may not improve our business or may pose significant risks and could have a negative effect on our operations.</w:t>
      </w:r>
    </w:p>
    <w:p>
      <w:pPr>
        <w:spacing w:after="0" w:line="7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growth strategy includes engaging in acquisitions or developing operations or assets with the goal of complementing or expanding our business. These acquisitions may include “tuck-in” acquisitions within our existing markets, acquisitions of assets that are adjacent to or outside of our existing markets, or larger, more strategic acquisitions. In addition, from time to time we may acquire businesses that are complementary to our core business strategy. We may not be able to identify suitable acquisition candidates, and if we identify suitable acquisition candidates, we may be unable to successfully negotiate the acquisition at a price or on terms and conditions acceptable to us. Furthermore, we may be unable to obtain the necessary regulatory approvals to complete potential acquisitions.</w:t>
      </w:r>
    </w:p>
    <w:p>
      <w:pPr>
        <w:spacing w:after="0" w:line="8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Our ability to achieve the benefits from any potential future acquisitions, including cost savings and operating efficiencies, depends in part on our ability to successfully integrate the operations of such acquired businesses with our operations. The integration of acquired businesses and other assets may require significant management time and resources that would otherwise be available for the ongoing management of our existing operations. Any operations, properties or facilities that we acquire may be subject to unknown liabilities, such as undisclosed environmental contamination, or other environmental liability, including off-site disposal liability for which we would have no recourse, or only limited recourse, to the former owners of such operations or properties. As a result, if a liability were asserted against us based upon ownership of an acquired property, we might be required to pay significant sums to settle it, which could adversely affect our financial results and cash flow.</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waste management industry is undergoing fundamental change as traditional waste streams are increasingly viewed as renewable resources, which may adversely affect volumes and tipping fees at our landfills.</w:t>
      </w:r>
    </w:p>
    <w:p>
      <w:pPr>
        <w:spacing w:after="0" w:line="6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we continue to develop our landfill capacity, the waste management industry is recognizing the value of the waste stream as a renewable resource, and accordingly, alternatives to landfilling are being developed that seek to maximize the renewable energy and other resource benefits of solid waste. These alternatives affect the demand for landfill airspace, and could affect our ability to operate our landfills at full capacity, as well as the tipping fees and prices that waste management companies generally, and that we, in particular, can charge for landfill airspace. Reduced tipping fees can affect our willingness to incur the expenditures necessary to increase the permitted capacity of the landfills. As a result, our revenues and operating margins could be materially adversely affected due to these disposal alternatives.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addition to complying with environmental laws and regulations, 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We have recently been informed by the New Hampshire Division of Environmental Services that it will be necessary to amend our permit application for an additional 1.2 million cubic yards of capacity at the NCES Landfill. This will likely impact the timing of our permit and our results of operations. There can be no assurance that we will receive this permit after it is refiled and if it is determined that the likelihood of receiving the expansion permit become remote, the capitalized costs related to the expansion effort will be expensed immediately. Localities where we operate generally seek to regulate some or all landfill and transfer station operations, including siting and expansion of operations. The laws and regulations adopted by municipalities in which our landfills and transfer stations are located 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In addition, state laws applicable to certain of our landfills require that the state determine whether acceptance of waste at the landfill not generated within the state provides a substantial public benefit. We may not be successful in obtaining new landfill or transfer station sites or expanding the permitted capacity of any of our current landfills and transfer stations. If we are unable to develop additional disposal and transfer station capacity, our ability to achieve economies from the internalization of our waste stream will be limited. If we fail to receive new landfill permits or renew existing permits, we may incur landfill asset impairment and other charges associated with accelerated closure.</w:t>
      </w:r>
    </w:p>
    <w:p>
      <w:pPr>
        <w:spacing w:after="0" w:line="8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 As of December 31, 2019, we have recorded a $1.2 million environmental remediation liability for the estimated cost of our share of work associated with a consent order issued by the State of New York to remediate a scrap yard and solid waste transfer station owned by one of our acquired subsidiaries, including the recognition of accretion expense, and a $4.6 million environmental remediation liability related to our obligation associated with installation of a municipal waterline associated with Southbridge Recycling &amp; Disposal Park, Inc. discussed in Item 3, "</w:t>
      </w:r>
      <w:r>
        <w:rPr>
          <w:rFonts w:ascii="Arial" w:cs="Arial" w:eastAsia="Arial" w:hAnsi="Arial"/>
          <w:sz w:val="17"/>
          <w:szCs w:val="17"/>
          <w:i w:val="1"/>
          <w:iCs w:val="1"/>
          <w:color w:val="auto"/>
        </w:rPr>
        <w:t>Legal Proceedings</w:t>
      </w:r>
      <w:r>
        <w:rPr>
          <w:rFonts w:ascii="Arial" w:cs="Arial" w:eastAsia="Arial" w:hAnsi="Arial"/>
          <w:sz w:val="17"/>
          <w:szCs w:val="17"/>
          <w:color w:val="auto"/>
        </w:rPr>
        <w:t>" of this Annual Report on Form 10-K, including the recognition of accretion expense in other accrued liabilities and other long-term liabilities. There can be no assurance that the cost of such cleanup or that our share of that cost will not exceed our estimates.</w:t>
      </w:r>
    </w:p>
    <w:p>
      <w:pPr>
        <w:spacing w:after="0" w:line="7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 For information about the material outstanding claims against us and our subsidiaries, see Item 3. “</w:t>
      </w:r>
      <w:r>
        <w:rPr>
          <w:rFonts w:ascii="Arial" w:cs="Arial" w:eastAsia="Arial" w:hAnsi="Arial"/>
          <w:sz w:val="16"/>
          <w:szCs w:val="16"/>
          <w:i w:val="1"/>
          <w:iCs w:val="1"/>
          <w:color w:val="auto"/>
        </w:rPr>
        <w:t>Legal Proceedings</w:t>
      </w:r>
      <w:r>
        <w:rPr>
          <w:rFonts w:ascii="Arial" w:cs="Arial" w:eastAsia="Arial" w:hAnsi="Arial"/>
          <w:sz w:val="16"/>
          <w:szCs w:val="16"/>
          <w:color w:val="auto"/>
        </w:rPr>
        <w:t>” in this Annual Report on Form 10-K.</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have sufficient insurance coverage for our environmental liabilities, such coverage may not cover all of the potential liabilities we may be subject to and/or we may not be able to obtain insurance coverage in the future at reasonable expense, or at all.</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and, therefore, may impact our results or increase our costs or liabilities.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certain jurisdictions, we are subject to compliance with specific obligations under competition laws due to our competitive position in those jurisdictions. For example, in May 2002, we entered into an assurance of discontinuance with the Vermont Attorney General’s Office concerning, among other matters, the conduct of our business in Vermont relating to certain contract terms applicable to our small commercial container customers. In August 2011, a revised final judgment of consent and order was entered by the Vermont Superior Court Washington Unit, Civil Division, as a result of some of our small commercial container customers having been mistakenly issued contracts that did not strictly comply with the terms of the assurance of discontinuance. Pursuant to the order, we paid a civil penalty in an aggregate amount of $1.0 million. In July 2014, we entered into an assurance of discontinuance with the office of the New York Attorney General in connection with certain of our commercial practices in certain specified counties in New York, pursuant to which we paid the State of New York a sum of $0.1 million. The assurances of discontinuance and order provide for certain restrictions on our customer contract terms, certain conditions on our business acquisitions, sales and market share and require us to maintain an internal compliance program. Failure to comply with these requirements or other laws or regulations could subject us to enforcement actions or financial penalties which could have a material adverse effect on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affected by low commodity prices and diminished markets for recyclable materials.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results of operations have been and will continue to be affected by falling purchase or resale prices or market requirements for recyclable materials. Our recycling business involves the purchase and sale of recyclable materials, some of which are priced on a commodity basis. The commodity markets continue to see ongoing negative pressure on pricing associated with the decline of the fiber market due to less use of paper products such as newspaper and office paper as a result of increased on-line reading. As a result of these market changes, domestic demand for various recycled fibers from mill buyers has steadily declined over the past decade, and as such we have exported more of these materials overseas to China. In 2017, China launched a campaign called National Sword which has imposed significant restrictions on the importation into China of recyclable materials, including a complete ban on the import into China of mixed paper and new quality standards for contaminants in recyclable materials commencing January 1, 2018. Furthermore, China has issued limited import licenses for its mills to import recyclable commodities, resulting in a decrease of over 50% of imports of recyclable commodities into China. These factors have had a significant impact on our business and have required us to seek alternative export markets for recyclable commodities.</w:t>
      </w:r>
    </w:p>
    <w:p>
      <w:pPr>
        <w:spacing w:after="0" w:line="5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addition, some of the countries that took recyclable commodities following China’s imposition of restrictions, including Indonesia and India, have themselves imposed similar restrictions on U.S. exports, further impacting prices. Although we have restructured many of our recycling contracts to require the respective municipalities to absorb some of the impact of declining commodity prices, these restructured contracts have had the impact of significantly increasing the costs to municipalities for continuing to offer recycling services to their customers. In the event that the costs of such services becomes excessive, such municipalities could discontinue their recycling programs altogether, which could materially affect our financial results.</w:t>
      </w:r>
    </w:p>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limit our exposure to fluctuating commodity prices through: our revenue sharing contracts that share commodity prices above a threshold level or charge a tipping fee below the threshold; our net commodity rate formula that allows us to pass back higher costs to sell commodities, including higher labor costs or equipment costs to meet new quality standards; our floating Sustainability Recycling Adjustment fee that passes back the cost of recycling to our collection customers; and as applicable, the use of hedging agreements, floor price contracts and long-term supply contracts with customers.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a high level of capital expenditures.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business is capital intensive. Our capital expenditure requirements include fixed asset purchases and capital expenditures for landfill development and cell construction, as well as site and cell closure. We use a substantial portion of our cash flows from operating activities toward capital expenditures, which reduces our flexibility to use such cash flows for other purposes, such as reducing our indebtedness. Our capital expenditures could increase if we make acquisitions or further expand our operations, or as a result of factors beyond our control, such as changes in federal, state or local governmental requirements. The amount that we spend on capital expenditures may exceed current expectations, which may require us to obtain additional funding for our operations or impair our ability to grow our business.</w:t>
      </w: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upgrading our technology infrastructure and there can be no assurance that our efforts will be completed on the projected timetable or that our investment will result in the expected gains.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upgrading our technology infrastructure, including a limited pilot of a new service management system and other systems that we believe will improve our internal processes and the productivity of our employees. These upgrades are complex and there can be no assurance that they will result in expected productivity gains and operating cost reductions on our anticipated timeline, if at all. In addition, if we are not able to maintain the security of our data, confidential information about us or our customers or suppliers could be inadvertently disclosed, subjecting us to possible expenses and other liabilities as well as adversely impacting customer and other third party relationships. If we are unable to benefit from new technologies, we may be at a competitive disadvantage to other companies in the waste management industry, in which case our operating results could suffer.</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Cybersecurity incidents could negatively impact our business and our relationships with customers, adversely affecting our financial results and exposing us to litigation risk.</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computer technology in substantially all aspects of our business operations. We also use mobile devices, social networking and other online activities to connect with our customers and our employees to be able to process transactions and provide information that we feel is necessary to manage our business.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or detection measures and incident response efforts may not be entirely effective, especially as cyber security attacks continue to evolve and become more sophisticated, often are not recognized until launched against a target and may be difficult to detect for a long time.</w:t>
      </w:r>
    </w:p>
    <w:p>
      <w:pPr>
        <w:spacing w:after="0" w:line="7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geographically concentrated and is therefore subject to regional economic downturns.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operations and customers are concentrated principally in New England and New York. Therefore, our business, financial condition and results of operations are susceptible to regional economic downturns and other regional factors, including state regulations and budget constraints and severe weather conditions. In addition, as we seek to expand in our existing markets, opportunities for growth within this region will become more limited and the geographic concentration of our business will increase.</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negatively affected if we inadequately accrue for final capping, closure and post-closure costs or by the timing of these costs for our waste disposal facilities.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material financial obligations relating to final capping, closure and post-closure costs of our existing owned or operated landfills and will have material financial obligations with respect to any disposal facilities that we may own or operate in the future. Once the permitted capacity of a particular landfill is reached and additional capacity is not authorized, or a determination is made to cease operations at a landfill due to other considerations, the landfill must be closed and capped, and we must begin post-closure maintenance. We establish accruals for the estimated costs associated with such final capping, closure and post-closure obligations over the anticipated useful life of each landfill on a per ton basis. We have provided and expect that we will in the future provide accruals for financial obligations relating to final capping, closure and post-closure costs of our owned or operated landfills, generally for a term of 30 years after closure of a landfill. Our financial obligations for final capping, closure or post-closure costs could exceed the amounts accrued or amounts otherwise receivable pursuant to trust funds established for this purpose. Such a circumstance could result in significant unanticipated charges that would have an adverse effect on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the timing of any such final capping, closure or post-closure costs, which exceed established accruals, may further negatively affect our business. Since we will be unable to control the timing and amounts of such costs, we may be forced to delay investments or planned improvements in other parts of our business or we may be unable to meet applicable financial assurance requirements. Any of the foregoing would negatively affect our business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fuel costs could affect our operating expenses and results.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price and supply of fuel is unpredictable and fluctuates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Because fuel is needed to run our fleet of trucks, price escalations for fuel increase our operating expenses. In fiscal year 2019, we used approximately 6.5 million gallons of diesel fuel in our solid waste operations. Although we have an Energy and Environmental fee program, which includes an Energy component that floats on a monthly basis based on diesel fuel prices, contractual restrictions and competitive conditions may impact our opportunity to pass this fee on to our customers in all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be inadequate to cover all significant risk exposures.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carry a range of insurance policies intended to protect our assets and operations, including general liability insurance, property damage and environmental risk insurance. While we endeavor to purchase insurance coverage appropriate to our risk assessment, we are unable to predict with certainty the frequency, nature or magnitude of claims for direct or consequential damages, and as a result our insurance program may not fully cover us for losses we may incur. In addition, as a result of a number of catastrophic weather and other events in the United States, insurance companies have incurred substantial losses and accordingly in many cases they have substantially reduced the nature and amount of insurance coverage available to the market, have broadened exclusions, and/or have substantially increased the cost of such coverage. It is likely that the tight insurance market will continue into the foreseeable future. A partially or completely uninsured claim against us (including liabilities associated with cleanup or remediation at our facilities), if successful and of sufficient magnitude, could have a material adverse effect on our business, financial condition and results of operations. Any future difficulty in obtaining insurance could also impair our ability to secure future contracts, which may be conditioned upon the availability of adequate insurance coverage. In addition, claims associated with risks we have retained under our self-insurance programs may exceed our recorded reserves which could negatively impact future earnings.</w:t>
      </w:r>
    </w:p>
    <w:p>
      <w:pPr>
        <w:spacing w:after="0" w:line="6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could be precluded from entering into contracts or obtaining or maintaining permits or certain contracts if we are unable to obtain third-party financial assurance to secure our contractual obligations.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Public solid waste collection, recycling and disposal contracts, and obligations associated with landfill closure and post-closure typically require performance or surety bonds, letters of credit or other means of financial assurance to secure our contractual performance. We currently obtain performance and surety bonds from Evergreen National Indemnity Company, in which we hold a 19.9% equity interest. If we are unable to obtain the necessary financial assurance in sufficient amounts or at acceptable rates, we could be precluded from entering into additional municipal contracts or from obtaining or retaining landfill management contracts or operating permits.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write-off or impair capitalized costs or intangible assets in the future or we may incur restructuring costs or other charges, each of which could harm our earnings.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generally accepted accounting principles in the United States, we capitalize certain expenditures and advances relating to our acquisitions, pending acquisitions, landfills, cost method investments and development projects. In addition, we have considerable unamortized assets. From time to time in future periods, we may be required to incur a charge against earnings in an amount equal to any unamortized capitalized expenditures and advances, net of any portion thereof that we estimate will be recoverable, through sale or otherwise, relating to: (1) any operation or other asset that is being sold, permanently shut down or impaired or has not generated or is not expected to generate sufficient cash flow; (2) any pending acquisition that is not consummated; (3) any landfill or development project that is not expected to be successfully completed; and (4) any goodwill or other intangible assets that are determined to be impaired.</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response to such charges and costs and other market factors, we may be required to implement restructuring plans in an effort to reduce the size and cost of our operations and to better match our resources with our market opportunities. As a result of such actions, we would expect to incur restructuring expenses and accounting charges which may be material. Several factors could cause a restructuring to adversely affect our business, financial condition and results of operations. These include potential disruption of our operations, the development of our landfill capacity and recycling technologies and other aspects of our business. Employee morale and productivity could also suffer and result in unintended employee attrition. Any restructuring would require substantial management time and attention and may divert management from other important work. Moreover, we could encounter delays in executing any restructuring plans, which could cause further disruption and additional unanticipated expense.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our operating income experience seasonal fluctuations.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the lower volume of solid waste during the late fall, winter and early spring months primarily because:</w:t>
      </w:r>
    </w:p>
    <w:p>
      <w:pPr>
        <w:spacing w:after="0" w:line="8" w:lineRule="exact"/>
        <w:rPr>
          <w:sz w:val="20"/>
          <w:szCs w:val="20"/>
          <w:color w:val="auto"/>
        </w:rPr>
      </w:pPr>
    </w:p>
    <w:p>
      <w:pPr>
        <w:ind w:left="480" w:hanging="310"/>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63" w:lineRule="exact"/>
        <w:rPr>
          <w:rFonts w:ascii="Arial" w:cs="Arial" w:eastAsia="Arial" w:hAnsi="Arial"/>
          <w:sz w:val="18"/>
          <w:szCs w:val="18"/>
          <w:color w:val="auto"/>
        </w:rPr>
      </w:pPr>
    </w:p>
    <w:p>
      <w:pPr>
        <w:ind w:left="500" w:right="780" w:hanging="330"/>
        <w:spacing w:after="0" w:line="277"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tourism in Vermont, Maine and eastern New York during the winter months tends to lower the volume of solid waste generated by commercial and restaurant customers, which is partially offset by increased volume from the ski industry.</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Since certain of our operating and fixed costs remain constant throughout the fiscal year, operating income is impacted by a similar seasonality. In addition, particularly harsh weather conditions typically result in increased operating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may limit our operations and increase the costs of collection and disposal.</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collection and landfill operations could be adversely impacted by extended periods of inclement weather, or by increased severity of weather. Adverse weather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In addition, adverse weather conditions may result in the temporary suspension of our operations, which can significantly affect our operating results in the affected regions during those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Efforts by labor unions to organize our employees could divert management attention and increase our operating expenses.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groups of our employees have chosen to be represented by unions, and we have negotiated collective bargaining agreements with these groups. The negotiation of collective bargaining agreements could divert management attention and result in increased operating expenses and lower net income (or increased net loss). If we are unable to negotiate acceptable collective bargaining agreements, we may be subject to union-initiated work stoppages, including strikes. Depending on the type and duration of any labor disruptions, our revenues could decrease and our operating expenses could increase, which could adversely affect our financial condition, results of operations and cash flows. As of January 31, 2020, approximately 6% of our employees were represented by unions.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enterprise risk management process may not be effective in mitigating the risks to which we are subject, or in reducing the potential for losses in connection with such risks.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enterprise risk management framework is designed to minimize or mitigate the risks to which we are subject, as well as any losses stemming from such risks. Although we seek to identify, measure, monitor, report, and control our exposure to such risks, and employ a broad and diversified set of risk monitoring and mitigation techniques in the process, those techniques are inherently limited in their ability to anticipate the existence or development of risks that are currently unknown and unanticipated. The ineffectiveness of our enterprise risk management framework in mitigating the impact of known risks or the emergence of previously unknown or unanticipated risks may result in our incurring losses in the future that could adversely impact our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2019, we had approximately $522.7 million of outstanding principal indebtedness (excluding approximately $24.5 million of outstanding letters of credit issued under our term loan A facility ("Term Loan Facility") and revolving line of credit facility (“Revolving Credit Facility” and, together with the Term Loan Facility, the "Credit Facility"). The Credit Facility consists of the Term Loan Facility with term loans in the outstanding principal amount of $350.0 million and the Revolving Credit Facility with loans thereunder being available up to an aggregate principal amount of $200.0 million, of which $148.6 million of unused commitments remain under the Revolving Credit Facility, subject to customary borrowing conditions. In addition, the terms of our existing indebtedness permit us to incur additional debt. Our substantial debt, among other things:</w:t>
      </w:r>
    </w:p>
    <w:p>
      <w:pPr>
        <w:spacing w:after="0" w:line="16" w:lineRule="exact"/>
        <w:rPr>
          <w:sz w:val="20"/>
          <w:szCs w:val="20"/>
          <w:color w:val="auto"/>
        </w:rPr>
      </w:pPr>
    </w:p>
    <w:p>
      <w:pPr>
        <w:ind w:left="500" w:right="560" w:hanging="330"/>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requires us to dedicate a substantial portion of any cash flow from operations to the payment of interest and principal due under our debt, which reduces funds available for other business purposes, including capital expenditures and acquisitions;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may place us at a competitive disadvantage compared with some of our competitors that may have less debt and better access to capital resources; and</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right="1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required to fund working capital and capital expenditures and for other general corporate purposes, but does allow us to increase the amount of our debt substantially subject to the conditions in the Credit Facility.</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ability to satisfy our obligations and to reduce our total debt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Facility requires us to meet a number of financial ratios and covenants.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Credit Facility contains certain affirmative and negative covenants which, among other things and subject, in certain cases, to certain basket amounts and other exceptions, limit the existence of additional indebtedness, the existence of liens or pledges, certain investments, acquisitions and sales or other transfers of assets, the payment of dividends and distributions and repurchases of equity, prepayments of certain junior indebtedness, and certain other transactions.</w:t>
      </w:r>
    </w:p>
    <w:p>
      <w:pPr>
        <w:ind w:right="20"/>
        <w:spacing w:after="0" w:line="254" w:lineRule="auto"/>
        <w:rPr>
          <w:sz w:val="20"/>
          <w:szCs w:val="20"/>
          <w:color w:val="auto"/>
        </w:rPr>
      </w:pPr>
      <w:r>
        <w:rPr>
          <w:rFonts w:ascii="Arial" w:cs="Arial" w:eastAsia="Arial" w:hAnsi="Arial"/>
          <w:sz w:val="18"/>
          <w:szCs w:val="18"/>
          <w:color w:val="auto"/>
        </w:rPr>
        <w:t>Our ability to comply with these covenants may be affected by events beyond our control, including prevailing economic, financial and industry conditions. These covenants could have an adverse effect on our business by limiting our ability to take advantage of financing, merger and acquisition or other corporate opportunities. Additionally, the Credit Facility requires, solely for the benefit of the lenders under the Revolving Credit Facility, that we meet financial tests, including, without limitation:</w:t>
      </w:r>
    </w:p>
    <w:p>
      <w:pPr>
        <w:spacing w:after="0" w:line="28"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consolidated EBITDA to consolidated cash interest charges ratio;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maximum consolidated funded debt (net of up to an agreed amount of cash and cash equivalents) to consolidated EBITDA ratio.</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Holders of our Class A common stock are entitled to one vote per share, and holders of our Class B common stock are entitled to ten votes per share. The lower voting power of the Class A common stock may negatively affect the attractiveness of our Class A common stock to investors and, as a result, its market value.</w:t>
      </w:r>
    </w:p>
    <w:p>
      <w:pPr>
        <w:spacing w:after="0" w:line="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two classes of common stock: Class A common stock, which is entitled to one vote per share, and Class B common stock, all of which are beneficially owned by John W. Casella, our Chairman and Chief Executive Officer, and his brother, Douglas R. Casella, a member of our Board of Directors, and which is entitled to ten votes per share. Except for the election of one of our directors and in certain limited circumstances required by applicable law, holders of Class A common stock and Class B common stock vote together as a single class on all matters to be voted on by our stockholders. As of January 31, 2020, an aggregate of 988,200 shares of our Class B common stock, representing 9,882,000 votes, were outstanding. Based on the number of shares of common stock outstanding as of January 31, 2020, the shares of our Class A common stock and Class B common stock beneficially owned by John W. Casella and Douglas R. Casella represented approximately 18.9% of the aggregate voting power of our stockholders. Consequently, John W. Casella and Douglas R. Casella are able to substantially influence all matters for stockholder consideration and constitute, and are expected to continue to constitute, a significant portion of the shares entitled to vote on all matters requiring approval by our stockholders. The difference in the voting power of our Class A common stock and Class B common stock could diminish the market value of our Class A common stock if investors attribute value to the superior voting rights of our Class B common stock and the power those rights confer.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headquarters is located at 25 Greens Hill Lane, Rutland, Vermont 05701, where we currently lease approximately 12,000 square feet of office space.</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principal property and equipment consists of land, landfills, buildings, machinery and equipment, rolling stock and containers. At January 31, 2020, we operated eight subtitle D landfills, four of which we own and four of which we lease; one landfill permitted to accept C&amp;D materials that we own; 58 transfer stations, 32 of which we own, eight of which we lease and 18 of which we operate under a contract; 43 solid waste collection facilities, 25 of which we own, 17 of which we lease and one of which we operate under a contract; 20 recycling processing facilities, ten of which we own, seven of which we lease and three of which we operate under a contract; four landfill gas-to-energy facilities that we own; and 25 corporate office and other administrative facilities, five of which we own and 20 of which we lease (See Item 1, “</w:t>
      </w:r>
      <w:r>
        <w:rPr>
          <w:rFonts w:ascii="Arial" w:cs="Arial" w:eastAsia="Arial" w:hAnsi="Arial"/>
          <w:sz w:val="16"/>
          <w:szCs w:val="16"/>
          <w:i w:val="1"/>
          <w:iCs w:val="1"/>
          <w:color w:val="auto"/>
        </w:rPr>
        <w:t>Business</w:t>
      </w:r>
      <w:r>
        <w:rPr>
          <w:rFonts w:ascii="Arial" w:cs="Arial" w:eastAsia="Arial" w:hAnsi="Arial"/>
          <w:sz w:val="16"/>
          <w:szCs w:val="16"/>
          <w:color w:val="auto"/>
        </w:rPr>
        <w:t>” of this Annual Report on Form 10-K for property information by operating segment and location). We believe that our property and equipment are adequately maintained and sufficient for our current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 We are in active discovery in the Residents case.</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Construction of the waterline is complete and homeowners are relying on municipal water supply. Remaining aspects of the project are minor and are expected to be completed in early 2020. Bond reimbursement to the Town will commence in the fiscal year ending December 31, 2020.</w:t>
      </w:r>
    </w:p>
    <w:p>
      <w:pPr>
        <w:spacing w:after="0" w:line="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 (in millions):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Months Ended December 31, 2019</w:t>
            </w:r>
          </w:p>
        </w:tc>
        <w:tc>
          <w:tcPr>
            <w:tcW w:w="50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w:t>
            </w:r>
          </w:p>
        </w:tc>
      </w:tr>
      <w:tr>
        <w:trPr>
          <w:trHeight w:val="243"/>
        </w:trPr>
        <w:tc>
          <w:tcPr>
            <w:tcW w:w="7720" w:type="dxa"/>
            <w:vAlign w:val="bottom"/>
          </w:tcPr>
          <w:p>
            <w:pPr>
              <w:ind w:left="200"/>
              <w:spacing w:after="0"/>
              <w:rPr>
                <w:sz w:val="20"/>
                <w:szCs w:val="20"/>
                <w:color w:val="auto"/>
              </w:rPr>
            </w:pPr>
            <w:r>
              <w:rPr>
                <w:rFonts w:ascii="Arial" w:cs="Arial" w:eastAsia="Arial" w:hAnsi="Arial"/>
                <w:sz w:val="18"/>
                <w:szCs w:val="18"/>
                <w:color w:val="auto"/>
              </w:rPr>
              <w:t>Accretion expense</w:t>
            </w:r>
          </w:p>
        </w:tc>
        <w:tc>
          <w:tcPr>
            <w:tcW w:w="118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 incurred</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r>
      <w:tr>
        <w:trPr>
          <w:trHeight w:val="243"/>
        </w:trPr>
        <w:tc>
          <w:tcPr>
            <w:tcW w:w="7720" w:type="dxa"/>
            <w:vAlign w:val="bottom"/>
          </w:tcPr>
          <w:p>
            <w:pPr>
              <w:ind w:left="22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1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completed the first phase of landfill capping and closure at the Southbridge Landfill in the fiscal year ended December 31, 2019, and are actively seeking approval from MADEP to close and cap the remainder of the landfill.</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was completed in the fiscal year ended December 31, 2019. WSI is jointly and severally liable with NiMo, Alcoa and Reynolds for the total cost to remediate.</w:t>
      </w:r>
    </w:p>
    <w:p>
      <w:pPr>
        <w:spacing w:after="0" w:line="6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site follows (in millions):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Months Ended December 31, 2019</w:t>
            </w:r>
          </w:p>
        </w:tc>
        <w:tc>
          <w:tcPr>
            <w:tcW w:w="50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5.8</w:t>
            </w:r>
          </w:p>
        </w:tc>
      </w:tr>
      <w:tr>
        <w:trPr>
          <w:trHeight w:val="243"/>
        </w:trPr>
        <w:tc>
          <w:tcPr>
            <w:tcW w:w="7720" w:type="dxa"/>
            <w:vAlign w:val="bottom"/>
          </w:tcPr>
          <w:p>
            <w:pPr>
              <w:ind w:left="220"/>
              <w:spacing w:after="0"/>
              <w:rPr>
                <w:sz w:val="20"/>
                <w:szCs w:val="20"/>
                <w:color w:val="auto"/>
              </w:rPr>
            </w:pPr>
            <w:r>
              <w:rPr>
                <w:rFonts w:ascii="Arial" w:cs="Arial" w:eastAsia="Arial" w:hAnsi="Arial"/>
                <w:sz w:val="18"/>
                <w:szCs w:val="18"/>
                <w:color w:val="auto"/>
              </w:rPr>
              <w:t xml:space="preserve">Obligations incurred </w:t>
            </w:r>
            <w:r>
              <w:rPr>
                <w:rFonts w:ascii="Arial" w:cs="Arial" w:eastAsia="Arial" w:hAnsi="Arial"/>
                <w:sz w:val="14"/>
                <w:szCs w:val="14"/>
                <w:color w:val="auto"/>
              </w:rPr>
              <w:t>(1)</w:t>
            </w:r>
          </w:p>
        </w:tc>
        <w:tc>
          <w:tcPr>
            <w:tcW w:w="11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(4.5)</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(0.2)</w:t>
            </w:r>
          </w:p>
        </w:tc>
      </w:tr>
      <w:tr>
        <w:trPr>
          <w:trHeight w:val="27"/>
        </w:trPr>
        <w:tc>
          <w:tcPr>
            <w:tcW w:w="7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("NCES Landfill").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determining that the circumstances described are sufficient for SCOTUS to hear such cases. Our motion for a stay was granted in the New Hampshire Litigation, and SCOTUS is expected to hear and rule on such cases this calendar year. In any event, we intend to continue to vigorously defend against the New Hampshire Litigation, which we believe is without merit.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Ontario County Landfill, which is operated by us pursuant to a long-term Operation, Maintenance and Lease Agreement with Ontario County. The New York Litigation was served on us on October 14, 2019. We are reviewing the New York Litigation and intend to present a vigorous defense.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Class A common stock trades on the Nasdaq Global Select Market (“Nasdaq Stock Market”) under the symbol CWST. There is no established trading market for our Class B common stock. As of January 31, 2020, there were approximately 420 holders of record of our Class A common stock and two holders of record of our Class B common stock.</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calculating the aggregate market value of the shares of common stock held by non-affiliates, as shown on the cover page of this Annual Report on Form 10-K, we have assumed that all the outstanding shares of Class A common stock were held by non-affiliates except for the shares beneficially held by directors and executive officers and funds represented by them.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No dividends have ever been declared or paid on our common stock and we do not anticipate paying any cash dividends on our common stock in the foreseeable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201(d) of Regulation S-K is included in Part III of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“filed” with the Securities and Exchange Commission, nor shall such information be incorporated by reference into any future filing under the Securities Act of 1933 or the Securities Exchange Act of 1934, each as amended, except to the extent that we specifically incorporate it by reference into such filing.</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stock performance graph below compares the percentage change in cumulative stockholder return on our Class A common stock for the period from December 31, 2014 through December 31, 2019, with the cumulative total return on the Russell 2000 Index and our Industry Peer Group ("Peer Group"). The stock performance graph assumes the investment on December 31, 2014 of $100.00 in our Class A common stock at the closing price on such date, in the Russell 2000 Index and the Peer Group, and that dividends are reinvested. No dividends have been declared or paid on our Class A common stock.</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5866130" cy="4871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6130" cy="487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4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Casella Waste Systems,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307.18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569.80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705.20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1,139.36</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Russell 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95.59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115.95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132.94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118.30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148.49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Peer Group </w:t>
            </w:r>
            <w:r>
              <w:rPr>
                <w:rFonts w:ascii="Arial" w:cs="Arial" w:eastAsia="Arial" w:hAnsi="Arial"/>
                <w:sz w:val="14"/>
                <w:szCs w:val="14"/>
                <w:b w:val="1"/>
                <w:bCs w:val="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104.55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141.45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177.75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188.01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239.46</w:t>
            </w: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46" w:lineRule="exact"/>
        <w:rPr>
          <w:sz w:val="20"/>
          <w:szCs w:val="20"/>
          <w:color w:val="auto"/>
        </w:rPr>
      </w:pPr>
    </w:p>
    <w:p>
      <w:pPr>
        <w:ind w:left="480" w:hanging="31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Peer Group is comprised of Waste Connections Inc., Covanta Holding Corp., Waste Management, Inc. and Republic Services, Inc.</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selected consolidated financial and operating data set forth below was derived from the consolidated financial statements included in Item 8 of this Annual Report on Form 10-K and from the consolidated financial statements included in Item 8 of previous Annual Reports on Form 10-K that we filed with the Securities and Exchange Commission. This information should be read in conjunction with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and our consolidated financial statements and notes thereto included in Item 8 of this Annual Report on Form 10-K.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1"/>
              </w:rPr>
              <w:t>Fiscal Year Ended December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4500" w:type="dxa"/>
            <w:vAlign w:val="bottom"/>
          </w:tcPr>
          <w:p>
            <w:pPr>
              <w:ind w:left="60"/>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6"/>
          </w:tcPr>
          <w:p>
            <w:pPr>
              <w:jc w:val="center"/>
              <w:ind w:left="4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743,290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660,660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599,309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565,030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546,500</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508,656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453,291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405,188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381,973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382,615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General and administration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84,791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79,243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72,892</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79,790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70,508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62,102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61,856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62,704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Withdrawal costs - multiemployer pension plan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Southbridge Landfill closure charge, net</w:t>
            </w:r>
          </w:p>
        </w:tc>
        <w:tc>
          <w:tcPr>
            <w:tcW w:w="3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65,183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7"/>
              </w:rPr>
              <w:t>Expense from acquisition activities and other items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Contract settlement charge</w:t>
            </w:r>
          </w:p>
        </w:tc>
        <w:tc>
          <w:tcPr>
            <w:tcW w:w="3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Development project charge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Environmental remediation charge</w:t>
            </w:r>
          </w:p>
        </w:tc>
        <w:tc>
          <w:tcPr>
            <w:tcW w:w="3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Divestiture transactions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37"/>
        </w:trPr>
        <w:tc>
          <w:tcPr>
            <w:tcW w:w="450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53,075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44,945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31,866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12,657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29,779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(10,430)</w:t>
            </w:r>
          </w:p>
        </w:tc>
        <w:tc>
          <w:tcPr>
            <w:tcW w:w="0" w:type="dxa"/>
            <w:vAlign w:val="bottom"/>
          </w:tcPr>
          <w:p>
            <w:pPr>
              <w:spacing w:after="0"/>
              <w:rPr>
                <w:sz w:val="1"/>
                <w:szCs w:val="1"/>
                <w:color w:val="auto"/>
              </w:rPr>
            </w:pPr>
          </w:p>
        </w:tc>
      </w:tr>
      <w:tr>
        <w:trPr>
          <w:trHeight w:val="243"/>
        </w:trPr>
        <w:tc>
          <w:tcPr>
            <w:tcW w:w="4500" w:type="dxa"/>
            <w:vAlign w:val="bottom"/>
          </w:tcPr>
          <w:p>
            <w:pPr>
              <w:ind w:left="5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31,653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(11,781)</w:t>
            </w:r>
          </w:p>
        </w:tc>
        <w:tc>
          <w:tcPr>
            <w:tcW w:w="0" w:type="dxa"/>
            <w:vAlign w:val="bottom"/>
          </w:tcPr>
          <w:p>
            <w:pPr>
              <w:spacing w:after="0"/>
              <w:rPr>
                <w:sz w:val="1"/>
                <w:szCs w:val="1"/>
                <w:color w:val="auto"/>
              </w:rPr>
            </w:pPr>
          </w:p>
        </w:tc>
      </w:tr>
      <w:tr>
        <w:trPr>
          <w:trHeight w:val="229"/>
        </w:trPr>
        <w:tc>
          <w:tcPr>
            <w:tcW w:w="4500" w:type="dxa"/>
            <w:vAlign w:val="bottom"/>
          </w:tcPr>
          <w:p>
            <w:pPr>
              <w:ind w:left="660"/>
              <w:spacing w:after="0"/>
              <w:rPr>
                <w:sz w:val="20"/>
                <w:szCs w:val="20"/>
                <w:color w:val="auto"/>
              </w:rPr>
            </w:pPr>
            <w:r>
              <w:rPr>
                <w:rFonts w:ascii="Arial" w:cs="Arial" w:eastAsia="Arial" w:hAnsi="Arial"/>
                <w:sz w:val="18"/>
                <w:szCs w:val="18"/>
                <w:color w:val="auto"/>
              </w:rPr>
              <w:t>Less: Net (loss) income attributable to</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6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Net income (loss) attributable to common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31,653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(21,799)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(12,969)</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(loss) per share attributable to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47,226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41,846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41,233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40,642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00" w:type="dxa"/>
            <w:vAlign w:val="bottom"/>
          </w:tcPr>
          <w:p>
            <w:pPr>
              <w:ind w:left="220"/>
              <w:spacing w:after="0"/>
              <w:rPr>
                <w:sz w:val="20"/>
                <w:szCs w:val="20"/>
                <w:color w:val="auto"/>
              </w:rPr>
            </w:pPr>
            <w:r>
              <w:rPr>
                <w:rFonts w:ascii="Arial" w:cs="Arial" w:eastAsia="Arial" w:hAnsi="Arial"/>
                <w:sz w:val="18"/>
                <w:szCs w:val="18"/>
                <w:color w:val="auto"/>
              </w:rPr>
              <w:t xml:space="preserve">Basic earnings (loss) per common share </w:t>
            </w:r>
            <w:r>
              <w:rPr>
                <w:rFonts w:ascii="Arial" w:cs="Arial" w:eastAsia="Arial" w:hAnsi="Arial"/>
                <w:sz w:val="14"/>
                <w:szCs w:val="14"/>
                <w:color w:val="auto"/>
              </w:rPr>
              <w:t>(1)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Diluted earnings (loss) per share attributable to common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47,966</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44,168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41,846</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41,233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40,642</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Diluted earnings (loss) per common share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Fiscal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23495</wp:posOffset>
            </wp:positionV>
            <wp:extent cx="43478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103,165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49,995</w:t>
            </w: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Cash flows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116,829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120,834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107,538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80,434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70,507</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flows used in investing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(48,784)</w:t>
            </w: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Cash flows provided by (used in)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60,097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45,375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(31,640)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(18,585)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(26,087)</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2,312</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1,347</w:t>
            </w: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Working capital, net (2)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(31,247)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(18,411)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(6,184)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(10,990)</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443,825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404,577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361,547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398,466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402,252</w:t>
            </w: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185,819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162,734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122,605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119,899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118,976</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932,182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732,410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614,949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631,512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633,669</w:t>
            </w: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Debt, less current portion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509,021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542,001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477,576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503,961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505,985</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122,753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(21,597)</w:t>
            </w:r>
          </w:p>
        </w:tc>
      </w:tr>
      <w:tr>
        <w:trPr>
          <w:trHeight w:val="27"/>
        </w:trPr>
        <w:tc>
          <w:tcPr>
            <w:tcW w:w="4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500" w:right="500" w:hanging="330"/>
        <w:spacing w:after="0" w:line="277" w:lineRule="auto"/>
        <w:tabs>
          <w:tab w:leader="none" w:pos="4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Computed as described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consolidated financial statements included in Item 8 of this Annual Report on Form 10-K.</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Working capital, net is defined as current assets, excluding cash and cash equivalents, minus current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the consolidated financial statements and notes thereto, and other financial information, included elsewhere in this Annual Report on Form 10-K. This discussion contains forward-looking statements and involves numerous risks and uncertainties. Our actual results may differ materially from those contained in any forward-looking statements.</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Discussion and analysis of the fiscal year ended December 31, 2018 compared to the fiscal year ended December 31, 2017 is included under the heading “Item 7. Management’s Discussion and Analysis of Financial Condition and Results of Operations” in our Annual Report on Form 10-K for the fiscal year ended December 31, 2018 as filed with the Securities and Exchange Commission on February 22,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have managed operations through four operating segments, including (i) two regional operating segments, which we designate as our Eastern and Western regions, (ii) Recycling, which comprises our larger-scale recycling operations and our commodity brokerage operations and (iii) "Other", which comprises organic services, ancillary operations, along with major accounts and industrial services. Effective January 1, 2020, we reorganized our operating segments as follows: we aligned our organics services and our major account and industrial services with our Recycling segment to form the Resource Solutions segment, thus creating a single resource renewal-focused segment. We also moved our ancillary transportation services, which were previously included in our Other segment, into our Western region. Accordingly, as of January 1, 2020, our operating segments consist of the Eastern and Western regions and Resource Solutions.</w:t>
      </w:r>
    </w:p>
    <w:p>
      <w:pPr>
        <w:spacing w:after="0" w:line="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January 31, 2020, we owned and/or operated 43 solid waste collection operations, 58 transfer stations, 20 recycling facilities, eight Subtitle D landfills, four landfill gas-to-energy facilities and one landfill permitted to accept construction and demolition (“C&amp;D”) materials.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9, 2019, North Country Environmental Services, Inc. ("NCES") filed an application for a 1.2 million (cy) expansion of the capacity of its landfill in Bethlehem, New Hampshire ("NCES Landfill") with the New Hampshire Department of Environmental Services (“NHDES”) (“Stage VI Expansion”). The Stage VI Expansion would provide NCES with over five (5) years of additional capacity beyond the capacity of Stage V.</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2020, NHDES informed NCES and us that NHDES had concerns regarding the short-term public benefit need for the Stage VI expansion, and also in respect of certain technical concerns regarding the Stage VI expansion. Given the fact the NHDES decided to review our permit application for the Stage VI Expansion with respect to public benefit determination using a different regulatory framework than used in any of our previous permitting activities at NCES, we informed the NHDES on February 11, 2020, that while we vigorously disagreed with NHDES’ review of our application and the context for the NHDES’ concerns, we would withdraw our application with the expectation of refiling the application with the NHDES as soon as possible. While the refiling of the application for the Stage VI Expansion could be rejected by the NHDES, and while delay of the Stage VI Expansion will surely occur, we remain confident that we will receive a permit for the Stage VI Expansion. We believe that a loss of $1.2 million is reasonably possible, but not probable.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have a business development team that identifies acquisition candidates, categorizes the opportunity by strategic fit and perceived level of financial accretion, establishes contact with the appropriate representative of the acquisition candidate and gathers further information on the acquisition candidate.</w:t>
      </w:r>
    </w:p>
    <w:p>
      <w:pPr>
        <w:spacing w:after="0" w:line="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made in the past, and we may make in the future, acquisitions in order to acquire or develop additional disposal capacity. These acquisitions may include “tuck-in” acquisitions within our existing markets, assets that are adjacent to or outside of our existing markets, or larger, more strategic acquisitions. In addition, from time to time, we may acquire businesses that are complementary to our core business strategy. We face competition for acquisition targets, particularly the larger and more meaningful targets, but we believe that our strong relationships and reputation in New England and New York help to offset this factor.</w:t>
      </w:r>
    </w:p>
    <w:p>
      <w:pPr>
        <w:spacing w:after="0" w:line="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fiscal year ended December 31, 2019 ("fiscal year 2019"), we acquired nine businesses: three tuck-in solid waste collection businesses in our Eastern region and four tuck-in solid waste collection businesses, a business comprised of solid waste collection, transfer and recycling operations, and a business comprised of solid waste hauling and transfer assets in our Western region for total consideration of $82.2 million, including $72.1 million in cash, $5.5 million in non-cash consideration, $2.7 million notes payable and $1.9 million in holdbacks to the sellers.</w:t>
      </w:r>
    </w:p>
    <w:p>
      <w:pPr>
        <w:spacing w:after="0" w:line="6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the fiscal year ended December 31 2018 ("fiscal year 2018"), we acquired nine businesses: six solid waste collection businesses and one transfer business in our Western region and two businesses comprised of solid waste collection and transfer operations in our Eastern region for total consideration of $99.5 million, including $86.7 million in cash, $4.3 million in Class A common stock, and $8.5 million in contingent consideration and holdbacks to the sellers.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time to time, we may sell or divest certain investments or other components of our business. These divestitures may be undertaken for a number of reasons, including: to generate proceeds to pay down debt; as a result of a determination that the specified asset will provide inadequate returns to us or that the asset no longer serves a strategic purpose in connection with our business; or as a result of a determination that the asset may be more valuable to a third-party. We will continue to look to divest certain activities and investments that no longer enhance or complement our core business if the right opportunity presents itself.</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our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 attributable to services provided (in millions) for the following periods: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100" w:type="dxa"/>
            <w:vAlign w:val="bottom"/>
            <w:gridSpan w:val="6"/>
          </w:tcPr>
          <w:p>
            <w:pPr>
              <w:ind w:left="500"/>
              <w:spacing w:after="0"/>
              <w:rPr>
                <w:sz w:val="20"/>
                <w:szCs w:val="20"/>
                <w:color w:val="auto"/>
              </w:rPr>
            </w:pPr>
            <w:r>
              <w:rPr>
                <w:rFonts w:ascii="Arial" w:cs="Arial" w:eastAsia="Arial" w:hAnsi="Arial"/>
                <w:sz w:val="14"/>
                <w:szCs w:val="14"/>
                <w:b w:val="1"/>
                <w:bCs w:val="1"/>
                <w:color w:val="auto"/>
              </w:rPr>
              <w:t>Fiscal Year Ended December 31,</w:t>
            </w:r>
          </w:p>
        </w:tc>
        <w:tc>
          <w:tcPr>
            <w:tcW w:w="30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196"/>
        </w:trPr>
        <w:tc>
          <w:tcPr>
            <w:tcW w:w="68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r>
      <w:tr>
        <w:trPr>
          <w:trHeight w:val="202"/>
        </w:trPr>
        <w:tc>
          <w:tcPr>
            <w:tcW w:w="6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372.0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68.6</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Disposal</w:t>
            </w:r>
          </w:p>
        </w:tc>
        <w:tc>
          <w:tcPr>
            <w:tcW w:w="8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181.9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0.8</w:t>
            </w:r>
          </w:p>
        </w:tc>
      </w:tr>
      <w:tr>
        <w:trPr>
          <w:trHeight w:val="27"/>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8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564.7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67.9</w:t>
            </w:r>
          </w:p>
        </w:tc>
      </w:tr>
      <w:tr>
        <w:trPr>
          <w:trHeight w:val="243"/>
        </w:trPr>
        <w:tc>
          <w:tcPr>
            <w:tcW w:w="6840" w:type="dxa"/>
            <w:vAlign w:val="bottom"/>
          </w:tcPr>
          <w:p>
            <w:pPr>
              <w:ind w:left="340"/>
              <w:spacing w:after="0"/>
              <w:rPr>
                <w:sz w:val="20"/>
                <w:szCs w:val="20"/>
                <w:color w:val="auto"/>
              </w:rPr>
            </w:pPr>
            <w:r>
              <w:rPr>
                <w:rFonts w:ascii="Arial" w:cs="Arial" w:eastAsia="Arial" w:hAnsi="Arial"/>
                <w:sz w:val="18"/>
                <w:szCs w:val="18"/>
                <w:color w:val="auto"/>
              </w:rPr>
              <w:t>Organics</w:t>
            </w:r>
          </w:p>
        </w:tc>
        <w:tc>
          <w:tcPr>
            <w:tcW w:w="8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2.1</w:t>
            </w:r>
          </w:p>
        </w:tc>
      </w:tr>
      <w:tr>
        <w:trPr>
          <w:trHeight w:val="27"/>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solutions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12.0</w:t>
            </w:r>
          </w:p>
        </w:tc>
      </w:tr>
      <w:tr>
        <w:trPr>
          <w:trHeight w:val="243"/>
        </w:trPr>
        <w:tc>
          <w:tcPr>
            <w:tcW w:w="6840" w:type="dxa"/>
            <w:vAlign w:val="bottom"/>
          </w:tcPr>
          <w:p>
            <w:pPr>
              <w:ind w:left="340"/>
              <w:spacing w:after="0"/>
              <w:rPr>
                <w:sz w:val="20"/>
                <w:szCs w:val="20"/>
                <w:color w:val="auto"/>
              </w:rPr>
            </w:pPr>
            <w:r>
              <w:rPr>
                <w:rFonts w:ascii="Arial" w:cs="Arial" w:eastAsia="Arial" w:hAnsi="Arial"/>
                <w:sz w:val="18"/>
                <w:szCs w:val="18"/>
                <w:color w:val="auto"/>
              </w:rPr>
              <w:t>Recycling</w:t>
            </w:r>
          </w:p>
        </w:tc>
        <w:tc>
          <w:tcPr>
            <w:tcW w:w="88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0.6</w:t>
            </w:r>
          </w:p>
        </w:tc>
      </w:tr>
      <w:tr>
        <w:trPr>
          <w:trHeight w:val="27"/>
        </w:trPr>
        <w:tc>
          <w:tcPr>
            <w:tcW w:w="68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743.3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82.6</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0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Period-to-Period Change for Fiscal Year 2019 vs</w:t>
            </w:r>
          </w:p>
        </w:tc>
      </w:t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Fiscal Year 2018</w:t>
            </w:r>
          </w:p>
        </w:tc>
        <w:tc>
          <w:tcPr>
            <w:tcW w:w="200" w:type="dxa"/>
            <w:vAlign w:val="bottom"/>
            <w:tcBorders>
              <w:bottom w:val="single" w:sz="8" w:color="auto"/>
            </w:tcBorders>
          </w:tcPr>
          <w:p>
            <w:pPr>
              <w:spacing w:after="0"/>
              <w:rPr>
                <w:sz w:val="16"/>
                <w:szCs w:val="16"/>
                <w:color w:val="auto"/>
              </w:rPr>
            </w:pP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15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Volume</w:t>
            </w: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Closed operations</w:t>
            </w: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revenues</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60" w:hanging="330"/>
        <w:spacing w:after="0" w:line="277" w:lineRule="auto"/>
        <w:tabs>
          <w:tab w:leader="none" w:pos="4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for $1.0 million of inter-company movements between solid waste collection volume and Customer Solutions associated with the acquisition of a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2019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$16.2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$9.1 million from favorable disposal pricing associated primarily with our landfills and transfer stations.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2019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 million from lower collection volumes as we continue to focus on pricing and the quality of revenue;</w:t>
      </w:r>
    </w:p>
    <w:p>
      <w:pPr>
        <w:spacing w:after="0" w:line="63" w:lineRule="exact"/>
        <w:rPr>
          <w:rFonts w:ascii="Arial" w:cs="Arial" w:eastAsia="Arial" w:hAnsi="Arial"/>
          <w:sz w:val="18"/>
          <w:szCs w:val="18"/>
          <w:color w:val="auto"/>
        </w:rPr>
      </w:pPr>
    </w:p>
    <w:p>
      <w:pPr>
        <w:ind w:left="500" w:right="200" w:hanging="330"/>
        <w:spacing w:after="0" w:line="264"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$(2.1) million from lower disposal volumes (of which $(5.6) million relates to lower transportation volumes primarily associated with a large contaminated soils project that occurred in fiscal year 2018, $1.8 million relates to higher landfill volumes, and $1.7 million relates to higher transfer station volumes); and</w:t>
      </w:r>
    </w:p>
    <w:p>
      <w:pPr>
        <w:spacing w:after="0" w:line="19" w:lineRule="exact"/>
        <w:rPr>
          <w:rFonts w:ascii="Arial" w:cs="Arial" w:eastAsia="Arial" w:hAnsi="Arial"/>
          <w:sz w:val="18"/>
          <w:szCs w:val="18"/>
          <w:color w:val="auto"/>
        </w:rPr>
      </w:pPr>
    </w:p>
    <w:p>
      <w:pPr>
        <w:ind w:left="480" w:hanging="310"/>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$(0.4) million from lower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surcharges and other fees change component in fiscal year 2019 solid waste revenues growth from the prior year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commodity price and volume change component in fiscal year 2019 solid waste revenues growth from the prior year is a result of the following:</w:t>
      </w:r>
    </w:p>
    <w:p>
      <w:pPr>
        <w:spacing w:after="0" w:line="75" w:lineRule="exact"/>
        <w:rPr>
          <w:sz w:val="20"/>
          <w:szCs w:val="20"/>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 million from unfavorable energy pricing and, to a lesser extent, unfavorable commodity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 million from lower commodity volumes due to lower commodity processing volumes and landfill gas-to-energy production.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acquisitions change component in fiscal year 2019 solid waste revenues growth is a result of increased acquisition activity, including the following:</w:t>
      </w:r>
    </w:p>
    <w:p>
      <w:pPr>
        <w:spacing w:after="0" w:line="75" w:lineRule="exact"/>
        <w:rPr>
          <w:sz w:val="20"/>
          <w:szCs w:val="20"/>
          <w:color w:val="auto"/>
        </w:rPr>
      </w:pPr>
    </w:p>
    <w:p>
      <w:pPr>
        <w:ind w:left="500" w:right="200" w:hanging="330"/>
        <w:spacing w:after="0" w:line="277" w:lineRule="auto"/>
        <w:tabs>
          <w:tab w:leader="none" w:pos="4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nine businesses in fiscal year 2019: seven tuck-in solid waste collection businesses, a business comprised of solid waste collection, transfer and recycling operations, and a business comprised of solid waste hauling and transfer assets; and</w:t>
      </w:r>
    </w:p>
    <w:p>
      <w:pPr>
        <w:spacing w:after="0" w:line="8" w:lineRule="exact"/>
        <w:rPr>
          <w:rFonts w:ascii="Arial" w:cs="Arial" w:eastAsia="Arial" w:hAnsi="Arial"/>
          <w:sz w:val="18"/>
          <w:szCs w:val="18"/>
          <w:color w:val="auto"/>
        </w:rPr>
      </w:pPr>
    </w:p>
    <w:p>
      <w:pPr>
        <w:ind w:left="500" w:hanging="330"/>
        <w:spacing w:after="0" w:line="342" w:lineRule="auto"/>
        <w:tabs>
          <w:tab w:leader="none" w:pos="4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of nine businesses in fiscal year 2018: six tuck-in solid waste collection businesses, one transfer business, and two businesses comprised of solid waste collection and transfer operations, combined to a lesser extent with roll over impact of acquisitions made in fiscal year 2017.</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Closed operations.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closed operations change component in fiscal year 2019 total solid waste revenues growth from prior year is a result of the closure of the landfill located in Southbridge, Massachusetts ("Southbridge Landfill") in our Eastern region in the quarter ended December 31, 2018 and the closure of a transfer station in our Western region in the quarter ended March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Organics revenues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Fiscal year 2019 organics revenues increased $2.1 million from the prior year as a result of higher volumes associated with two large transportation and disposal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Solutions revenues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Fiscal year 2019 revenues increased $11.0 million from the prior year as a result of higher volumes mainly due to multi-site retail and industrial services organic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Recycling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Fiscal year 2019 recycling revenues increased $0.6 million from the prior year as a result of the following:</w:t>
      </w:r>
    </w:p>
    <w:p>
      <w:pPr>
        <w:spacing w:after="0" w:line="63"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$8.0 million from higher recycling processing fees;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$1.1 million from higher commodity volumes; partially offset by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$(8.5) million from unfavorable commodity pricing in the marketplace.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our cost of operations, general and administration expenses and depreciation and amortization expenses is as follows (dollars in millions and as a percentage of total revenues):</w:t>
      </w: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Fiscal Years Ended December 31,</w:t>
            </w:r>
          </w:p>
        </w:tc>
        <w:tc>
          <w:tcPr>
            <w:tcW w:w="1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202"/>
        </w:trPr>
        <w:tc>
          <w:tcPr>
            <w:tcW w:w="5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rPr>
              <w:t>508.7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494"/>
              <w:spacing w:after="0"/>
              <w:rPr>
                <w:sz w:val="20"/>
                <w:szCs w:val="20"/>
                <w:color w:val="auto"/>
              </w:rPr>
            </w:pPr>
            <w:r>
              <w:rPr>
                <w:rFonts w:ascii="Arial" w:cs="Arial" w:eastAsia="Arial" w:hAnsi="Arial"/>
                <w:sz w:val="18"/>
                <w:szCs w:val="18"/>
                <w:color w:val="auto"/>
              </w:rPr>
              <w:t>92.8</w:t>
            </w: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84.8</w:t>
            </w:r>
          </w:p>
        </w:tc>
        <w:tc>
          <w:tcPr>
            <w:tcW w:w="152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79.8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Operations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 explanation of the period-to-period change in cost of operations is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Third-party direct costs in fiscal year 2019 increased $25.8 million from the prior year as a result of the following:</w:t>
      </w:r>
    </w:p>
    <w:p>
      <w:pPr>
        <w:spacing w:after="0" w:line="63" w:lineRule="exact"/>
        <w:rPr>
          <w:sz w:val="20"/>
          <w:szCs w:val="20"/>
          <w:color w:val="auto"/>
        </w:rPr>
      </w:pPr>
    </w:p>
    <w:p>
      <w:pPr>
        <w:ind w:left="500" w:right="300" w:hanging="330"/>
        <w:spacing w:after="0" w:line="286"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disposal costs associated with: additional volumes related to acquisition activity; additional volumes related to multi-site retail and industrial services organic growth in our Customer Solutions line-of-business; increased disposal pricing in the northeastern United States; and an increased reliance on third-party disposal sites in our Organics line-of-business during the first half of the fiscal year; and</w:t>
      </w:r>
    </w:p>
    <w:p>
      <w:pPr>
        <w:spacing w:after="0" w:line="3" w:lineRule="exact"/>
        <w:rPr>
          <w:rFonts w:ascii="Arial" w:cs="Arial" w:eastAsia="Arial" w:hAnsi="Arial"/>
          <w:sz w:val="17"/>
          <w:szCs w:val="17"/>
          <w:color w:val="auto"/>
        </w:rPr>
      </w:pPr>
    </w:p>
    <w:p>
      <w:pPr>
        <w:ind w:left="500" w:right="20" w:hanging="330"/>
        <w:spacing w:after="0" w:line="259"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higher transportation rates; and higher brokerage volumes in our Customer Solutions line-of-business with high pass through direct costs; partially offset by lower hauling and third-party transportation costs in the Western region associated with lower transportation volumes related to a large contaminated soils project that occurred in the prior year.</w:t>
      </w:r>
    </w:p>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Labor and related benefit costs in fiscal year 2019 increased $15.9 million from the prior year due to higher labor costs related primarily to acquisition activity and wage increases associated with tight labor markets.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Maintenance and repair costs in fiscal year 2019 increased $13.3 million from the prior year due primarily to higher fleet and facility maintenance costs associated with acquisition activity and related business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Fuel costs in fiscal year 2019 increased $2.8 million from the prior year due primarily to higher volumes associated with acquisition activity.</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Direct operational costs in fiscal year 2019 decreased $(2.4) million from the prior year due to lower landfill operating lease amortization and lower host royalty fees driven primarily by the closure of the Southbridge Landfill in the Eastern region; lower rent expense associated with operating leases; and lower landfill operating costs; partially offset by higher auto insurance costs associated primarily with claims activity.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General and administration expenses include management, clerical and administrative compensation and overhead, professional services and costs associated with marketing, sales force and community relations efforts.</w:t>
      </w:r>
    </w:p>
    <w:p>
      <w:pPr>
        <w:spacing w:after="0" w:line="62"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period-to-period change in general and administration expense can be primarily attributed to higher labor and related benefit costs associated with acquisition activity and higher accrued incentive compensation, partially offset by lower equity compensation costs and lower professional service fees related to reduced legal costs and consulting fees.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1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December 31,</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7"/>
                <w:szCs w:val="17"/>
                <w:color w:val="auto"/>
              </w:rPr>
            </w:pPr>
          </w:p>
        </w:tc>
      </w:tr>
      <w:tr>
        <w:trPr>
          <w:trHeight w:val="202"/>
        </w:trPr>
        <w:tc>
          <w:tcPr>
            <w:tcW w:w="5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35.4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Landfill amortization expense</w:t>
            </w:r>
          </w:p>
        </w:tc>
        <w:tc>
          <w:tcPr>
            <w:tcW w:w="5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5"/>
              </w:rPr>
              <w:t>31.8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amortization expense</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24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70.5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2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period-to-period change in depreciation and amortization expense can be primarily attributed to acquisition activity, partially offset by lower landfill amortization expense associated with lower landfill volumes in our Eastern Region due to the closure of the Southbridge Landfill.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Multiemployer Pension Plan</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Pension Plan provides retirement benefits to participants based on their service to contributing employers. We do not administer the Pension Plan. The risks of participating in a multiemployer pension plan are different from a single-employer pension plan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5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October 2019, we reached an agreement to withdraw from the Pension Plan by entering into Withdrawal and Re-entry Agreements with the Pension Plan. In accordance with Financial Accounting Standards Board ("FASB") Accounting Standards Codification ("ASC") 450 - Contingencies, because of our withdrawal from the Pension Plan, we recorded an obligation of $3.2 million as of September 30, 2019 and a charge of $3.6 million as pension withdrawal expense, offset by a $0.4 million retroactive contribution credit recorded as cost of operations, in fiscal year 2019. While the withdrawal generates a fixed yearly contingent liability for us for a period of approximately seventeen (17) years, it caps our gross payments at $4.2 million, significantly reducing our cash exposure from the potential $18.5 million withdrawal liability as determined based on a complete withdrawal. As per the Re-entry Agreements and upon withdrawal, we re-entered the Pension Plan with certainty from a liability perspective. We have not, however, changed the terms of our CBA with Local 170, which remains in effect until June 30, 2020. As of December 31, 2019, we had a remaining obligation of $1.8 million associated with our withdrawal.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Southbridge Landfill Closure Charge, Net</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color w:val="auto"/>
        </w:rPr>
        <w:t>In June 2017, we initiated the plan to cease operations of our Southbridge Landfill and later closed it in November 2018 when Southbridge Landfill reached its final capacity</w:t>
      </w:r>
      <w:r>
        <w:rPr>
          <w:rFonts w:ascii="Arial" w:cs="Arial" w:eastAsia="Arial" w:hAnsi="Arial"/>
          <w:sz w:val="17"/>
          <w:szCs w:val="17"/>
          <w:i w:val="1"/>
          <w:iCs w:val="1"/>
          <w:color w:val="auto"/>
        </w:rPr>
        <w:t>.</w:t>
      </w:r>
      <w:r>
        <w:rPr>
          <w:rFonts w:ascii="Arial" w:cs="Arial" w:eastAsia="Arial" w:hAnsi="Arial"/>
          <w:sz w:val="17"/>
          <w:szCs w:val="17"/>
          <w:color w:val="auto"/>
        </w:rPr>
        <w:t xml:space="preserve"> In fiscal years 2019 and 2018, we recorded charges associated with the closure of our Southbridge Landfill as follows:</w:t>
      </w:r>
    </w:p>
    <w:p>
      <w:pPr>
        <w:spacing w:after="0" w:line="1"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13335</wp:posOffset>
            </wp:positionV>
            <wp:extent cx="1869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(1)</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 xml:space="preserve">Landfill closure project charge </w:t>
            </w:r>
            <w:r>
              <w:rPr>
                <w:rFonts w:ascii="Arial" w:cs="Arial" w:eastAsia="Arial" w:hAnsi="Arial"/>
                <w:sz w:val="14"/>
                <w:szCs w:val="14"/>
                <w:color w:val="auto"/>
              </w:rPr>
              <w:t>(2)</w:t>
            </w:r>
          </w:p>
        </w:tc>
        <w:tc>
          <w:tcPr>
            <w:tcW w:w="94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6.0</w:t>
            </w:r>
          </w:p>
        </w:tc>
      </w:tr>
      <w:tr>
        <w:trPr>
          <w:trHeight w:val="27"/>
        </w:trPr>
        <w:tc>
          <w:tcPr>
            <w:tcW w:w="8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Charlton settlement charge </w:t>
            </w:r>
            <w:r>
              <w:rPr>
                <w:rFonts w:ascii="Arial" w:cs="Arial" w:eastAsia="Arial" w:hAnsi="Arial"/>
                <w:sz w:val="14"/>
                <w:szCs w:val="14"/>
                <w:color w:val="auto"/>
              </w:rPr>
              <w:t>(3)</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(4)</w:t>
            </w:r>
          </w:p>
        </w:tc>
        <w:tc>
          <w:tcPr>
            <w:tcW w:w="94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2.2</w:t>
            </w:r>
          </w:p>
        </w:tc>
      </w:tr>
      <w:tr>
        <w:trPr>
          <w:trHeight w:val="27"/>
        </w:trPr>
        <w:tc>
          <w:tcPr>
            <w:tcW w:w="8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Recovery on insurance settlement </w:t>
            </w:r>
            <w:r>
              <w:rPr>
                <w:rFonts w:ascii="Arial" w:cs="Arial" w:eastAsia="Arial" w:hAnsi="Arial"/>
                <w:sz w:val="14"/>
                <w:szCs w:val="14"/>
                <w:color w:val="auto"/>
              </w:rPr>
              <w:t>(5)</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Southbridge Landfill closure charge, net</w:t>
            </w:r>
          </w:p>
        </w:tc>
        <w:tc>
          <w:tcPr>
            <w:tcW w:w="9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8.1</w:t>
            </w:r>
          </w:p>
        </w:tc>
      </w:tr>
      <w:tr>
        <w:trPr>
          <w:trHeight w:val="27"/>
        </w:trPr>
        <w:tc>
          <w:tcPr>
            <w:tcW w:w="8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180" w:hanging="330"/>
        <w:spacing w:after="0" w:line="277" w:lineRule="auto"/>
        <w:tabs>
          <w:tab w:leader="none" w:pos="4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recorded a contract settlement charge associated with the closure of Southbridge Landfill and the remaining future obligations due to the Town of Southbridge under the landfill operating agreement with the Town of Southbridge.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recorded a landfill closure project charge associated with increased costs under the revised closure plan at our Southbridge Landfill.</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established a reserve associated with settlement of the Town of Charlton's claim against us.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incurred legal and other transaction costs associated with various matters as part of the Southbridge Landfill closure.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recorded a recovery on an environmental insurance settlement associated with the Southbridge Landfill 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Expense from Acquisition Activities and Other Items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fiscal year 2019, we recorded a charge of $2.7 million associated primarily with acquisition activities. In fiscal year 2018, we recorded a charge of $1.9 million associated with acquisition activities and the write-off of deferred costs related to the expiration of our shelf registration statement. See Note 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to our consolidated financial statements included under Part II, Item 8 of this Annual Report on Form 10-K for disclosure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Settlement Charge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fiscal year 2018, we recorded contract settlement charges of $2.1 million associated with the termination and discounted buy-out of a commodities marketing and brokerage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Development Project Charge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fiscal year 2018, we recorded development project charges of $0.3 million associated with previously deferred costs that were written off as a result of the negative vote in a public referendum relating to the NCES Landfill.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interest expense, net decreased $(1.3) million in fiscal year 2019 due primarily to lower average interest rates, lower average debt balances and the refinancing of our term loan B facility ("Term Loan B Facility") with our existing revolving line of credit facility ("Revolving Credit Facility") and our term loan A facility ("Term Loan Facility", together with the Revolving Credit Facility, the "Credit Facility"), and the remarketing of our Vermont Economic Development Authority Solid Waste Disposal Long-Term Revenue Bonds Series 2013 ("Vermont Bonds") and our New York State Environmental Facilities Corporation Solid Waste Disposal Revenue Bonds Series 2014 ("New York Bonds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on Debt Extinguishment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order to lower our borrowing costs and reduce our market risk we completed the following transactions that resulted in a loss on debt extinguishment in fiscal year 2018 of $7.4 million:</w:t>
      </w:r>
    </w:p>
    <w:p>
      <w:pPr>
        <w:spacing w:after="0" w:line="8" w:lineRule="exact"/>
        <w:rPr>
          <w:sz w:val="20"/>
          <w:szCs w:val="20"/>
          <w:color w:val="auto"/>
        </w:rPr>
      </w:pPr>
    </w:p>
    <w:p>
      <w:pPr>
        <w:ind w:left="500" w:right="740" w:hanging="330"/>
        <w:spacing w:after="0" w:line="27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the case of our Term Loan B Facility in fiscal year 2018, associated with the refinancing of our previously outstanding senior secured credit facility in fiscal year 2018: and</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our Vermont Bonds in fiscal year 2018.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Investments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2018, we owned 6.8% of the outstanding common stock of Recycle Rewards, Inc. (“Recycle Rewards”), a company that marketed an incentive based recycling service. In fiscal year 2018, it was determined based on the operating performance of Recycle Rewards that our cost method investment in Recycle Rewards was potentially impaired. As a result, we performed a valuation analysis in fiscal year 2018,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for the full cost method investment amount of $1.1 million in fiscal year 2018. In October 2019, Recycle Rewards sold all or substantially all of its assets comprising the business to RTS RecycleBank, LLC, a subsidiary of Recycle Track Systems, pursuant to an asset purchase agreement. Based on our junior ownership position, we did not receive any proceeds from this disposition.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for Income Taxes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benefit for income taxes was $(1.9) million in fiscal year 2019 and $(0.4) million in fiscal year 2018. The benefit for income taxes for fiscal years 2019 and 2018 include a deferred tax (benefit) provision of $(1.2) million and $1.3 million, respectively.</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fiscal years 2019 and 2018, we recognized $(2.4) million and $(0.9) million of deferred tax benefits, respectively, due to a reduction of the valuation allowance. The valuation allowance decreased in the periods based upon the recognition of additional reversing temporary differences related to the $2.4 million deferred tax liability recorded through goodwill for the acquisition of a company in May 2019 and $0.9 million deferred tax liability recorded through goodwill for the acquisition of two companies in January 2018. The deferred tax liabilities related to the acquisitions were based on the impact of temporary differences between the amounts of assets and liabilities recognized for financial reporting purposes and the related tax bases. Deferred tax benefits of $(2.1) million and $(1.6) million were recognized in the quarters ended June 30, 2019 and March 31, 2018, respectively, based on initial estimates of the acquired temporary differences, and adjusted by $(0.3) million in the quarter ended December 31, 2019 and by $0.7 million in subsequent quarters of fiscal year 2018 based on the availability of better estimates of temporary differences upon the filing of prior year returns by the sellers.</w:t>
      </w:r>
    </w:p>
    <w:p>
      <w:pPr>
        <w:spacing w:after="0" w:line="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fiscal year 2019, we recognized a $(0.3) million deferred tax benefit due to a reduction of the deferred tax liability related to indefinite lived assets. The financial statement value of indefinite lived goodwill was reduced as a result of a settlement of an acquisition contingency that pre-dated the effective date of ASC 805, which resulted in a reduction of the related deferred tax liability.</w:t>
      </w:r>
    </w:p>
    <w:p>
      <w:pPr>
        <w:spacing w:after="0" w:line="7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December 22, 2017, the Tax Cuts and Jobs Act (the “Act”) was enacted. The Act, which is also commonly referred to as “US tax reform,” significantly changed US corporate income tax laws by, among other things, reducing the US corporate income tax rate from 35% to 21% starting in 2018. Under the Act, the alternative minimum tax has been repealed and minimum tax credit carryforwards became refundable beginning in 2018 and will be fully refunded, if not otherwise used to offset tax liabilities, in tax year 2021. Further, our $110.6 million in federal net operating loss carryforwards generated as of the end of 2017 continue to be carried forward for 20 years and are expected to be available to fully offset taxable income earned in future tax years. Federal net operating losses generated after 2017, totaling $67.4 million as of fiscal year 2019, are carried forward indefinitely, but generally may only offset up to 80% of taxable income earned in a tax year. In the quarter ending December 31, 2017, we revalued our deferred tax assets and liabilities for changes under the Act including</w:t>
      </w:r>
    </w:p>
    <w:p>
      <w:pPr>
        <w:spacing w:after="0" w:line="3" w:lineRule="exact"/>
        <w:rPr>
          <w:sz w:val="20"/>
          <w:szCs w:val="20"/>
          <w:color w:val="auto"/>
        </w:rPr>
      </w:pPr>
    </w:p>
    <w:p>
      <w:pPr>
        <w:ind w:right="160" w:firstLine="8"/>
        <w:spacing w:after="0" w:line="255"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revaluing our federal net deferred taxes assets before valuation allowance using the 21% tax rate; (b) revaluing our federal valuation allowance using the 21% tax rate; and (c) recognizing a federal deferred tax benefit for 80% of indefinite lived deferred tax liabilities, which are anticipated to be available as a source of taxable income upon reversal of deferred tax assets that would also have indefinite lives.</w:t>
      </w:r>
    </w:p>
    <w:p>
      <w:pPr>
        <w:spacing w:after="0" w:line="8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benefit for income taxes for fiscal years 2019 and 2018 incorporates the changes under the Act, including use of the 21% US corporate income tax rate and applying the new federal net operating loss carryforward rules. At the end of 2017, we had $3.8 million of minimum tax credit carryforwards of which $1.0 million is refundable for 2019 and $1.9 million was refunded for 2018. Current income tax benefits of $1.0 million, offset by a $1.0 million deferred tax provision, were recognized in fiscal year 2019 for the minimum tax credit carryforward refundable for the year.</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ind w:right="60"/>
        <w:spacing w:after="0" w:line="252" w:lineRule="auto"/>
        <w:rPr>
          <w:sz w:val="20"/>
          <w:szCs w:val="20"/>
          <w:color w:val="auto"/>
        </w:rPr>
      </w:pPr>
      <w:r>
        <w:rPr>
          <w:rFonts w:ascii="Arial" w:cs="Arial" w:eastAsia="Arial" w:hAnsi="Arial"/>
          <w:sz w:val="18"/>
          <w:szCs w:val="18"/>
          <w:color w:val="auto"/>
        </w:rPr>
        <w:t>Our revenues in the Recycling segment were derived from municipalities and customers in the form of processing fees, tipping fees and commodity sales. Organics services, ancillary operations, along with major account and industrial services, were included in our Other segment. Effective January 1, 2020, we reorganized our operating segments as follows: we aligned our organics services and our major account and industrial services with our Recycling segment to form the Resource Solutions segment, thus creating a single resource renewal-focused segment. We also moved our ancillary transportation services, which were previously included in our Other segment, into our Western region. Accordingly, as of January 1, 2020, our operating segments consist of the Eastern and Western regions and Resource Solutions.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120" w:type="dxa"/>
            <w:vAlign w:val="bottom"/>
            <w:gridSpan w:val="6"/>
          </w:tcPr>
          <w:p>
            <w:pPr>
              <w:ind w:left="520"/>
              <w:spacing w:after="0"/>
              <w:rPr>
                <w:sz w:val="20"/>
                <w:szCs w:val="20"/>
                <w:color w:val="auto"/>
              </w:rPr>
            </w:pPr>
            <w:r>
              <w:rPr>
                <w:rFonts w:ascii="Arial" w:cs="Arial" w:eastAsia="Arial" w:hAnsi="Arial"/>
                <w:sz w:val="14"/>
                <w:szCs w:val="14"/>
                <w:b w:val="1"/>
                <w:bCs w:val="1"/>
                <w:color w:val="auto"/>
              </w:rPr>
              <w:t>Fiscal Year Ended December 31,</w:t>
            </w: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196"/>
        </w:trPr>
        <w:tc>
          <w:tcPr>
            <w:tcW w:w="68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02"/>
        </w:trPr>
        <w:tc>
          <w:tcPr>
            <w:tcW w:w="6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Western</w:t>
            </w:r>
          </w:p>
        </w:tc>
        <w:tc>
          <w:tcPr>
            <w:tcW w:w="8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57.1</w:t>
            </w:r>
          </w:p>
        </w:tc>
      </w:tr>
      <w:tr>
        <w:trPr>
          <w:trHeight w:val="27"/>
        </w:trPr>
        <w:tc>
          <w:tcPr>
            <w:tcW w:w="6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11.9</w:t>
            </w:r>
          </w:p>
        </w:tc>
      </w:tr>
      <w:tr>
        <w:trPr>
          <w:trHeight w:val="27"/>
        </w:trPr>
        <w:tc>
          <w:tcPr>
            <w:tcW w:w="6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743.3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660.7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82.6</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306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3"/>
              </w:rPr>
              <w:t>Period-to-Period Change for Fiscal Year 2019 vs</w:t>
            </w:r>
          </w:p>
        </w:tc>
      </w:tr>
      <w:tr>
        <w:trPr>
          <w:trHeight w:val="192"/>
        </w:trPr>
        <w:tc>
          <w:tcPr>
            <w:tcW w:w="8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w w:val="97"/>
              </w:rPr>
              <w:t>Fiscal Year 2018</w:t>
            </w:r>
          </w:p>
        </w:tc>
        <w:tc>
          <w:tcPr>
            <w:tcW w:w="200" w:type="dxa"/>
            <w:vAlign w:val="bottom"/>
            <w:tcBorders>
              <w:bottom w:val="single" w:sz="8" w:color="auto"/>
            </w:tcBorders>
          </w:tcPr>
          <w:p>
            <w:pPr>
              <w:spacing w:after="0"/>
              <w:rPr>
                <w:sz w:val="16"/>
                <w:szCs w:val="16"/>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 of Growth</w:t>
            </w:r>
          </w:p>
        </w:tc>
        <w:tc>
          <w:tcPr>
            <w:tcW w:w="200" w:type="dxa"/>
            <w:vAlign w:val="bottom"/>
            <w:tcBorders>
              <w:bottom w:val="single" w:sz="8" w:color="auto"/>
            </w:tcBorders>
          </w:tcPr>
          <w:p>
            <w:pPr>
              <w:spacing w:after="0"/>
              <w:rPr>
                <w:sz w:val="17"/>
                <w:szCs w:val="17"/>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5"/>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Volume</w:t>
            </w:r>
          </w:p>
        </w:tc>
        <w:tc>
          <w:tcPr>
            <w:tcW w:w="9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(2.7)</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9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5"/>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Closed landfill</w:t>
            </w:r>
          </w:p>
        </w:tc>
        <w:tc>
          <w:tcPr>
            <w:tcW w:w="9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(9.6)</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revenues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5"/>
              </w:rPr>
              <w:t>13.0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2019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$8.4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$3.3 million from favorable disposal pricing related to transfer stations and landfills.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2019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$(2.3) million from lower collection volumes as we continue to focus on pricing and the quality of revenue;</w:t>
      </w:r>
    </w:p>
    <w:p>
      <w:pPr>
        <w:spacing w:after="0" w:line="63" w:lineRule="exact"/>
        <w:rPr>
          <w:rFonts w:ascii="Arial" w:cs="Arial" w:eastAsia="Arial" w:hAnsi="Arial"/>
          <w:sz w:val="18"/>
          <w:szCs w:val="18"/>
          <w:color w:val="auto"/>
        </w:rPr>
      </w:pPr>
    </w:p>
    <w:p>
      <w:pPr>
        <w:ind w:left="500" w:right="80" w:hanging="330"/>
        <w:spacing w:after="0" w:line="277"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$(0.2) million from lower disposal volumes (of which $(0.5) million relates to lower landfill volumes and $0.3 million relates to higher transfer station volumes); and</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Surcharges and other fees.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surcharges and other fees change component in in fiscal year 2019 solid waste revenues growth from the prior year is associated primarily with the Energy component of the Energy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commodity price and volume change component in fiscal year 2019 total solid waste revenues growth is the result of lower landfill gas-to-energy production.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acquisitions and divestitures change component in fiscal year 2019 solid waste revenues growth is primarily the result of the acquisition of three tuck-in solid waste collection businesses in the quarter ended June 30, 2019 and two businesses comprised of solid waste collection and transfer operations during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Closed landfill.</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closed landfill change component in fiscal year 2019 solid waste revenues growth from prior year is the result of the closure of our Southbridge Landfill in the quarter ended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and as percentage growth of solid waste revenues) attributable to services provided:</w:t>
      </w: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306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auto"/>
                <w:w w:val="93"/>
              </w:rPr>
              <w:t>Period-to-Period Change for Fiscal Year 2019 vs</w:t>
            </w:r>
          </w:p>
        </w:tc>
      </w:tr>
      <w:tr>
        <w:trPr>
          <w:trHeight w:val="192"/>
        </w:trPr>
        <w:tc>
          <w:tcPr>
            <w:tcW w:w="8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w w:val="97"/>
              </w:rPr>
              <w:t>Fiscal Year 2018</w:t>
            </w:r>
          </w:p>
        </w:tc>
        <w:tc>
          <w:tcPr>
            <w:tcW w:w="200" w:type="dxa"/>
            <w:vAlign w:val="bottom"/>
            <w:tcBorders>
              <w:bottom w:val="single" w:sz="8" w:color="auto"/>
            </w:tcBorders>
          </w:tcPr>
          <w:p>
            <w:pPr>
              <w:spacing w:after="0"/>
              <w:rPr>
                <w:sz w:val="16"/>
                <w:szCs w:val="16"/>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 of Growth</w:t>
            </w:r>
          </w:p>
        </w:tc>
        <w:tc>
          <w:tcPr>
            <w:tcW w:w="200" w:type="dxa"/>
            <w:vAlign w:val="bottom"/>
            <w:tcBorders>
              <w:bottom w:val="single" w:sz="8" w:color="auto"/>
            </w:tcBorders>
          </w:tcPr>
          <w:p>
            <w:pPr>
              <w:spacing w:after="0"/>
              <w:rPr>
                <w:sz w:val="17"/>
                <w:szCs w:val="17"/>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5"/>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836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960" w:type="dxa"/>
            <w:vAlign w:val="bottom"/>
          </w:tcPr>
          <w:p>
            <w:pPr>
              <w:spacing w:after="0"/>
              <w:rPr>
                <w:sz w:val="23"/>
                <w:szCs w:val="23"/>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3"/>
                <w:szCs w:val="23"/>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9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(3.1)</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5"/>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Closed operations</w:t>
            </w:r>
          </w:p>
        </w:tc>
        <w:tc>
          <w:tcPr>
            <w:tcW w:w="9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revenues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5"/>
              </w:rPr>
              <w:t>58.1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80" w:hanging="330"/>
        <w:spacing w:after="0" w:line="277" w:lineRule="auto"/>
        <w:tabs>
          <w:tab w:leader="none" w:pos="4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for $1.0 million of inter-company movements between solid waste collection volume and Customer Solutions associated with the acquisition of a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fiscal year 2019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$7.8 million from favorable collection pricing;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$5.8 million from favorable disposal pricing related to transfer stations and landfills; partially offset by</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$(0.1) million from unfavorable processing pricing.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fiscal year 2019 solid waste revenues growth from the prior year is a result of the following:</w:t>
      </w:r>
    </w:p>
    <w:p>
      <w:pPr>
        <w:spacing w:after="0" w:line="63"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$(0.3) million from lower processing volumes; and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$(0.2) million from lower collection volumes; partially offset by</w:t>
      </w:r>
    </w:p>
    <w:p>
      <w:pPr>
        <w:spacing w:after="0" w:line="63" w:lineRule="exact"/>
        <w:rPr>
          <w:rFonts w:ascii="Arial" w:cs="Arial" w:eastAsia="Arial" w:hAnsi="Arial"/>
          <w:sz w:val="18"/>
          <w:szCs w:val="18"/>
          <w:color w:val="auto"/>
        </w:rPr>
      </w:pPr>
    </w:p>
    <w:p>
      <w:pPr>
        <w:jc w:val="both"/>
        <w:ind w:left="500" w:right="200" w:hanging="330"/>
        <w:spacing w:after="0" w:line="342" w:lineRule="auto"/>
        <w:tabs>
          <w:tab w:leader="none" w:pos="4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$0.4 million from higher disposal volumes (of which $2.3 million relates to higher landfill volumes and $1.5 million relates to higher transfer station volumes and $(3.4) million relates to lower transportation volumes associated with a large contaminated soils project that occurred in the prior year).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Fuel surcharges and other fees.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surcharges and other fees change component in fiscal year 2019 solid waste revenues growth from the prior year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and volume.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commodity price and volume change component in fiscal year 2019 solid waste revenues growth from the prior year is primarily the result of unfavorable energy pricing, unfavorable commodity pricing, and lower commodity volumes within our processing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acquisitions and divestitures change component in fiscal year 2019 solid waste revenues growth from the prior year is the result of the acquisition of a business comprised of solid waste collection, transfer and recycling operations; the acquisition of four tuck-in solid waste collection businesses and a business comprised of solid waste hauling and transfer assets; and six solid waste collection businesses and one transfer business throughout the prior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closed operations change component in fiscal year 2019 solid waste revenues growth from the prior year is the result of the closure of a transfer station.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segments (in millions)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15"/>
              <w:spacing w:after="0"/>
              <w:rPr>
                <w:sz w:val="20"/>
                <w:szCs w:val="20"/>
                <w:color w:val="auto"/>
              </w:rPr>
            </w:pPr>
            <w:r>
              <w:rPr>
                <w:rFonts w:ascii="Arial" w:cs="Arial" w:eastAsia="Arial" w:hAnsi="Arial"/>
                <w:sz w:val="14"/>
                <w:szCs w:val="14"/>
                <w:b w:val="1"/>
                <w:bCs w:val="1"/>
                <w:color w:val="auto"/>
              </w:rPr>
              <w:t>$</w:t>
            </w:r>
          </w:p>
        </w:tc>
      </w:tr>
      <w:tr>
        <w:trPr>
          <w:trHeight w:val="196"/>
        </w:trPr>
        <w:tc>
          <w:tcPr>
            <w:tcW w:w="6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r>
      <w:tr>
        <w:trPr>
          <w:trHeight w:val="202"/>
        </w:trPr>
        <w:tc>
          <w:tcPr>
            <w:tcW w:w="6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Western</w:t>
            </w:r>
          </w:p>
        </w:tc>
        <w:tc>
          <w:tcPr>
            <w:tcW w:w="940" w:type="dxa"/>
            <w:vAlign w:val="bottom"/>
          </w:tcPr>
          <w:p>
            <w:pPr>
              <w:spacing w:after="0"/>
              <w:rPr>
                <w:sz w:val="21"/>
                <w:szCs w:val="21"/>
                <w:color w:val="auto"/>
              </w:rPr>
            </w:pPr>
          </w:p>
        </w:tc>
        <w:tc>
          <w:tcPr>
            <w:tcW w:w="520" w:type="dxa"/>
            <w:vAlign w:val="bottom"/>
          </w:tcPr>
          <w:p>
            <w:pPr>
              <w:jc w:val="right"/>
              <w:ind w:right="73"/>
              <w:spacing w:after="0"/>
              <w:rPr>
                <w:sz w:val="20"/>
                <w:szCs w:val="20"/>
                <w:color w:val="auto"/>
              </w:rPr>
            </w:pPr>
            <w:r>
              <w:rPr>
                <w:rFonts w:ascii="Arial" w:cs="Arial" w:eastAsia="Arial" w:hAnsi="Arial"/>
                <w:sz w:val="18"/>
                <w:szCs w:val="18"/>
                <w:color w:val="auto"/>
                <w:w w:val="96"/>
              </w:rPr>
              <w:t>41.9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0.4</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2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1.2</w:t>
            </w:r>
          </w:p>
        </w:tc>
      </w:tr>
      <w:tr>
        <w:trPr>
          <w:trHeight w:val="27"/>
        </w:trPr>
        <w:tc>
          <w:tcPr>
            <w:tcW w:w="6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6"/>
              </w:rPr>
              <w:t>53.1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Eastern Region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Eastern region operating income increased $4.8 million in fiscal year 2019 from the prior year. Excluding the impact of the Southbridge Landfill closure charge, net, the multiemployer pension plan withdrawal costs, the development project charge and the expense from acquisition activities and other items, our operating performance in fiscal year 2019 improved as a result of revenue growth and the cost impacts discussed below.</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$13.4 million in fiscal year 2019 from the prior year as a result of the following:</w:t>
      </w:r>
    </w:p>
    <w:p>
      <w:pPr>
        <w:spacing w:after="0" w:line="63" w:lineRule="exact"/>
        <w:rPr>
          <w:sz w:val="20"/>
          <w:szCs w:val="20"/>
          <w:color w:val="auto"/>
        </w:rPr>
      </w:pPr>
    </w:p>
    <w:p>
      <w:pPr>
        <w:ind w:left="500" w:right="4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disposal costs associated with additional volumes related to acquisition activity, increased third-party disposal pricing in the northeastern United States, and redirection of waste previously disposed at the Southbridge Landfill;</w:t>
      </w:r>
    </w:p>
    <w:p>
      <w:pPr>
        <w:spacing w:after="0" w:line="8" w:lineRule="exact"/>
        <w:rPr>
          <w:rFonts w:ascii="Arial" w:cs="Arial" w:eastAsia="Arial" w:hAnsi="Arial"/>
          <w:sz w:val="18"/>
          <w:szCs w:val="18"/>
          <w:color w:val="auto"/>
        </w:rPr>
      </w:pPr>
    </w:p>
    <w:p>
      <w:pPr>
        <w:ind w:left="500" w:right="10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higher transportation rates, and higher transport costs as volumes were redirected from the Southbridge Landfill;</w:t>
      </w:r>
    </w:p>
    <w:p>
      <w:pPr>
        <w:spacing w:after="0" w:line="8" w:lineRule="exact"/>
        <w:rPr>
          <w:rFonts w:ascii="Arial" w:cs="Arial" w:eastAsia="Arial" w:hAnsi="Arial"/>
          <w:sz w:val="18"/>
          <w:szCs w:val="18"/>
          <w:color w:val="auto"/>
        </w:rPr>
      </w:pPr>
    </w:p>
    <w:p>
      <w:pPr>
        <w:ind w:left="500" w:right="22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labor and related benefit costs due to higher labor costs related primarily to acquisition activity and wage increases associated with tight labor markets;</w:t>
      </w:r>
    </w:p>
    <w:p>
      <w:pPr>
        <w:spacing w:after="0" w:line="8" w:lineRule="exact"/>
        <w:rPr>
          <w:rFonts w:ascii="Arial" w:cs="Arial" w:eastAsia="Arial" w:hAnsi="Arial"/>
          <w:sz w:val="18"/>
          <w:szCs w:val="18"/>
          <w:color w:val="auto"/>
        </w:rPr>
      </w:pPr>
    </w:p>
    <w:p>
      <w:pPr>
        <w:ind w:left="500" w:right="64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maintenance and repair costs due primarily to higher fleet and facility maintenance costs associated with acquisition activity and related business growth; and</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fuel costs due primarily to higher volumes associated with acquisition activity; partially offset by</w:t>
      </w:r>
    </w:p>
    <w:p>
      <w:pPr>
        <w:spacing w:after="0" w:line="63" w:lineRule="exact"/>
        <w:rPr>
          <w:rFonts w:ascii="Arial" w:cs="Arial" w:eastAsia="Arial" w:hAnsi="Arial"/>
          <w:sz w:val="18"/>
          <w:szCs w:val="18"/>
          <w:color w:val="auto"/>
        </w:rPr>
      </w:pPr>
    </w:p>
    <w:p>
      <w:pPr>
        <w:ind w:left="500" w:right="480" w:hanging="330"/>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direct operational costs due to lower landfill operating lease amortization, lower landfill operating costs, and lower host royalty fees driven primarily by the closure of the Southbridge Landfill; and lower rent expense associated with operating leases.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$0.6 million in fiscal year 2019 due primarily to higher labor and related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acquisition activity and higher accrued incentive compensation, partially offset by lower professional service fees related to reduced legal costs and consulting fees.</w:t>
      </w:r>
    </w:p>
    <w:p>
      <w:pPr>
        <w:spacing w:after="0" w:line="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$(2.2) million in fiscal year 2019 due primarily to lower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with lower landfill volumes due to the closure of the Southbridge Landfill, partially offset by higher depreciation expense associated with acquisition activity.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Western Region</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Western region operating income increased $0.4 million in fiscal year 2019 from the prior year. Excluding the impact of expense from acquisition activities and other items, our operating performance in fiscal year 2019 improved as a result of revenue growth and the cost impacts discussed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$53.3 million in fiscal year 2019 from the prior year as a result of the following:</w:t>
      </w:r>
    </w:p>
    <w:p>
      <w:pPr>
        <w:spacing w:after="0" w:line="63" w:lineRule="exact"/>
        <w:rPr>
          <w:sz w:val="20"/>
          <w:szCs w:val="20"/>
          <w:color w:val="auto"/>
        </w:rPr>
      </w:pPr>
    </w:p>
    <w:p>
      <w:pPr>
        <w:ind w:left="500" w:right="240" w:hanging="330"/>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disposal costs associated with additional volumes related to acquisition activity, and increased third-party disposal pricing in the northeastern United States;</w:t>
      </w:r>
    </w:p>
    <w:p>
      <w:pPr>
        <w:spacing w:after="0" w:line="8" w:lineRule="exact"/>
        <w:rPr>
          <w:rFonts w:ascii="Arial" w:cs="Arial" w:eastAsia="Arial" w:hAnsi="Arial"/>
          <w:sz w:val="18"/>
          <w:szCs w:val="18"/>
          <w:color w:val="auto"/>
        </w:rPr>
      </w:pPr>
    </w:p>
    <w:p>
      <w:pPr>
        <w:ind w:left="500" w:right="20" w:hanging="330"/>
        <w:spacing w:after="0" w:line="264"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 partially offset by lower hauling and third-party transportation costs associated with lower transportation volumes related to a large contaminated soils project that occurred in the prior year;</w:t>
      </w:r>
    </w:p>
    <w:p>
      <w:pPr>
        <w:spacing w:after="0" w:line="19" w:lineRule="exact"/>
        <w:rPr>
          <w:rFonts w:ascii="Arial" w:cs="Arial" w:eastAsia="Arial" w:hAnsi="Arial"/>
          <w:sz w:val="18"/>
          <w:szCs w:val="18"/>
          <w:color w:val="auto"/>
        </w:rPr>
      </w:pPr>
    </w:p>
    <w:p>
      <w:pPr>
        <w:ind w:left="500" w:right="200" w:hanging="330"/>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labor and related benefit costs due to higher labor costs related primarily to acquisition activity and wage increases associated with tight labor markets;</w:t>
      </w:r>
    </w:p>
    <w:p>
      <w:pPr>
        <w:spacing w:after="0" w:line="8" w:lineRule="exact"/>
        <w:rPr>
          <w:rFonts w:ascii="Arial" w:cs="Arial" w:eastAsia="Arial" w:hAnsi="Arial"/>
          <w:sz w:val="18"/>
          <w:szCs w:val="18"/>
          <w:color w:val="auto"/>
        </w:rPr>
      </w:pPr>
    </w:p>
    <w:p>
      <w:pPr>
        <w:ind w:left="500" w:right="620" w:hanging="330"/>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maintenance and repair costs due primarily to higher fleet and facility maintenance costs associated with acquisition activity and related business growth;</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fuel costs due primarily to higher volumes associated with acquisition activity; and</w:t>
      </w:r>
    </w:p>
    <w:p>
      <w:pPr>
        <w:spacing w:after="0" w:line="63" w:lineRule="exact"/>
        <w:rPr>
          <w:rFonts w:ascii="Arial" w:cs="Arial" w:eastAsia="Arial" w:hAnsi="Arial"/>
          <w:sz w:val="18"/>
          <w:szCs w:val="18"/>
          <w:color w:val="auto"/>
        </w:rPr>
      </w:pPr>
    </w:p>
    <w:p>
      <w:pPr>
        <w:ind w:left="500" w:right="780" w:hanging="330"/>
        <w:spacing w:after="0" w:line="291" w:lineRule="auto"/>
        <w:tabs>
          <w:tab w:leader="none" w:pos="4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higher direct operational costs due to higher auto insurance costs associated with claims activity, and increased operational activity related to acquisition activity and related business growth; partially offset by lower rent expense associated with operating leases.</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$6.7 million in fiscal year 2019 due to higher labor and related benefit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acquisition activity, and an increased allocation of shared overhead costs based on business growth; partially offset by lower accrued incentive compensation costs.</w:t>
      </w:r>
    </w:p>
    <w:p>
      <w:pPr>
        <w:spacing w:after="0" w:line="73" w:lineRule="exact"/>
        <w:rPr>
          <w:sz w:val="20"/>
          <w:szCs w:val="20"/>
          <w:color w:val="auto"/>
        </w:rPr>
      </w:pPr>
    </w:p>
    <w:p>
      <w:pPr>
        <w:ind w:right="480"/>
        <w:spacing w:after="0" w:line="375"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$11.8 million in fiscal year 2019 due primarily to acquisition activity.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u w:val="single" w:color="auto"/>
          <w:color w:val="auto"/>
        </w:rPr>
        <w:t>Recycling</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Recycling operating income increased by $7.0 million in fiscal year 2019 from the prior year. Excluding the impact of expense from acquisition activities and other items and the contract settlement charge associated with the termination and discounted buy-out of a commodities marketing and brokerage agreement in the prior year, our operating performance in fiscal year 2019 improved primarily due to revenue growth on higher commodity volumes and recycling processing fees, combined with lower operating costs, including lower third-party disposal costs and lower purchased material costs on reduced commodity pricing in the marketplace.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increased by $1.2 million in fiscal year 2019 from the prior year based on the following:</w:t>
      </w:r>
    </w:p>
    <w:p>
      <w:pPr>
        <w:spacing w:after="0" w:line="63" w:lineRule="exact"/>
        <w:rPr>
          <w:sz w:val="20"/>
          <w:szCs w:val="20"/>
          <w:color w:val="auto"/>
        </w:rPr>
      </w:pPr>
    </w:p>
    <w:p>
      <w:pPr>
        <w:ind w:left="500" w:right="26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improved operating performance of our Customer Solutions line-of-business, as revenue growth associated with increased volumes outpaced higher cost of operations associated with the corresponding increase in hauling, transportation and disposal costs; and</w:t>
      </w:r>
    </w:p>
    <w:p>
      <w:pPr>
        <w:spacing w:after="0" w:line="8" w:lineRule="exact"/>
        <w:rPr>
          <w:rFonts w:ascii="Arial" w:cs="Arial" w:eastAsia="Arial" w:hAnsi="Arial"/>
          <w:sz w:val="18"/>
          <w:szCs w:val="18"/>
          <w:color w:val="auto"/>
        </w:rPr>
      </w:pPr>
    </w:p>
    <w:p>
      <w:pPr>
        <w:ind w:left="500" w:right="260" w:hanging="330"/>
        <w:spacing w:after="0" w:line="259"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improved operating performance of our Organics line-of-business, as revenue growth associated with increased volumes, which were driven by two large transportation and disposal contracts, outpaced higher cost of operations as a result of internalizing disposal volumes that were previously directed to third-party sites. This offset the impact of intercompany profits in our Organics line-of-business passing through to landfill disposal sites resulting in lower margins.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$200.0 million Revolving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9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investments securities - landfill closure</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2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Non-current portion</w:t>
            </w:r>
          </w:p>
        </w:tc>
        <w:tc>
          <w:tcPr>
            <w:tcW w:w="880" w:type="dxa"/>
            <w:vAlign w:val="bottom"/>
          </w:tcPr>
          <w:p>
            <w:pPr>
              <w:spacing w:after="0"/>
              <w:rPr>
                <w:sz w:val="21"/>
                <w:szCs w:val="21"/>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w w:val="88"/>
              </w:rPr>
              <w:t>518.4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8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88"/>
              </w:rPr>
              <w:t>522.7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cash flows (in millions) follows:</w:t>
      </w:r>
    </w:p>
    <w:p>
      <w:pPr>
        <w:spacing w:after="0" w:line="5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13335</wp:posOffset>
            </wp:positionV>
            <wp:extent cx="1903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120.8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(177.5)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(164.2)</w:t>
            </w:r>
          </w:p>
        </w:tc>
      </w:tr>
      <w:tr>
        <w:trPr>
          <w:trHeight w:val="27"/>
        </w:trPr>
        <w:tc>
          <w:tcPr>
            <w:tcW w:w="57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45.4</w:t>
            </w:r>
          </w:p>
        </w:tc>
      </w:tr>
      <w:tr>
        <w:trPr>
          <w:trHeight w:val="27"/>
        </w:trPr>
        <w:tc>
          <w:tcPr>
            <w:tcW w:w="57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55"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13335</wp:posOffset>
            </wp:positionV>
            <wp:extent cx="1903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70.5</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Depletion of landfill operating lease obligations</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9.7</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Operating lease right-of-use assets expense</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Southbridge Landfill non-cash closure charge</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Southbridge Landfill insurance recovery for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Development project charge</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0.3</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expense from acquisition activities and other items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7.4</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43"/>
        </w:trPr>
        <w:tc>
          <w:tcPr>
            <w:tcW w:w="8420" w:type="dxa"/>
            <w:vAlign w:val="bottom"/>
          </w:tcPr>
          <w:p>
            <w:pPr>
              <w:ind w:left="340"/>
              <w:spacing w:after="0"/>
              <w:rPr>
                <w:sz w:val="20"/>
                <w:szCs w:val="20"/>
                <w:color w:val="auto"/>
              </w:rPr>
            </w:pPr>
            <w:r>
              <w:rPr>
                <w:rFonts w:ascii="Arial" w:cs="Arial" w:eastAsia="Arial" w:hAnsi="Arial"/>
                <w:sz w:val="18"/>
                <w:szCs w:val="18"/>
                <w:color w:val="auto"/>
              </w:rPr>
              <w:t>Withdrawal costs - multiemployer pension plan</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r>
      <w:tr>
        <w:trPr>
          <w:trHeight w:val="237"/>
        </w:trPr>
        <w:tc>
          <w:tcPr>
            <w:tcW w:w="8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126.2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120.8</w:t>
            </w:r>
          </w:p>
        </w:tc>
      </w:tr>
      <w:tr>
        <w:trPr>
          <w:trHeight w:val="27"/>
        </w:trPr>
        <w:tc>
          <w:tcPr>
            <w:tcW w:w="8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Net cash provided by operating activities decreased $(4.0) million in fiscal year 2019 as compared to fiscal year 2018. This was the result of improved operational performance, being more than offset by the unfavorable cash flow impact associated with the changes in our assets and liabilities, net of effects of acquisitions and divestitures. For discussion over our improved operational performance fiscal year 2019 as compared to fiscal year 2018, see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included in Item 7 of this Annual Report on Form 10-K. The $(23.4) million increase in the unfavorable cash flow impact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our assets and liabilities, net of effects of acquisitions and divestitures, which are affected by both cost changes and the timing of payments, in fiscal year 2019 as compared to fiscal year 2018 was due to the following:</w:t>
      </w:r>
    </w:p>
    <w:p>
      <w:pPr>
        <w:spacing w:after="0" w:line="31" w:lineRule="exact"/>
        <w:rPr>
          <w:sz w:val="20"/>
          <w:szCs w:val="20"/>
          <w:color w:val="auto"/>
        </w:rPr>
      </w:pPr>
    </w:p>
    <w:p>
      <w:pPr>
        <w:ind w:left="500" w:right="40" w:hanging="330"/>
        <w:spacing w:after="0" w:line="255"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$(13.8) million unfavorable impact to operating cash flows associated with the change in accrued expenses and other liabilities associated primarily with higher final capping, closure and post-closure payments of $4.8 million and higher environmental remediation payments of $4.1 million associated primarily with our Potsdam site. The cash flow impact associated with the changes in our assets and liabilities, net of effects of acquisitions and divestitures was also impacted by changes to the accounting for operating leases as a result of the implementation of Accounting Standards Update No. 2016-02, as amended through March 2019: Leases ("Topic 842</w:t>
      </w:r>
      <w:r>
        <w:rPr>
          <w:rFonts w:ascii="Arial" w:cs="Arial" w:eastAsia="Arial" w:hAnsi="Arial"/>
          <w:sz w:val="18"/>
          <w:szCs w:val="18"/>
          <w:i w:val="1"/>
          <w:iCs w:val="1"/>
          <w:color w:val="auto"/>
        </w:rPr>
        <w:t>"</w:t>
      </w:r>
      <w:r>
        <w:rPr>
          <w:rFonts w:ascii="Arial" w:cs="Arial" w:eastAsia="Arial" w:hAnsi="Arial"/>
          <w:sz w:val="18"/>
          <w:szCs w:val="18"/>
          <w:color w:val="auto"/>
        </w:rPr>
        <w:t>) effective January 1, 2019, which are now accounted for as operating lease liabilities on our consolidated balance sheets;</w:t>
      </w:r>
    </w:p>
    <w:p>
      <w:pPr>
        <w:spacing w:after="0" w:line="30" w:lineRule="exact"/>
        <w:rPr>
          <w:rFonts w:ascii="Arial" w:cs="Arial" w:eastAsia="Arial" w:hAnsi="Arial"/>
          <w:sz w:val="18"/>
          <w:szCs w:val="18"/>
          <w:color w:val="auto"/>
        </w:rPr>
      </w:pPr>
    </w:p>
    <w:p>
      <w:pPr>
        <w:ind w:left="500" w:right="500" w:hanging="330"/>
        <w:spacing w:after="0" w:line="317" w:lineRule="auto"/>
        <w:tabs>
          <w:tab w:leader="none" w:pos="4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$(5.3) million unfavorable impact to operating cash flows associated with landfill operating lease contract expenditures being reclassified from investing activities to operating activities within our consolidated statements of cash flows as a result of the implementation of Topic 842;</w:t>
      </w: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$(2.4) million unfavorable impact to operating cash flows associated with the change in accounts payable; and</w:t>
      </w:r>
    </w:p>
    <w:p>
      <w:pPr>
        <w:spacing w:after="0" w:line="63" w:lineRule="exact"/>
        <w:rPr>
          <w:rFonts w:ascii="Arial" w:cs="Arial" w:eastAsia="Arial" w:hAnsi="Arial"/>
          <w:sz w:val="18"/>
          <w:szCs w:val="18"/>
          <w:color w:val="auto"/>
        </w:rPr>
      </w:pPr>
    </w:p>
    <w:p>
      <w:pPr>
        <w:ind w:left="500" w:right="420" w:hanging="330"/>
        <w:spacing w:after="0" w:line="277"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$(2.2) million unfavorable impact to operating cash flows associated with cash outflows associated with prepaid expenses, inventories and other assets; partially offset by</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$0.3 million favorable impact to operating cash flows associated with the change in accounts receivable.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investing activities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5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13335</wp:posOffset>
            </wp:positionV>
            <wp:extent cx="1903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landfill operating lease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Southbridge Landfill insurance recovery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property insurance settlement</w:t>
            </w: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Acquisitions, net of cash acquired</w:t>
      </w:r>
      <w:r>
        <w:rPr>
          <w:rFonts w:ascii="Arial" w:cs="Arial" w:eastAsia="Arial" w:hAnsi="Arial"/>
          <w:sz w:val="16"/>
          <w:szCs w:val="16"/>
          <w:color w:val="auto"/>
        </w:rPr>
        <w:t>. In fiscal year 2019, we acquired seven tuck-in solid waste collection businesses, a business comprised of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transfer and recycling operations and a business comprised of solid waste hauling and transfer assets for total consideration of $82.2 million, including $72.1 million in cash, and paid $3.3 million in holdback payments on businesses previously acquired, as compared to fiscal year 2018, during which we acquired six solid waste collection businesses, one transfer business and two businesses comprised of solid waste collection and transfer operations for total consideration of $99.5 million, including $86.7 million in cash and $2.2 million in holdback payments on businesses previously acquired.</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$29.9 million higher in fiscal year 2019 as compared to fiscal year 2018 primarily due to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timing differences, business growth and acquisition activities. Capital expenditures associated with acquisition activities were included as capital investments in our pre-acquisition discounted cash flow analysis and are necessary to integrate operations, drive operating and back-office synergies and bring acquired operations up to our standards.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 As a result of the implementation of Topic 842, payments on landfill operating lease contracts are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outflows in fiscal year 2019 as compared to investing cash outflows in fiscal year 2018.</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Proceeds from Southbridge Landfill insurance recovery. </w:t>
      </w:r>
      <w:r>
        <w:rPr>
          <w:rFonts w:ascii="Arial" w:cs="Arial" w:eastAsia="Arial" w:hAnsi="Arial"/>
          <w:sz w:val="18"/>
          <w:szCs w:val="18"/>
          <w:color w:val="auto"/>
        </w:rPr>
        <w:t>We recorded a recovery on environmental insurance settlement associated with the Southbridge</w:t>
      </w:r>
      <w:r>
        <w:rPr>
          <w:rFonts w:ascii="Arial" w:cs="Arial" w:eastAsia="Arial" w:hAnsi="Arial"/>
          <w:sz w:val="18"/>
          <w:szCs w:val="18"/>
          <w:i w:val="1"/>
          <w:iCs w:val="1"/>
          <w:color w:val="auto"/>
        </w:rPr>
        <w:t xml:space="preserve"> </w:t>
      </w:r>
      <w:r>
        <w:rPr>
          <w:rFonts w:ascii="Arial" w:cs="Arial" w:eastAsia="Arial" w:hAnsi="Arial"/>
          <w:sz w:val="18"/>
          <w:szCs w:val="18"/>
          <w:color w:val="auto"/>
        </w:rPr>
        <w:t>Landfill closure, of which $3.5 million related to the recovery of net cash previously used in investing activities.</w:t>
      </w:r>
    </w:p>
    <w:p>
      <w:pPr>
        <w:spacing w:after="0" w:line="6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Proceeds from property insurance settlement. </w:t>
      </w:r>
      <w:r>
        <w:rPr>
          <w:rFonts w:ascii="Arial" w:cs="Arial" w:eastAsia="Arial" w:hAnsi="Arial"/>
          <w:sz w:val="17"/>
          <w:szCs w:val="17"/>
          <w:color w:val="auto"/>
        </w:rPr>
        <w:t>Recovery of insurance proceeds was $(0.7) million lower in fiscal year 2019 as compared to fiscal year 2018</w:t>
      </w:r>
      <w:r>
        <w:rPr>
          <w:rFonts w:ascii="Arial" w:cs="Arial" w:eastAsia="Arial" w:hAnsi="Arial"/>
          <w:sz w:val="17"/>
          <w:szCs w:val="17"/>
          <w:i w:val="1"/>
          <w:iCs w:val="1"/>
          <w:color w:val="auto"/>
        </w:rPr>
        <w:t xml:space="preserve"> </w:t>
      </w:r>
      <w:r>
        <w:rPr>
          <w:rFonts w:ascii="Arial" w:cs="Arial" w:eastAsia="Arial" w:hAnsi="Arial"/>
          <w:sz w:val="17"/>
          <w:szCs w:val="17"/>
          <w:color w:val="auto"/>
        </w:rPr>
        <w:t>due to increased recoveries in prior year pertaining to property damage related to a fire at a transfer station in our Western region.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flows from financing activities</w:t>
      </w:r>
      <w:r>
        <w:rPr>
          <w:rFonts w:ascii="Arial" w:cs="Arial" w:eastAsia="Arial" w:hAnsi="Arial"/>
          <w:sz w:val="18"/>
          <w:szCs w:val="18"/>
          <w:b w:val="1"/>
          <w:bCs w:val="1"/>
          <w:u w:val="single" w:color="auto"/>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5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13335</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634.7</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Principal payments on long-term debt</w:t>
            </w:r>
          </w:p>
        </w:tc>
        <w:tc>
          <w:tcPr>
            <w:tcW w:w="86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(243.4)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(584.2)</w:t>
            </w:r>
          </w:p>
        </w:tc>
      </w:tr>
      <w:tr>
        <w:trPr>
          <w:trHeight w:val="27"/>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the exercise of share-based awards</w:t>
            </w:r>
          </w:p>
        </w:tc>
        <w:tc>
          <w:tcPr>
            <w:tcW w:w="860" w:type="dxa"/>
            <w:vAlign w:val="bottom"/>
          </w:tcPr>
          <w:p>
            <w:pPr>
              <w:spacing w:after="0"/>
              <w:rPr>
                <w:sz w:val="21"/>
                <w:szCs w:val="21"/>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0.5</w:t>
            </w:r>
          </w:p>
        </w:tc>
      </w:tr>
      <w:tr>
        <w:trPr>
          <w:trHeight w:val="27"/>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public offering of Class A Common Stock</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43"/>
        </w:trPr>
        <w:tc>
          <w:tcPr>
            <w:tcW w:w="8420" w:type="dxa"/>
            <w:vAlign w:val="bottom"/>
          </w:tcPr>
          <w:p>
            <w:pPr>
              <w:ind w:left="20"/>
              <w:spacing w:after="0"/>
              <w:rPr>
                <w:sz w:val="20"/>
                <w:szCs w:val="20"/>
                <w:color w:val="auto"/>
              </w:rPr>
            </w:pPr>
            <w:r>
              <w:rPr>
                <w:rFonts w:ascii="Arial" w:cs="Arial" w:eastAsia="Arial" w:hAnsi="Arial"/>
                <w:sz w:val="18"/>
                <w:szCs w:val="18"/>
                <w:color w:val="auto"/>
              </w:rPr>
              <w:t>Proceeds from unregistered sale of Class A Common Stock</w:t>
            </w:r>
          </w:p>
        </w:tc>
        <w:tc>
          <w:tcPr>
            <w:tcW w:w="860" w:type="dxa"/>
            <w:vAlign w:val="bottom"/>
          </w:tcPr>
          <w:p>
            <w:pPr>
              <w:spacing w:after="0"/>
              <w:rPr>
                <w:sz w:val="21"/>
                <w:szCs w:val="21"/>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7"/>
        </w:trPr>
        <w:tc>
          <w:tcPr>
            <w:tcW w:w="8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Debt activity</w:t>
      </w:r>
      <w:r>
        <w:rPr>
          <w:rFonts w:ascii="Arial" w:cs="Arial" w:eastAsia="Arial" w:hAnsi="Arial"/>
          <w:sz w:val="16"/>
          <w:szCs w:val="16"/>
          <w:color w:val="auto"/>
        </w:rPr>
        <w:t>. Debt borrowings decreased by $(436.9) million and debt payments decreased by $(340.8) million in fiscal year 2019. The decrease in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related to debt activity is associated with paying down our Revolving Credit Facility in fiscal year 2019, partially offset by increased borrowings related to acquisition activity, as compared to fiscal year 2018, when we increased borrowings related to acquisition activity and issued $15.0 million aggregate principal amount of Finance Authority of Maine Solid Waste Disposal Revenue Bonds Series 2015R-2 (“FAME Bonds 2015R-2”).</w:t>
      </w:r>
    </w:p>
    <w:p>
      <w:pPr>
        <w:spacing w:after="0" w:line="4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Payments of debt issuance costs. </w:t>
      </w:r>
      <w:r>
        <w:rPr>
          <w:rFonts w:ascii="Arial" w:cs="Arial" w:eastAsia="Arial" w:hAnsi="Arial"/>
          <w:sz w:val="16"/>
          <w:szCs w:val="16"/>
          <w:color w:val="auto"/>
        </w:rPr>
        <w:t>We made $0.7 million of debt issuance cost payments in fiscal year 2019 related to the remarketing of $11.0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senior unsecured Solid Waste Disposal Revenue Bonds Series 2013 issued by the Business Finance Authority of the State of New Hampshire ("New Hampshire Bonds") and $25.0 million aggregate principal amount of New York Bonds 2014. In fiscal year 2018, we made $5.6 million of debt issuance cost payments related primarily to the refinancing of our Credit Facility and the issuance of FAME Bonds 2015R-2.</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Proceeds from the exercise of share-based awards. </w:t>
      </w:r>
      <w:r>
        <w:rPr>
          <w:rFonts w:ascii="Arial" w:cs="Arial" w:eastAsia="Arial" w:hAnsi="Arial"/>
          <w:sz w:val="18"/>
          <w:szCs w:val="18"/>
          <w:color w:val="auto"/>
        </w:rPr>
        <w:t>We received $3.4 million of cash receipts associated with the exercise of stock options in fiscal year 2019</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$0.5 million in fiscal year 2018 due primarily to the appreciation of our stock price.</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Proceeds from the public offering of Class A Common Stock. </w:t>
      </w:r>
      <w:r>
        <w:rPr>
          <w:rFonts w:ascii="Arial" w:cs="Arial" w:eastAsia="Arial" w:hAnsi="Arial"/>
          <w:sz w:val="16"/>
          <w:szCs w:val="16"/>
          <w:color w:val="auto"/>
        </w:rPr>
        <w:t>In fiscal year 2019, we completed a public offering of 3.6 million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Proceeds from the unregistered sale of Class A Common Stock. </w:t>
      </w:r>
      <w:r>
        <w:rPr>
          <w:rFonts w:ascii="Arial" w:cs="Arial" w:eastAsia="Arial" w:hAnsi="Arial"/>
          <w:sz w:val="18"/>
          <w:szCs w:val="18"/>
          <w:color w:val="auto"/>
        </w:rPr>
        <w:t>In fiscal year 2019, we completed the unregistered sale of 59,307 shares of our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a price of $44.15 per share. The sale resulted in net proceeds to us of $2.6 million. The shares were previously held in escrow according to the terms of our acquisition of Waste Stream Inc. ("WSI") in 1999 and released to us for liquidation to offset costs associated with the environmental remediation of WSI's Potsdam, New York site. See Note 12, Commitments and Contingencies to our consolidated financial statements included under Part II, Item 8 of this Annual Report on Form 10-K for additional disclosure.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year 2018, we entered into a credit agreement ("Credit Agreement"), which provides for a $350.0 million aggregate principal amount Term Loan Facility and a $200.0 million Revolving Credit Facility. The net proceeds from this transaction were used to repay in full the amounts outstanding of the Term Loan B Facility and the $160.0 million revolving line of credit facility plus accrued and unpaid interest thereon and to pay related transaction expenses. We have the right to request, at our discretion, an increase in the amount of loans under the Credit Facility by an aggregate amount $125.0 million, subject to the terms and conditions set forth in the Credit Agreement.</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Credit Facility has a 5-year term and bears interest at a rate of LIBOR plus 1.75%, which can be reduced to a rate of LIBOR plus 1.25% upon us reaching a consolidated net leverage ratio of less than 2.25x. The Credit Facility is guaranteed jointly and severally, fully and unconditionally by all of our significant wholly-owned subsidiaries and secured by substantially all of our assets. As of December 31, 2019, further advances were available under the Credit Facility in the amount of $148.6 million. The available amount is net of outstanding irrevocable letters of credit totaling $24.5 million, at which date no amount had been drawn.</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Credit Agreement requires us to maintain a minimum interest coverage ratio and a maximum consolidated net leverage ratio, to be measured at the end of each fiscal quarter. As of December 31, 2019, we were in compliance with all financial covenants contained in the Credit Agreement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Credit Facility Covenant</w:t>
            </w:r>
          </w:p>
        </w:tc>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Fiscal Year Ended December</w:t>
            </w:r>
          </w:p>
        </w:tc>
        <w:tc>
          <w:tcPr>
            <w:tcW w:w="2300" w:type="dxa"/>
            <w:vAlign w:val="bottom"/>
          </w:tcPr>
          <w:p>
            <w:pPr>
              <w:jc w:val="right"/>
              <w:ind w:right="259"/>
              <w:spacing w:after="0"/>
              <w:rPr>
                <w:sz w:val="20"/>
                <w:szCs w:val="20"/>
                <w:color w:val="auto"/>
              </w:rPr>
            </w:pPr>
            <w:r>
              <w:rPr>
                <w:rFonts w:ascii="Arial" w:cs="Arial" w:eastAsia="Arial" w:hAnsi="Arial"/>
                <w:sz w:val="14"/>
                <w:szCs w:val="14"/>
                <w:b w:val="1"/>
                <w:bCs w:val="1"/>
                <w:color w:val="auto"/>
              </w:rPr>
              <w:t>Covenant Requirements at</w:t>
            </w:r>
          </w:p>
        </w:tc>
        <w:tc>
          <w:tcPr>
            <w:tcW w:w="0" w:type="dxa"/>
            <w:vAlign w:val="bottom"/>
          </w:tcPr>
          <w:p>
            <w:pPr>
              <w:spacing w:after="0"/>
              <w:rPr>
                <w:sz w:val="1"/>
                <w:szCs w:val="1"/>
                <w:color w:val="auto"/>
              </w:rPr>
            </w:pPr>
          </w:p>
        </w:tc>
      </w:tr>
      <w:tr>
        <w:trPr>
          <w:trHeight w:val="192"/>
        </w:trPr>
        <w:tc>
          <w:tcPr>
            <w:tcW w:w="7120" w:type="dxa"/>
            <w:vAlign w:val="bottom"/>
            <w:gridSpan w:val="2"/>
            <w:vMerge w:val="continue"/>
          </w:tcPr>
          <w:p>
            <w:pPr>
              <w:spacing w:after="0"/>
              <w:rPr>
                <w:sz w:val="16"/>
                <w:szCs w:val="16"/>
                <w:color w:val="auto"/>
              </w:rPr>
            </w:pPr>
          </w:p>
        </w:tc>
        <w:tc>
          <w:tcPr>
            <w:tcW w:w="1840" w:type="dxa"/>
            <w:vAlign w:val="bottom"/>
          </w:tcPr>
          <w:p>
            <w:pPr>
              <w:jc w:val="right"/>
              <w:ind w:right="599"/>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6"/>
                <w:szCs w:val="16"/>
                <w:color w:val="auto"/>
              </w:rPr>
            </w:pPr>
          </w:p>
        </w:tc>
        <w:tc>
          <w:tcPr>
            <w:tcW w:w="2300" w:type="dxa"/>
            <w:vAlign w:val="bottom"/>
          </w:tcPr>
          <w:p>
            <w:pPr>
              <w:jc w:val="right"/>
              <w:ind w:right="49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70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Minimum interest coverage ratio</w:t>
            </w:r>
          </w:p>
        </w:tc>
        <w:tc>
          <w:tcPr>
            <w:tcW w:w="1840" w:type="dxa"/>
            <w:vAlign w:val="bottom"/>
          </w:tcPr>
          <w:p>
            <w:pPr>
              <w:jc w:val="right"/>
              <w:ind w:right="79"/>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hanging="330"/>
        <w:spacing w:after="0" w:line="290" w:lineRule="auto"/>
        <w:tabs>
          <w:tab w:leader="none" w:pos="492" w:val="left"/>
        </w:tabs>
        <w:numPr>
          <w:ilvl w:val="0"/>
          <w:numId w:val="34"/>
        </w:numPr>
        <w:rPr>
          <w:rFonts w:ascii="Arial" w:cs="Arial" w:eastAsia="Arial" w:hAnsi="Arial"/>
          <w:sz w:val="13"/>
          <w:szCs w:val="13"/>
          <w:color w:val="auto"/>
        </w:rPr>
      </w:pPr>
      <w:r>
        <w:rPr>
          <w:rFonts w:ascii="Arial" w:cs="Arial" w:eastAsia="Arial" w:hAnsi="Arial"/>
          <w:sz w:val="16"/>
          <w:szCs w:val="16"/>
          <w:color w:val="auto"/>
        </w:rPr>
        <w:t>The maximum consolidated net leverage ratio is calculated as consolidated funded debt, net of unencumbered cash and cash equivalents in excess of $2.0 million (calculated at $521.3 million as of December 31, 2019, or $522.7 million of consolidated funded debt less $1.4 million of cash and cash equivalents in excess of $2.0 million as of December 31, 2019), divided by minimum consolidated EBITDA. Minimum consolidated EBITDA is based on operating results for the twelve months preceding the measurement date of December 31, 2019. Consolidated funded debt, net unencumbered cash and cash equivalents in excess of $2.0 million, and minimum consolidated EBITDA are non-GAAP financial measures that should not be considered an alternative to any measure of financial performance calculated and presented in accordance with generally accepted accounting principles in the United States. A reconciliation of minimum consolidated EBITDA to net cash provided by operating activities is as follows (in millions):</w:t>
      </w:r>
    </w:p>
    <w:tbl>
      <w:tblPr>
        <w:tblLayout w:type="fixed"/>
        <w:tblInd w:w="50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right"/>
              <w:ind w:right="153"/>
              <w:spacing w:after="0" w:line="151" w:lineRule="exact"/>
              <w:rPr>
                <w:sz w:val="20"/>
                <w:szCs w:val="20"/>
                <w:color w:val="auto"/>
              </w:rPr>
            </w:pPr>
            <w:r>
              <w:rPr>
                <w:rFonts w:ascii="Arial" w:cs="Arial" w:eastAsia="Arial" w:hAnsi="Arial"/>
                <w:sz w:val="14"/>
                <w:szCs w:val="14"/>
                <w:b w:val="1"/>
                <w:bCs w:val="1"/>
                <w:color w:val="auto"/>
                <w:w w:val="96"/>
              </w:rPr>
              <w:t>Twelve Months Ended</w:t>
            </w:r>
          </w:p>
        </w:tc>
      </w:tr>
      <w:tr>
        <w:trPr>
          <w:trHeight w:val="192"/>
        </w:trPr>
        <w:tc>
          <w:tcPr>
            <w:tcW w:w="8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116.8</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160" w:type="dxa"/>
            <w:vAlign w:val="bottom"/>
          </w:tcPr>
          <w:p>
            <w:pPr>
              <w:spacing w:after="0"/>
              <w:rPr>
                <w:sz w:val="21"/>
                <w:szCs w:val="21"/>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28.7</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0.9</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Non-cash expense from acquisition activities and other items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Withdrawal costs - multiemployer pension plan</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expense</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Southbridge Landfill non-cash closure charge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22.8</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Benefit for income taxes, net of deferred income taxes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as allowed by the Credit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w:t>
            </w:r>
          </w:p>
        </w:tc>
      </w:tr>
      <w:tr>
        <w:trPr>
          <w:trHeight w:val="237"/>
        </w:trPr>
        <w:tc>
          <w:tcPr>
            <w:tcW w:w="8480" w:type="dxa"/>
            <w:vAlign w:val="bottom"/>
          </w:tcPr>
          <w:p>
            <w:pPr>
              <w:ind w:left="20"/>
              <w:spacing w:after="0"/>
              <w:rPr>
                <w:sz w:val="20"/>
                <w:szCs w:val="20"/>
                <w:color w:val="auto"/>
              </w:rPr>
            </w:pPr>
            <w:r>
              <w:rPr>
                <w:rFonts w:ascii="Arial" w:cs="Arial" w:eastAsia="Arial" w:hAnsi="Arial"/>
                <w:sz w:val="18"/>
                <w:szCs w:val="18"/>
                <w:color w:val="auto"/>
              </w:rPr>
              <w:t>Consolidated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169.9</w:t>
            </w:r>
          </w:p>
        </w:tc>
      </w:tr>
      <w:tr>
        <w:trPr>
          <w:trHeight w:val="27"/>
        </w:trPr>
        <w:tc>
          <w:tcPr>
            <w:tcW w:w="8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December 31, 2019,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New York Bonds. </w:t>
      </w:r>
      <w:r>
        <w:rPr>
          <w:rFonts w:ascii="Arial" w:cs="Arial" w:eastAsia="Arial" w:hAnsi="Arial"/>
          <w:sz w:val="18"/>
          <w:szCs w:val="18"/>
          <w:color w:val="auto"/>
        </w:rPr>
        <w:t>In fiscal year 2019, we completed the remarketing of $25.0 million aggregate principal amount of New York Bonds 2014. As of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we had outstanding $25,000 aggregate principal amount of New York Bonds 2014 and $15,000 aggregate principal amount of New York Bonds 2014R-2 issued by the New York State Environmental Facilities Corporation under the indenture dated December 1, 2014 (collectively, the “New York Bonds”). The New York Bonds 2014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In fiscal year 2018, we completed the issuance of $15.0 million aggregate principal amount of FAME Bonds 2015R-2.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we had outstanding $25.0 million aggregate principal amount of Finance Authority of Maine Solid Waste Disposal Revenue Bonds Series 2005 (“FAME Bonds 2005R-3"), $15.0 million aggregate principal amount Finance Authority of Maine Solid Waste Disposal Revenue Bonds Series 2015 (“FAME Bonds 2015R-1”), and $15.0 million aggregate principal amount of FAME Bonds 2015R-2 (collectively,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In fiscal year 2018, we completed the remarketing of $16.0 million aggregate principal amount of 4.75% fixed rate senior unsecured Vermont</w:t>
      </w:r>
      <w:r>
        <w:rPr>
          <w:rFonts w:ascii="Arial" w:cs="Arial" w:eastAsia="Arial" w:hAnsi="Arial"/>
          <w:sz w:val="18"/>
          <w:szCs w:val="18"/>
          <w:i w:val="1"/>
          <w:iCs w:val="1"/>
          <w:color w:val="auto"/>
        </w:rPr>
        <w:t xml:space="preserve"> </w:t>
      </w:r>
      <w:r>
        <w:rPr>
          <w:rFonts w:ascii="Arial" w:cs="Arial" w:eastAsia="Arial" w:hAnsi="Arial"/>
          <w:sz w:val="18"/>
          <w:szCs w:val="18"/>
          <w:color w:val="auto"/>
        </w:rPr>
        <w:t>Bonds. As of December 31, 2019, we had outstanding $16.0 million aggregate principal amount of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New Hampshire Bonds. </w:t>
      </w:r>
      <w:r>
        <w:rPr>
          <w:rFonts w:ascii="Arial" w:cs="Arial" w:eastAsia="Arial" w:hAnsi="Arial"/>
          <w:sz w:val="17"/>
          <w:szCs w:val="17"/>
          <w:color w:val="auto"/>
        </w:rPr>
        <w:t>In fiscal year 2019, we completed the remarketing of $11.0 million aggregate principal amount of senior unsecured New Hampshire</w:t>
      </w:r>
      <w:r>
        <w:rPr>
          <w:rFonts w:ascii="Arial" w:cs="Arial" w:eastAsia="Arial" w:hAnsi="Arial"/>
          <w:sz w:val="17"/>
          <w:szCs w:val="17"/>
          <w:i w:val="1"/>
          <w:iCs w:val="1"/>
          <w:color w:val="auto"/>
        </w:rPr>
        <w:t xml:space="preserve"> </w:t>
      </w:r>
      <w:r>
        <w:rPr>
          <w:rFonts w:ascii="Arial" w:cs="Arial" w:eastAsia="Arial" w:hAnsi="Arial"/>
          <w:sz w:val="17"/>
          <w:szCs w:val="17"/>
          <w:color w:val="auto"/>
        </w:rPr>
        <w:t>Bonds. As of December 31, 2019, we had outstanding $11.0 million aggregate principal amount of New Hampshire Bonds. The New Hampshire Bonds, which are guaranteed jointly and severally, fully and unconditionally by all of our significant wholly-owned subsidiaries, accrue interest at 2.95% per annum through maturity on April 1, 2029 and interest.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2019 (in thousands) and the anticipated effect of these obligations on our liquidity in future years:</w:t>
      </w: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24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More than 5</w:t>
            </w:r>
          </w:p>
        </w:tc>
        <w:tc>
          <w:tcPr>
            <w:tcW w:w="3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one year</w:t>
            </w: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382,837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522,728</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4"/>
                <w:szCs w:val="14"/>
                <w:color w:val="auto"/>
              </w:rPr>
              <w:t>(1)</w:t>
            </w:r>
          </w:p>
        </w:tc>
        <w:tc>
          <w:tcPr>
            <w:tcW w:w="26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19,572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38,545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24,456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51,841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134,414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Non-cancellable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24,025</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Landfill operating lease contracts</w:t>
            </w:r>
          </w:p>
        </w:tc>
        <w:tc>
          <w:tcPr>
            <w:tcW w:w="26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58,669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86,144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Final capping, closure and post-closure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16,804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132,669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174,512</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4"/>
                <w:szCs w:val="14"/>
                <w:color w:val="auto"/>
              </w:rPr>
              <w:t>(2)</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47,307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82,398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437,253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374,865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941,823</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right="480" w:hanging="330"/>
        <w:spacing w:after="0" w:line="277" w:lineRule="auto"/>
        <w:tabs>
          <w:tab w:leader="none" w:pos="4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debt balances as of December 31, 2019. Interest obligations related to variable rate debt were calculated using variable rates in effect at December 31, 2019.</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Contractual cash obligations do not include accounts payable or accrued liabilities, which will be paid in the fiscal year ending December 31, 2020.</w:t>
      </w:r>
    </w:p>
    <w:p>
      <w:pPr>
        <w:spacing w:after="0" w:line="14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We have no contractual obligations related to unrecognized tax benefits at December 31, 2019. For further description over contractual obligations, see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Note 10,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in Item 8 of this Annual Report on Form 10-K.</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Our consolidated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The following is a list of accounting policies that we believe are the most critical in understanding our consolidated financial position, results of operations and cash flows and that may require management to make subjective or complex judgments about matters that are inherently uncertain. Our significant accounting policies are more fully discussed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consolidated financial statements included in Item 8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Development Costs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estimate the total cost to develop each of our landfill sites to its remaining permitted and expansion capacity (see landfill development costs discussed within the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accounting policy more fully discussed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our consolidated financial statements included in Item 8 of this Annual Report on Form 10-K).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Capping, Closure and Post-Closure Costs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estimates for final capping, closure and post-closure activities at landfills for which we have responsibility are estimated based on our interpretations of current requirements and proposed or anticipated regulatory changes. We also estimate additional costs based on the amount a third-party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Final capping activities include the installation of liners, drainage, compacted soil layers and topsoil over areas of a landfill where total 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Closure and post-closure costs represent future estimated costs related to monitoring and maintenance of a solid waste 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w:t>
      </w:r>
      <w:r>
        <w:rPr>
          <w:rFonts w:ascii="Arial" w:cs="Arial" w:eastAsia="Arial" w:hAnsi="Arial"/>
          <w:sz w:val="17"/>
          <w:szCs w:val="17"/>
          <w:b w:val="1"/>
          <w:bCs w:val="1"/>
          <w:color w:val="auto"/>
        </w:rPr>
        <w:t>r</w:t>
      </w:r>
      <w:r>
        <w:rPr>
          <w:rFonts w:ascii="Arial" w:cs="Arial" w:eastAsia="Arial" w:hAnsi="Arial"/>
          <w:sz w:val="17"/>
          <w:szCs w:val="17"/>
          <w:color w:val="auto"/>
        </w:rPr>
        <w:t>space.</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Permitted Airspace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engineers, in consultation with third-party engineering consultants and surveyors, are responsible for determining remaining permitted airspace at our landfills. The remaining permitted airspace is determined by an annual survey, which is then used to compare the existing landfill topography to the expected final landfill topography.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Airspace</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currently include unpermitted expansion airspace in our estimate of remaining permitted and expansion airspace in certain circumstances. To be considered expansion airspace all of the following criteria must be met:</w:t>
      </w:r>
    </w:p>
    <w:p>
      <w:pPr>
        <w:spacing w:after="0" w:line="62"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63" w:lineRule="exact"/>
        <w:rPr>
          <w:rFonts w:ascii="Arial" w:cs="Arial" w:eastAsia="Arial" w:hAnsi="Arial"/>
          <w:sz w:val="18"/>
          <w:szCs w:val="18"/>
          <w:color w:val="auto"/>
        </w:rPr>
      </w:pPr>
    </w:p>
    <w:p>
      <w:pPr>
        <w:ind w:left="500" w:right="140" w:hanging="330"/>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 for Doubtful Accounts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doubtful accounts, represents its estimated net realizable value. Estimates are used in determining our allowance for doubtful accounts based on our historical collection experience, current economic conditions and trends, credit policy and a review of our accounts receivable by aging category. Our reserve is evaluated and revised on a monthly basis. Past-due accounts receivable are written off when deemed to be uncollectible.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annually assess goodwill for impairment at the end of our fiscal year or more frequently if events or circumstances indicate that impairment may exist. 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goodwill impairment exists at the reporting unit.</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step (defined as “Step 1”) of testing for goodwill impairment, we estimate the fair value of each reporting unit, which we have determined to be our geographic operating segments, our Recycling segment and our Customer Solutions business, which is included in the Other segment, and compare the fair value with the carrying value of the net assets of each reporting unit. If the fair value is less than its carrying value, then we would perform a second step (defined as “Step 2”) and determine the fair value of the goodwill. In Step 2, the fair value of goodwill is determined by deducting the fair value of a reporting unit’s identifiable assets and liabilities from the fair value of the reporting unit as a whole, as if that reporting unit had just been acquired and the purchase price were being initially allocated.</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more likely than not expectation that a segment or a significant portion thereof will be sold; 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segment.</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2019. As of December 31, 2019, the Step 1 testing for goodwill impairment performed for our Eastern, Western, Recycling and Customer Solutions reporting units indicated that the fair value of each reporting unit exceeded its carrying amount, including goodwill. Furthermore, the Step 1 test indicated that in each case the fair value of our Eastern, Western, Recycling and Customer Solutions reporting units exceeded its carrying value by in excess of 34.4%. We incurred no impairment of goodwill as a result of our annual goodwill impairment tests in fiscal years 2019, 2018 and 2017. However, there can be no assurance that goodwill will not be impaired at any time in the future. Effective January 1, 2020, we adopted Accounting Standards Update 2017-04, Intangibles - Goodwill and Other (Topic 350). Under this guidance Step 2 of the testing for goodwill impairment was eliminated and that going forward we would recognize an impairment charge for the amount by which the carrying amount exceeds the reporting unit's fair value, noting that the amount is not to exceed the total amount of goodwill allocated to that reporting unit.</w:t>
      </w:r>
    </w:p>
    <w:p>
      <w:pPr>
        <w:spacing w:after="0" w:line="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Intangible assets consist primarily of covenants not-to-compete and customer lists. Intangible assets are recorded at fair value and are amortized based on the economic benefit provided or using the straight-line method over their estimated useful lives. Covenants not-to-compete and customer lists are typically amortized over a term of no more than 10 years.</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Long-Lived Assets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continually assess whether events or changes in circumstances have occurred that may warrant revision of the estimated useful lives of our long-lived assets (other than goodwill) or whether the remaining balances of those assets should be evaluated for possible impairment. Long-lived assets include, for example, capitalized landfill costs, other property and equipment, identifiable intangible assets, and operating lease right-of-use assets. Events or changes in circumstances that may indicate that an asset may be impaired include the following:</w:t>
      </w:r>
    </w:p>
    <w:p>
      <w:pPr>
        <w:spacing w:after="0" w:line="25" w:lineRule="exact"/>
        <w:rPr>
          <w:sz w:val="20"/>
          <w:szCs w:val="20"/>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63" w:lineRule="exact"/>
        <w:rPr>
          <w:rFonts w:ascii="Arial" w:cs="Arial" w:eastAsia="Arial" w:hAnsi="Arial"/>
          <w:sz w:val="18"/>
          <w:szCs w:val="18"/>
          <w:color w:val="auto"/>
        </w:rPr>
      </w:pPr>
    </w:p>
    <w:p>
      <w:pPr>
        <w:ind w:left="500" w:right="4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63" w:lineRule="exact"/>
        <w:rPr>
          <w:rFonts w:ascii="Arial" w:cs="Arial" w:eastAsia="Arial" w:hAnsi="Arial"/>
          <w:sz w:val="18"/>
          <w:szCs w:val="18"/>
          <w:color w:val="auto"/>
        </w:rPr>
      </w:pPr>
    </w:p>
    <w:p>
      <w:pPr>
        <w:ind w:left="500" w:right="44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8"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as applicable. Investments in affiliates in which we do not have the ability to exert significant influence over the investees’ operating and financing activities are accounted for under the cost method of accounting.</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current estimates of fair value could differ significantly from the amounts presented.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 and Related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2019 under the workers’ compensation plan was $1.25 million per individual event. Our maximum exposure in fiscal year 2019 under the automobile plan was $1.2 million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actuarially determined liability is calculated based on historical data, which considers both the frequency and settlement amount of claims. Our estimated accruals for these liabilities could be significantly different than our ultimate obligations if variables such as the frequency or severity of future events differ significantly from our assumptions.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previously discussed, the Act, which is also commonly referred to as “U.S. tax reform,” significantly changed United States corporate income tax laws by, among other things, reducing the US corporate income tax rate from 35% to 21% starting in 2018.</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under Item 8 of this Annual Report on Form 10-K for further disclosure, including the effect of the Act on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w:t>
      </w:r>
    </w:p>
    <w:p>
      <w:pPr>
        <w:spacing w:after="0" w:line="79"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to our consolidated financial statements included under Item 8 of this Annual Report on Form 10-K for further disclosure. </w:t>
      </w:r>
      <w:r>
        <w:rPr>
          <w:rFonts w:ascii="Arial" w:cs="Arial" w:eastAsia="Arial" w:hAnsi="Arial"/>
          <w:sz w:val="18"/>
          <w:szCs w:val="18"/>
          <w:b w:val="1"/>
          <w:bCs w:val="1"/>
          <w:color w:val="auto"/>
        </w:rPr>
        <w:t>Defined Benefit Pension Plan</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make contributions to one qualified multiemployer defined benefit pension plan, the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w:t>
      </w:r>
    </w:p>
    <w:p>
      <w:pPr>
        <w:spacing w:after="0" w:line="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under Item 8 of this Annual Report on Form 10-K for further disclosure.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strategy to reduce exposure to interest rate risk involves entering into interest rate derivative agreements to hedge against adverse movements in interest rates related to the variable rate portion of our long-term debt. We enter into interest rate derivative agreements to manage exposure to fluctuations in interest rates related to variable rate interest payments of our long-term debt. As of both December 31, 2019 and December 31, 2018, our interest rate derivative agreements had a total notional amount of $190.0 million. We receive interest based on the 1-month LIBOR index, restricted by a floor in certain instances, and pay interest at a weighted average rate of approximately 2.54% as of both December 31, 2019 and December 31, 2018. The agreements mature between February 2021 and May 2023.</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fiscal year 2019, we entered into interest rate derivative agreements with a total notional amount of $65.0 million that will serve to replace existing interest rate derivative agreements upon their expiration between February 2021 and February 2022. These forward starting interest rate derivative agreements mature between February 2026 and February 2027. We will pay interest at a weighted average rate of approximately 1.79%.</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December 31, 2019, we have $145.8 million of fixed rate debt as of December 31, 2019 in addition to the $190.0 million fixed through our interest rate derivative agreements. We had interest rate risk relating to approximately $186.9 million of long-term debt as of December 31, 2019. The weighted average interest rate on the variable rate portion of long-term debt was approximately 3.5% at December 31, 2019. Should the average interest rate on the variable rate portion of long-term debt change by 100 basis points, we estimate that our annual interest expense would change by up to approximately $1.9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 our Recycling operation, we market a variety of materials, including fibers such as old corrugated cardboard and old newsprint, plastics, glass, ferrous and aluminum metals. We may use a number of strategies to mitigate impacts from commodity price fluctuations including: (1) charging collection customers a floating sustainability recycling adjustment fee to offtake recycling commodity risks; (2) in-bound material recovery facilities ("MRF") customers receiving a revenue share or indexed materials purchases in higher commodity price markets, or charging these same customers a processing cost or tipping fee per ton in lower commodity price markets; (3) selling recycling commodities to out-bound MRF customers through floor price or fixed price agreements; or (4) entering into fixed price contracts or hedges that mitigate the variability in cash flows generated from the sales of recycled paper at floating prices. We do not use financial instruments for trading purposes and are not a party to any leveraged derivatives. As of December 31, 2019, we were not party to any commodity hedging agreements.</w:t>
      </w:r>
    </w:p>
    <w:p>
      <w:pPr>
        <w:spacing w:after="0" w:line="8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Should commodity prices change by $10 per ton, we estimate that our annual operating income margin would change by approximately $0.3 million annually.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and Stockholders of Casella Waste Systems,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Opinions on the Financial Statements and Internal Control Over Financial Reporting</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audited the accompanying consolidated balance sheets of Casella Waste Systems, Inc. and subsidiaries (the Company) as of December 31, 2019 and 2018, and the related consolidated statements of operations, comprehensive income (loss), stockholders' equity (deficit) and cash flows for each of the three years in the period ended December 31, 2019, and the related notes and schedules (collectively, the financial statements). We also have audited the Company’s internal control over financial reporting as of December 31, 2019, based on criteria established in Internal Control — Integrated Framework issued by the Committee of Sponsoring Organizations of the Treadway Commission in 2013.</w:t>
      </w:r>
    </w:p>
    <w:p>
      <w:pPr>
        <w:spacing w:after="0" w:line="6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issued by the Committee of Sponsoring Organizations of the Treadway Commission in 2013.</w:t>
      </w:r>
    </w:p>
    <w:p>
      <w:pPr>
        <w:spacing w:after="0" w:line="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discussed in Management’s Report on Internal Control Over Financial Reporting, management has excluded: TAM, Inc., TAM Recycling, LLC, TAM Organics, LLC., North Rd. LLC, and 171 Church Street, LLC (collectively TAM); Allied Waste Services of North America, LLC, Browning-Ferris Industries of New York, Inc., Allied Waste Services of Massachusetts LLC, and Menands Environmental Solutions, LLC (collectively Republic); PSI Disposal, Inc. (PSI); Trash Away, LLC (Trash Away); and LT Disposal Inc., River Road Transfer Station Inc., and Center Point Transfer Station, Inc. (collectively, Center Point), because they were acquired by the Company in purchase business combinations during the second, third and fourth quarters of 2019 and have not yet been fully incorporated into the Company’s internal controls over financial reporting. We have also excluded TAM, Republic, PSI, Trash Away and Center Point from our report of internal controls over financial reporting. Collectively, TAM, Republic, PSI, Trash Away and Center Point represent total assets and revenues of approximately 7.1% and 2.0%, respectively, of the related consolidated financial statement amounts as of and for the year ended December 31,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 (Topic 842)</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financial statements, the Company has changed its method of accounting for leases in 2019 due to the adoption of ASU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the related amendments.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 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 3 of the consolidated financial statements, the Company accounts for both landfill development assets, including the associated amortization expense, as well as capping, closure and post-closure costs related to its landfills. As of December 31, 2019, the Company’s landfill development assets total $120.2 million, and the associated amortization expense for 2019 was $27.5 million. As of December 31, 2019, the Company estimated its accrued capping, closure and post-closure costs at $71.9 million. The landfill development asset amortization and accrued capping, closure and post-closure costs are based on cash flow analyses, which require significant assumptions and estimates about the future operations and retirement of each landfill. Significant judgments made by management in the cash flow analyses include the determination of the appropriate discount and inflation rates, and the amount and timing of expected future cash flows. Management estimates the timing of expected future cash flows used in the analyses based on various assumptions at each individual landfill including:</w:t>
      </w:r>
    </w:p>
    <w:p>
      <w:pPr>
        <w:spacing w:after="0" w:line="17" w:lineRule="exact"/>
        <w:rPr>
          <w:sz w:val="20"/>
          <w:szCs w:val="20"/>
          <w:color w:val="auto"/>
        </w:rPr>
      </w:pPr>
    </w:p>
    <w:p>
      <w:pPr>
        <w:ind w:left="500" w:right="100" w:hanging="330"/>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Remaining permitted capacity, which is estimated by Company engineers, in consultation with third-party engineers and surveyors, who utilize annual aerial surveys.</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estimation and inclusion of unpermitted expansion airspace.</w:t>
      </w:r>
    </w:p>
    <w:p>
      <w:pPr>
        <w:spacing w:after="0" w:line="63" w:lineRule="exact"/>
        <w:rPr>
          <w:rFonts w:ascii="Arial" w:cs="Arial" w:eastAsia="Arial" w:hAnsi="Arial"/>
          <w:sz w:val="18"/>
          <w:szCs w:val="18"/>
          <w:color w:val="auto"/>
        </w:rPr>
      </w:pPr>
    </w:p>
    <w:p>
      <w:pPr>
        <w:ind w:left="500" w:right="420" w:hanging="330"/>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Compaction factors, or airspace utilization factors (AUF), are estimated using a process that considers the measured density obtained from annual surveys.</w:t>
      </w:r>
    </w:p>
    <w:p>
      <w:pPr>
        <w:spacing w:after="0" w:line="6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identified the Company’s landfill development asset amortization expense and accrued capping, closure and post-closure costs as a critical audit matter because of the significant assumptions and judgments made by management. Auditing management’s assumptions and judgements regarding remaining permitted capacity, unpermitted expansion airspace and compaction factors, accretion and discount rates involved a high degree of auditor judgment and an increased effort, including the use of our valuation specialists.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audit procedures related to landfill development asset amortization expense and accrued capping, closure and post-closure costs included the following, among others:</w:t>
      </w:r>
    </w:p>
    <w:p>
      <w:pPr>
        <w:spacing w:after="0" w:line="8" w:lineRule="exact"/>
        <w:rPr>
          <w:sz w:val="20"/>
          <w:szCs w:val="20"/>
          <w:color w:val="auto"/>
        </w:rPr>
      </w:pPr>
    </w:p>
    <w:p>
      <w:pPr>
        <w:ind w:left="500" w:right="240" w:hanging="330"/>
        <w:spacing w:after="0" w:line="264"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landfill development asset amortization expense and accrued capping, closure and post-closure costs and tested such controls for design and operating effectiveness, including those over the determination of the appropriate discount and inflation rates, and the amount and timing of expected future cash flows.</w:t>
      </w:r>
    </w:p>
    <w:p>
      <w:pPr>
        <w:spacing w:after="0" w:line="19" w:lineRule="exact"/>
        <w:rPr>
          <w:rFonts w:ascii="Arial" w:cs="Arial" w:eastAsia="Arial" w:hAnsi="Arial"/>
          <w:sz w:val="18"/>
          <w:szCs w:val="18"/>
          <w:color w:val="auto"/>
        </w:rPr>
      </w:pPr>
    </w:p>
    <w:p>
      <w:pPr>
        <w:ind w:left="500" w:right="40" w:hanging="330"/>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internal and external data used in the future cost estimates for both landfill development asset amortization expense and capping, closure and post-closure activities.</w:t>
      </w:r>
    </w:p>
    <w:p>
      <w:pPr>
        <w:spacing w:after="0" w:line="8" w:lineRule="exact"/>
        <w:rPr>
          <w:rFonts w:ascii="Arial" w:cs="Arial" w:eastAsia="Arial" w:hAnsi="Arial"/>
          <w:sz w:val="18"/>
          <w:szCs w:val="18"/>
          <w:color w:val="auto"/>
        </w:rPr>
      </w:pPr>
    </w:p>
    <w:p>
      <w:pPr>
        <w:ind w:left="500" w:right="380" w:hanging="330"/>
        <w:spacing w:after="0" w:line="317" w:lineRule="auto"/>
        <w:tabs>
          <w:tab w:leader="none" w:pos="4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confirmed the landfill topography drawings and results of aerial surveys directly with the third-party engineers. Relevant data outputs from the topography drawings, such as permitted and unpermitted airspace, were agreed to the relevant data inputs in the cash flow analyses.</w:t>
      </w: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verified permitted space to issued permits and reviewed management’s evaluation of unpermitted expansion airspace.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compared the results of the AUF calculated by aerial surveys to the factors utilized by the Company in the cash flow analyses.</w:t>
      </w:r>
    </w:p>
    <w:p>
      <w:pPr>
        <w:spacing w:after="0" w:line="63" w:lineRule="exact"/>
        <w:rPr>
          <w:rFonts w:ascii="Arial" w:cs="Arial" w:eastAsia="Arial" w:hAnsi="Arial"/>
          <w:sz w:val="18"/>
          <w:szCs w:val="18"/>
          <w:color w:val="auto"/>
        </w:rPr>
      </w:pPr>
    </w:p>
    <w:p>
      <w:pPr>
        <w:ind w:left="500" w:right="580" w:hanging="330"/>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assessed the appropriateness of the methodology used in developing the inflation rate, as well as verified the completeness and accuracy of the underlying data utilized.</w:t>
      </w:r>
    </w:p>
    <w:p>
      <w:pPr>
        <w:spacing w:after="0" w:line="8" w:lineRule="exact"/>
        <w:rPr>
          <w:rFonts w:ascii="Arial" w:cs="Arial" w:eastAsia="Arial" w:hAnsi="Arial"/>
          <w:sz w:val="18"/>
          <w:szCs w:val="18"/>
          <w:color w:val="auto"/>
        </w:rPr>
      </w:pPr>
    </w:p>
    <w:p>
      <w:pPr>
        <w:ind w:left="500" w:right="700" w:hanging="330"/>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Company’s methodology and reasonableness of the credit adjusted risk-free rate.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assessed the qualifications, reputation and objectivity of management’s third-party engineering specialists.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described in Note 3 of the consolidated financial statements, the Company is self-insured for vehicles and workers’ compensation. The Company’s self-insurance liabilities totaled $16.9 million as of December 31, 2019 and are included in accrued liabilities on the accompanying consolidated balance sheet. The liabilities for unpaid claims and associated expenses, including incurred but not reported losses, are estimated by the Company with the assistance of a third-party actuary. The liability is calculated based on multiple factors and assumptions, which primarily consider the frequency and ultimate settlement amount of claims, supplemented with industry data.</w:t>
      </w:r>
    </w:p>
    <w:p>
      <w:pPr>
        <w:spacing w:after="0" w:line="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identified the Company’s self-insurance liabilities as a critical audit matter because of the significant judgments made by management as well as the sensitivity of the actuarial assumptions. Auditing management’s judgments regarding the carried loss and allocated loss adjustment expense involved a high degree of auditor judgment and increased effort was required, including the need to involve our external actuarial specialists.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determination of the self-insurance liabilities included the following, among others:</w:t>
      </w:r>
    </w:p>
    <w:p>
      <w:pPr>
        <w:spacing w:after="0" w:line="63" w:lineRule="exact"/>
        <w:rPr>
          <w:sz w:val="20"/>
          <w:szCs w:val="20"/>
          <w:color w:val="auto"/>
        </w:rPr>
      </w:pPr>
    </w:p>
    <w:p>
      <w:pPr>
        <w:ind w:left="500" w:right="60" w:hanging="330"/>
        <w:spacing w:after="0" w:line="264"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self-insurance liabilities and tested such controls for design and operating effectiveness, including those over the claims processing as well as management’s determination of unpaid claims, associated expenses, and historical claims experience as compared to the data utilized in the actuarial valuation.</w:t>
      </w:r>
    </w:p>
    <w:p>
      <w:pPr>
        <w:spacing w:after="0" w:line="19" w:lineRule="exact"/>
        <w:rPr>
          <w:rFonts w:ascii="Arial" w:cs="Arial" w:eastAsia="Arial" w:hAnsi="Arial"/>
          <w:sz w:val="18"/>
          <w:szCs w:val="18"/>
          <w:color w:val="auto"/>
        </w:rPr>
      </w:pPr>
    </w:p>
    <w:p>
      <w:pPr>
        <w:ind w:left="500" w:right="580" w:hanging="330"/>
        <w:spacing w:after="0" w:line="277"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tested the accuracy and completeness of the actual claims paid during the year as well as the loss and exposure data utilized in the actuarial valuation.</w:t>
      </w:r>
    </w:p>
    <w:p>
      <w:pPr>
        <w:spacing w:after="0" w:line="8" w:lineRule="exact"/>
        <w:rPr>
          <w:rFonts w:ascii="Arial" w:cs="Arial" w:eastAsia="Arial" w:hAnsi="Arial"/>
          <w:sz w:val="18"/>
          <w:szCs w:val="18"/>
          <w:color w:val="auto"/>
        </w:rPr>
      </w:pPr>
    </w:p>
    <w:p>
      <w:pPr>
        <w:ind w:left="500" w:right="120" w:hanging="330"/>
        <w:spacing w:after="0" w:line="264" w:lineRule="auto"/>
        <w:tabs>
          <w:tab w:leader="none" w:pos="4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evaluated the reasonableness of the actuarial methodology and assumptions. Our external actuarial specialists also tested the appropriateness of management’s estimates for the carried loss and allocated loss adjustment expense, by comparing management’s estimates to our independently developed estimate.</w:t>
      </w:r>
    </w:p>
    <w:p>
      <w:pPr>
        <w:spacing w:after="0" w:line="19" w:lineRule="exact"/>
        <w:rPr>
          <w:rFonts w:ascii="Arial" w:cs="Arial" w:eastAsia="Arial" w:hAnsi="Arial"/>
          <w:sz w:val="18"/>
          <w:szCs w:val="18"/>
          <w:color w:val="auto"/>
        </w:rPr>
      </w:pPr>
    </w:p>
    <w:p>
      <w:pPr>
        <w:ind w:left="480" w:hanging="310"/>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assessed the qualifications, reputation and objectivity of management’s third-party actuarial specialists.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Client List Intangible Assets in Business Combinations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described in Note 5 of the consolidated financial statements, the Company completed the acquisition of nine businesses during the year ended December 31, 2019 for total consideration of $82.2 million. The Company accounted for these transactions under the acquisition method of accounting for business combinations. Accordingly, the purchase price was allocated, on a preliminary basis, to the assets acquired and liabilities assumed based on their respective fair values, including identified intangible assets of $31.2 million and resulting goodwill of $25.7 million. Of the identified intangible assets acquired, the most significant included client list intangible assets of $26.8 million (the “client list intangible assets”). The Company estimated the fair value of the client list intangible assets using the multi-period excess earnings method, which required management to make significant estimates and assumptions related to forecasted revenue and earnings, expected economic life of the asset, contributory asset charges, attrition rates, and the selection of discount rates.</w:t>
      </w:r>
    </w:p>
    <w:p>
      <w:pPr>
        <w:spacing w:after="0" w:line="5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identified the valuation of the client list intangible assets as a critical audit matter because of the significant estimates and assumptions management used in the fair value determination. Auditing management’s forecasts of future cash flows as well as the selection of the discount rates required a high degree of auditor judgment and an increased extent of effort when performing audit procedures, including the use of our valuation specialists.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client list intangible assets included the following, among others:</w:t>
      </w:r>
    </w:p>
    <w:p>
      <w:pPr>
        <w:spacing w:after="0" w:line="63" w:lineRule="exact"/>
        <w:rPr>
          <w:sz w:val="20"/>
          <w:szCs w:val="20"/>
          <w:color w:val="auto"/>
        </w:rPr>
      </w:pPr>
    </w:p>
    <w:p>
      <w:pPr>
        <w:ind w:left="500" w:right="40" w:hanging="330"/>
        <w:spacing w:after="0" w:line="317" w:lineRule="auto"/>
        <w:tabs>
          <w:tab w:leader="none" w:pos="4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obtained an understanding of the relevant controls related to the valuation of the client list intangible assets and tested such controls for design and operating effectiveness, including management’s controls over forecasts of future cash flows and selection of the attrition and discount rates.</w:t>
      </w:r>
    </w:p>
    <w:p>
      <w:pPr>
        <w:ind w:left="480" w:hanging="310"/>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read the purchase and sale agreements to understand and evaluate the terms of the acquisition.</w:t>
      </w:r>
    </w:p>
    <w:p>
      <w:pPr>
        <w:spacing w:after="0" w:line="63"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future cash flows and attrition rates by comparing the projections to historical results as well as industry benchmarks, and tested the underlying data for accuracy and completeness.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00" w:hanging="330"/>
        <w:spacing w:after="0" w:line="277"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reasonableness of the Company’s valuation methodology and significant assumptions by:</w:t>
      </w:r>
    </w:p>
    <w:p>
      <w:pPr>
        <w:spacing w:after="0" w:line="8" w:lineRule="exact"/>
        <w:rPr>
          <w:rFonts w:ascii="Arial" w:cs="Arial" w:eastAsia="Arial" w:hAnsi="Arial"/>
          <w:sz w:val="18"/>
          <w:szCs w:val="18"/>
          <w:color w:val="auto"/>
        </w:rPr>
      </w:pPr>
    </w:p>
    <w:p>
      <w:pPr>
        <w:ind w:left="1300" w:right="120" w:hanging="320"/>
        <w:spacing w:after="0" w:line="277" w:lineRule="auto"/>
        <w:tabs>
          <w:tab w:leader="none" w:pos="12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Testing the source information underlying the determination of the discount rates and verifying the accuracy of the calculations, including the contributory asset charges.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Developing an analysis for the discount rates and compared that analysis to the discount rates selected by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00" w:type="dxa"/>
            <w:vAlign w:val="bottom"/>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43"/>
        </w:trPr>
        <w:tc>
          <w:tcPr>
            <w:tcW w:w="8000" w:type="dxa"/>
            <w:vAlign w:val="bottom"/>
          </w:tcPr>
          <w:p>
            <w:pPr>
              <w:ind w:left="680"/>
              <w:spacing w:after="0"/>
              <w:rPr>
                <w:sz w:val="20"/>
                <w:szCs w:val="20"/>
                <w:color w:val="auto"/>
              </w:rPr>
            </w:pPr>
            <w:r>
              <w:rPr>
                <w:rFonts w:ascii="Arial" w:cs="Arial" w:eastAsia="Arial" w:hAnsi="Arial"/>
                <w:sz w:val="18"/>
                <w:szCs w:val="18"/>
                <w:color w:val="auto"/>
                <w:w w:val="98"/>
              </w:rPr>
              <w:t>Accounts receivable, net of allowance for doubtful accounts of $1,468 and $931, respectively</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80,205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74,937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97,093</w:t>
            </w:r>
          </w:p>
        </w:tc>
        <w:tc>
          <w:tcPr>
            <w:tcW w:w="0" w:type="dxa"/>
            <w:vAlign w:val="bottom"/>
          </w:tcPr>
          <w:p>
            <w:pPr>
              <w:spacing w:after="0"/>
              <w:rPr>
                <w:sz w:val="1"/>
                <w:szCs w:val="1"/>
                <w:color w:val="auto"/>
              </w:rPr>
            </w:pPr>
          </w:p>
        </w:tc>
      </w:tr>
      <w:tr>
        <w:trPr>
          <w:trHeight w:val="176"/>
        </w:trPr>
        <w:tc>
          <w:tcPr>
            <w:tcW w:w="8000" w:type="dxa"/>
            <w:vAlign w:val="bottom"/>
          </w:tcPr>
          <w:p>
            <w:pPr>
              <w:ind w:left="20"/>
              <w:spacing w:after="0" w:line="176" w:lineRule="exact"/>
              <w:rPr>
                <w:sz w:val="20"/>
                <w:szCs w:val="20"/>
                <w:color w:val="auto"/>
              </w:rPr>
            </w:pPr>
            <w:r>
              <w:rPr>
                <w:rFonts w:ascii="Arial" w:cs="Arial" w:eastAsia="Arial" w:hAnsi="Arial"/>
                <w:sz w:val="18"/>
                <w:szCs w:val="18"/>
                <w:color w:val="auto"/>
                <w:w w:val="92"/>
              </w:rPr>
              <w:t>Property, plant and equipment, net of accumulated depreciation and amortization of $844,874 and $878,701,</w:t>
            </w:r>
          </w:p>
        </w:tc>
        <w:tc>
          <w:tcPr>
            <w:tcW w:w="240" w:type="dxa"/>
            <w:vAlign w:val="bottom"/>
          </w:tcPr>
          <w:p>
            <w:pPr>
              <w:spacing w:after="0"/>
              <w:rPr>
                <w:sz w:val="15"/>
                <w:szCs w:val="15"/>
                <w:color w:val="auto"/>
              </w:rPr>
            </w:pPr>
          </w:p>
        </w:tc>
        <w:tc>
          <w:tcPr>
            <w:tcW w:w="1380" w:type="dxa"/>
            <w:vAlign w:val="bottom"/>
            <w:vMerge w:val="restart"/>
          </w:tcPr>
          <w:p>
            <w:pPr>
              <w:jc w:val="right"/>
              <w:ind w:right="72"/>
              <w:spacing w:after="0"/>
              <w:rPr>
                <w:sz w:val="20"/>
                <w:szCs w:val="20"/>
                <w:color w:val="auto"/>
              </w:rPr>
            </w:pPr>
            <w:r>
              <w:rPr>
                <w:rFonts w:ascii="Arial" w:cs="Arial" w:eastAsia="Arial" w:hAnsi="Arial"/>
                <w:sz w:val="18"/>
                <w:szCs w:val="18"/>
                <w:color w:val="auto"/>
              </w:rPr>
              <w:t>443,825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restart"/>
          </w:tcPr>
          <w:p>
            <w:pPr>
              <w:jc w:val="right"/>
              <w:ind w:right="72"/>
              <w:spacing w:after="0"/>
              <w:rPr>
                <w:sz w:val="20"/>
                <w:szCs w:val="20"/>
                <w:color w:val="auto"/>
              </w:rPr>
            </w:pPr>
            <w:r>
              <w:rPr>
                <w:rFonts w:ascii="Arial" w:cs="Arial" w:eastAsia="Arial" w:hAnsi="Arial"/>
                <w:sz w:val="18"/>
                <w:szCs w:val="18"/>
                <w:color w:val="auto"/>
              </w:rPr>
              <w:t>404,577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185,819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162,734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34,767</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37"/>
        </w:trPr>
        <w:tc>
          <w:tcPr>
            <w:tcW w:w="80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932,182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732,410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00" w:type="dxa"/>
            <w:vAlign w:val="bottom"/>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0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57,289</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14,375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10,969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23,598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111,497</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509,021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542,001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61,704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61,442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34,763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30,783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Casella Waste Systems, Inc.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680"/>
              <w:spacing w:after="0" w:line="176" w:lineRule="exact"/>
              <w:rPr>
                <w:sz w:val="20"/>
                <w:szCs w:val="20"/>
                <w:color w:val="auto"/>
              </w:rPr>
            </w:pPr>
            <w:r>
              <w:rPr>
                <w:rFonts w:ascii="Arial" w:cs="Arial" w:eastAsia="Arial" w:hAnsi="Arial"/>
                <w:sz w:val="18"/>
                <w:szCs w:val="18"/>
                <w:color w:val="auto"/>
                <w:w w:val="92"/>
              </w:rPr>
              <w:t>Class A common stock, $0.01 par value per share; 100,000,000 shares authorized; 46,803,000 and</w:t>
            </w:r>
          </w:p>
        </w:tc>
        <w:tc>
          <w:tcPr>
            <w:tcW w:w="240" w:type="dxa"/>
            <w:vAlign w:val="bottom"/>
          </w:tcPr>
          <w:p>
            <w:pPr>
              <w:spacing w:after="0"/>
              <w:rPr>
                <w:sz w:val="15"/>
                <w:szCs w:val="15"/>
                <w:color w:val="auto"/>
              </w:rPr>
            </w:pPr>
          </w:p>
        </w:tc>
        <w:tc>
          <w:tcPr>
            <w:tcW w:w="1380" w:type="dxa"/>
            <w:vAlign w:val="bottom"/>
            <w:vMerge w:val="restart"/>
          </w:tcPr>
          <w:p>
            <w:pPr>
              <w:jc w:val="right"/>
              <w:ind w:right="7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vMerge w:val="restart"/>
          </w:tcPr>
          <w:p>
            <w:pPr>
              <w:jc w:val="right"/>
              <w:ind w:right="7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8000" w:type="dxa"/>
            <w:vAlign w:val="bottom"/>
          </w:tcPr>
          <w:p>
            <w:pPr>
              <w:ind w:left="680"/>
              <w:spacing w:after="0"/>
              <w:rPr>
                <w:sz w:val="20"/>
                <w:szCs w:val="20"/>
                <w:color w:val="auto"/>
              </w:rPr>
            </w:pPr>
            <w:r>
              <w:rPr>
                <w:rFonts w:ascii="Arial" w:cs="Arial" w:eastAsia="Arial" w:hAnsi="Arial"/>
                <w:sz w:val="18"/>
                <w:szCs w:val="18"/>
                <w:color w:val="auto"/>
              </w:rPr>
              <w:t>41,944,000 shares issued and outstanding, 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4"/>
              </w:rPr>
              <w:t>Class B common stock, $0.01 par value per share; 1,000,000 shares authorized; 988,000 shares</w:t>
            </w: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issued and outstanding; 10 votes per share</w:t>
            </w: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485,332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373,716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(388,669)</w:t>
            </w:r>
          </w:p>
        </w:tc>
        <w:tc>
          <w:tcPr>
            <w:tcW w:w="0" w:type="dxa"/>
            <w:vAlign w:val="bottom"/>
          </w:tcPr>
          <w:p>
            <w:pPr>
              <w:spacing w:after="0"/>
              <w:rPr>
                <w:sz w:val="1"/>
                <w:szCs w:val="1"/>
                <w:color w:val="auto"/>
              </w:rPr>
            </w:pPr>
          </w:p>
        </w:tc>
      </w:tr>
      <w:tr>
        <w:trPr>
          <w:trHeight w:val="243"/>
        </w:trPr>
        <w:tc>
          <w:tcPr>
            <w:tcW w:w="8000" w:type="dxa"/>
            <w:vAlign w:val="bottom"/>
          </w:tcPr>
          <w:p>
            <w:pPr>
              <w:ind w:left="6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43"/>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932,182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732,410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743,290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599,309</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508,656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453,291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405,188</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92,782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84,791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79,243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62,102</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Southbridge Landfill closure charge, net</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65,183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Withdrawal costs - multiemployer pension plan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Expense from acquisition activities and other items</w:t>
            </w: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176</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 settlement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Development project charge</w:t>
            </w: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690,215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620,927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611,892</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53,075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39,733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(12,583)</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25,160</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517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Impairment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(935)</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24,469</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29,779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(37,052)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(15,253)</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31,653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(21,799)</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9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47,226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42,688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47,966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44,168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31,653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(21,799)</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Hedging activity: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40"/>
              <w:spacing w:after="0"/>
              <w:rPr>
                <w:sz w:val="20"/>
                <w:szCs w:val="20"/>
                <w:color w:val="auto"/>
              </w:rPr>
            </w:pPr>
            <w:r>
              <w:rPr>
                <w:rFonts w:ascii="Arial" w:cs="Arial" w:eastAsia="Arial" w:hAnsi="Arial"/>
                <w:sz w:val="18"/>
                <w:szCs w:val="18"/>
                <w:color w:val="auto"/>
              </w:rPr>
              <w:t>Interest rate swap settlements</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(410)</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Interest rate swap amounts reclassified into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421</w:t>
            </w:r>
          </w:p>
        </w:tc>
      </w:tr>
      <w:tr>
        <w:trPr>
          <w:trHeight w:val="243"/>
        </w:trPr>
        <w:tc>
          <w:tcPr>
            <w:tcW w:w="7200" w:type="dxa"/>
            <w:vAlign w:val="bottom"/>
          </w:tcPr>
          <w:p>
            <w:pPr>
              <w:ind w:left="540"/>
              <w:spacing w:after="0"/>
              <w:rPr>
                <w:sz w:val="20"/>
                <w:szCs w:val="20"/>
                <w:color w:val="auto"/>
              </w:rPr>
            </w:pPr>
            <w:r>
              <w:rPr>
                <w:rFonts w:ascii="Arial" w:cs="Arial" w:eastAsia="Arial" w:hAnsi="Arial"/>
                <w:sz w:val="18"/>
                <w:szCs w:val="18"/>
                <w:color w:val="auto"/>
              </w:rPr>
              <w:t>Unrealized (loss) gain resulting from changes in fair value of derivative instruments</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 resulting from changes in fair value of marketable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337</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 effect related to items of other comprehensive (loss) income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252</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4,946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3"/>
              </w:rPr>
              <w:t>Casella Waste Systems, Inc. Stockholders' Equity (Deficit)</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6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6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60" w:type="dxa"/>
            <w:vAlign w:val="bottom"/>
            <w:gridSpan w:val="3"/>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65"/>
        </w:trPr>
        <w:tc>
          <w:tcPr>
            <w:tcW w:w="2960" w:type="dxa"/>
            <w:vAlign w:val="bottom"/>
          </w:tcPr>
          <w:p>
            <w:pPr>
              <w:spacing w:after="0"/>
              <w:rPr>
                <w:sz w:val="5"/>
                <w:szCs w:val="5"/>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6"/>
                <w:szCs w:val="16"/>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2016</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 (24,550)</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40,572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348,434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(373,308)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w w:val="96"/>
              </w:rPr>
              <w:t>(24)</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rPr>
              <w:t>Issuances of Class A common stock</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1,772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rPr>
              <w:t>Other</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89"/>
              </w:rPr>
              <w:t>24</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2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(21,799)</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(21,799)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420"/>
              <w:spacing w:after="0"/>
              <w:rPr>
                <w:sz w:val="20"/>
                <w:szCs w:val="20"/>
                <w:color w:val="auto"/>
              </w:rPr>
            </w:pPr>
            <w:r>
              <w:rPr>
                <w:rFonts w:ascii="Arial" w:cs="Arial" w:eastAsia="Arial" w:hAnsi="Arial"/>
                <w:sz w:val="14"/>
                <w:szCs w:val="14"/>
                <w:color w:val="auto"/>
              </w:rPr>
              <w:t>Hedging activity</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2"/>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(37,862)</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41,298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413</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356,638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(395,107)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rPr>
              <w:t>Cumulative effect of new accounting principle</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w w:val="98"/>
              </w:rPr>
              <w:t>Issuance of Class A common stock - acquisition</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7,622</w:t>
            </w:r>
          </w:p>
        </w:tc>
        <w:tc>
          <w:tcPr>
            <w:tcW w:w="10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7,621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Hedging activity</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(15,832)</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41,944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373,716</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(388,669)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(1,308)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 common stock - equity</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100,446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100,410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w w:val="96"/>
              </w:rPr>
              <w:t>Issuances of Class A common stock - acquisition</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 of Class A common stock</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7,223</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7,223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31,653</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31,653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420"/>
              <w:spacing w:after="0"/>
              <w:rPr>
                <w:sz w:val="20"/>
                <w:szCs w:val="20"/>
                <w:color w:val="auto"/>
              </w:rPr>
            </w:pPr>
            <w:r>
              <w:rPr>
                <w:rFonts w:ascii="Arial" w:cs="Arial" w:eastAsia="Arial" w:hAnsi="Arial"/>
                <w:sz w:val="14"/>
                <w:szCs w:val="14"/>
                <w:color w:val="auto"/>
              </w:rPr>
              <w:t>Hedging activity</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(4,733)</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1"/>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7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3"/>
              </w:rPr>
              <w:t>$ 122,753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46,803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485,332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(357,016)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13335</wp:posOffset>
            </wp:positionV>
            <wp:extent cx="265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2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72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31,653</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(21,799)</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79,790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70,508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62,102</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Depletion of landfill operating lease obligations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9,646</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4,482</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 and discount on 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2,692</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6,432</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Operating lease right-of-use assets expense</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(Gain) loss on sale of property and equipment</w:t>
            </w:r>
          </w:p>
        </w:tc>
        <w:tc>
          <w:tcPr>
            <w:tcW w:w="3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49</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Southbridge Landfill non-cash closure charge, net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63,526</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Southbridge Landfill insurance recovery for investing activities</w:t>
            </w:r>
          </w:p>
        </w:tc>
        <w:tc>
          <w:tcPr>
            <w:tcW w:w="3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Development project charge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Non-cash expense from acquisition activities and other items</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517</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Impairment of investments</w:t>
            </w:r>
          </w:p>
        </w:tc>
        <w:tc>
          <w:tcPr>
            <w:tcW w:w="32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Withdrawal costs - multiemployer pension plan</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(15,525)</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 net of effects of acquisitions and divestitures: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720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(4,664)</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Landfill operating lease contract expenditures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0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6,762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9,091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2,084</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inventories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(1,404)</w:t>
            </w:r>
          </w:p>
        </w:tc>
      </w:tr>
      <w:tr>
        <w:trPr>
          <w:trHeight w:val="224"/>
        </w:trPr>
        <w:tc>
          <w:tcPr>
            <w:tcW w:w="7200" w:type="dxa"/>
            <w:vAlign w:val="bottom"/>
          </w:tcPr>
          <w:p>
            <w:pPr>
              <w:ind w:left="540"/>
              <w:spacing w:after="0"/>
              <w:rPr>
                <w:sz w:val="20"/>
                <w:szCs w:val="20"/>
                <w:color w:val="auto"/>
              </w:rPr>
            </w:pPr>
            <w:r>
              <w:rPr>
                <w:rFonts w:ascii="Arial" w:cs="Arial" w:eastAsia="Arial" w:hAnsi="Arial"/>
                <w:sz w:val="16"/>
                <w:szCs w:val="16"/>
                <w:color w:val="auto"/>
              </w:rPr>
              <w:t>Accrued expenses, contract liabilities and other liabilities</w:t>
            </w:r>
          </w:p>
        </w:tc>
        <w:tc>
          <w:tcPr>
            <w:tcW w:w="3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(22,931)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(600)</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116,829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107,538</w:t>
            </w:r>
          </w:p>
        </w:tc>
      </w:tr>
      <w:tr>
        <w:trPr>
          <w:trHeight w:val="204"/>
        </w:trPr>
        <w:tc>
          <w:tcPr>
            <w:tcW w:w="72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(5,056)</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Additions to property, plant and equipment</w:t>
            </w:r>
          </w:p>
        </w:tc>
        <w:tc>
          <w:tcPr>
            <w:tcW w:w="3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(103,165)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(64,862)</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landfill operating lease contracts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(7,240)</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711</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Southbridge Landfill insurance recovery for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Proceeds from property insurance settlement</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(76,447)</w:t>
            </w:r>
          </w:p>
        </w:tc>
      </w:tr>
      <w:tr>
        <w:trPr>
          <w:trHeight w:val="204"/>
        </w:trPr>
        <w:tc>
          <w:tcPr>
            <w:tcW w:w="72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debt borrowings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197,800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634,700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185,500</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(243,374)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(584,223)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(216,966)</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(1,452)</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Proceeds from the exercise of share based awards</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1,278</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Proceeds from the public offering of Class A 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100,446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200" w:type="dxa"/>
            <w:vAlign w:val="bottom"/>
          </w:tcPr>
          <w:p>
            <w:pPr>
              <w:ind w:left="220"/>
              <w:spacing w:after="0"/>
              <w:rPr>
                <w:sz w:val="20"/>
                <w:szCs w:val="20"/>
                <w:color w:val="auto"/>
              </w:rPr>
            </w:pPr>
            <w:r>
              <w:rPr>
                <w:rFonts w:ascii="Arial" w:cs="Arial" w:eastAsia="Arial" w:hAnsi="Arial"/>
                <w:sz w:val="16"/>
                <w:szCs w:val="16"/>
                <w:color w:val="auto"/>
              </w:rPr>
              <w:t>Proceeds from unregistered sale of Class A Common Stock</w:t>
            </w:r>
          </w:p>
        </w:tc>
        <w:tc>
          <w:tcPr>
            <w:tcW w:w="3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(31,640)</w:t>
            </w:r>
          </w:p>
        </w:tc>
      </w:tr>
      <w:tr>
        <w:trPr>
          <w:trHeight w:val="217"/>
        </w:trPr>
        <w:tc>
          <w:tcPr>
            <w:tcW w:w="72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(549)</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2,544</w:t>
            </w:r>
          </w:p>
        </w:tc>
      </w:tr>
      <w:tr>
        <w:trPr>
          <w:trHeight w:val="217"/>
        </w:trPr>
        <w:tc>
          <w:tcPr>
            <w:tcW w:w="72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3,471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1,995</w:t>
            </w:r>
          </w:p>
        </w:tc>
      </w:tr>
      <w:tr>
        <w:trPr>
          <w:trHeight w:val="33"/>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13335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23"/>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4"/>
        </w:trPr>
        <w:tc>
          <w:tcPr>
            <w:tcW w:w="7200" w:type="dxa"/>
            <w:vAlign w:val="bottom"/>
          </w:tcPr>
          <w:p>
            <w:pPr>
              <w:ind w:left="340"/>
              <w:spacing w:after="0"/>
              <w:rPr>
                <w:sz w:val="20"/>
                <w:szCs w:val="20"/>
                <w:color w:val="auto"/>
              </w:rPr>
            </w:pPr>
            <w:r>
              <w:rPr>
                <w:rFonts w:ascii="Arial" w:cs="Arial" w:eastAsia="Arial" w:hAnsi="Arial"/>
                <w:sz w:val="16"/>
                <w:szCs w:val="16"/>
                <w:color w:val="auto"/>
              </w:rPr>
              <w:t>Cash paid during the period for: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23,183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23,523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25,029</w:t>
            </w:r>
          </w:p>
        </w:tc>
      </w:tr>
      <w:tr>
        <w:trPr>
          <w:trHeight w:val="224"/>
        </w:trPr>
        <w:tc>
          <w:tcPr>
            <w:tcW w:w="7200" w:type="dxa"/>
            <w:vAlign w:val="bottom"/>
          </w:tcPr>
          <w:p>
            <w:pPr>
              <w:ind w:left="660"/>
              <w:spacing w:after="0"/>
              <w:rPr>
                <w:sz w:val="20"/>
                <w:szCs w:val="20"/>
                <w:color w:val="auto"/>
              </w:rPr>
            </w:pPr>
            <w:r>
              <w:rPr>
                <w:rFonts w:ascii="Arial" w:cs="Arial" w:eastAsia="Arial" w:hAnsi="Arial"/>
                <w:sz w:val="16"/>
                <w:szCs w:val="16"/>
                <w:color w:val="auto"/>
              </w:rPr>
              <w:t>Income tax (refunds) payments, net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420"/>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146</w:t>
            </w:r>
          </w:p>
        </w:tc>
      </w:tr>
      <w:tr>
        <w:trPr>
          <w:trHeight w:val="33"/>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7200" w:type="dxa"/>
            <w:vAlign w:val="bottom"/>
          </w:tcPr>
          <w:p>
            <w:pPr>
              <w:ind w:left="660"/>
              <w:spacing w:after="0"/>
              <w:rPr>
                <w:sz w:val="20"/>
                <w:szCs w:val="20"/>
                <w:color w:val="auto"/>
              </w:rPr>
            </w:pPr>
            <w:r>
              <w:rPr>
                <w:rFonts w:ascii="Arial" w:cs="Arial" w:eastAsia="Arial" w:hAnsi="Arial"/>
                <w:sz w:val="16"/>
                <w:szCs w:val="16"/>
                <w:color w:val="auto"/>
              </w:rPr>
              <w:t>Non-current assets acquired through long-term obligations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ind w:left="420"/>
              <w:spacing w:after="0"/>
              <w:rPr>
                <w:sz w:val="20"/>
                <w:szCs w:val="20"/>
                <w:color w:val="auto"/>
              </w:rPr>
            </w:pPr>
            <w:r>
              <w:rPr>
                <w:rFonts w:ascii="Arial" w:cs="Arial" w:eastAsia="Arial" w:hAnsi="Arial"/>
                <w:sz w:val="16"/>
                <w:szCs w:val="16"/>
                <w:color w:val="auto"/>
              </w:rPr>
              <w:t>13,053</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7,092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3,564</w:t>
            </w: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Casella Waste Systems, Inc. (“Parent”), its consolidated subsidiaries and any partially owned entities over which it has a controlling financial interest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our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 Effective January 1, 2020, we reorganized our operating segments as follows: we aligned our organics services and our major account and industrial services, with our Recycling segment to form the Resource Solutions segment, thus creating a single resource renewal-focused segment. We also moved our ancillary transportation services, which were previously included in our Other segment, into our Western region. Accordingly, as of January 1, 2020, our operating segments consist of the Eastern and Western regions and Resource Solutions.</w:t>
      </w:r>
    </w:p>
    <w:p>
      <w:pPr>
        <w:spacing w:after="0" w:line="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consolidated financial statements, which include the accounts of the Parent, our wholly-owned subsidiaries and any partially owned entities over which we have a controlling financial interest,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CHANGES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tbl>
      <w:tblPr>
        <w:tblLayout w:type="fixed"/>
        <w:tblInd w:w="20" w:type="dxa"/>
        <w:tblCellMar>
          <w:top w:w="0" w:type="dxa"/>
          <w:left w:w="0" w:type="dxa"/>
          <w:bottom w:w="0" w:type="dxa"/>
          <w:right w:w="0" w:type="dxa"/>
        </w:tblCellMar>
      </w:tblPr>
      <w:tr>
        <w:trPr>
          <w:trHeight w:val="15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40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Pr>
          <w:p>
            <w:pPr>
              <w:jc w:val="center"/>
              <w:ind w:left="1088"/>
              <w:spacing w:after="0" w:line="159"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4000" w:type="dxa"/>
            <w:vAlign w:val="bottom"/>
            <w:vMerge w:val="continue"/>
          </w:tcPr>
          <w:p>
            <w:pPr>
              <w:spacing w:after="0"/>
              <w:rPr>
                <w:sz w:val="16"/>
                <w:szCs w:val="16"/>
                <w:color w:val="auto"/>
              </w:rPr>
            </w:pPr>
          </w:p>
        </w:tc>
        <w:tc>
          <w:tcPr>
            <w:tcW w:w="3860" w:type="dxa"/>
            <w:vAlign w:val="bottom"/>
          </w:tcPr>
          <w:p>
            <w:pPr>
              <w:jc w:val="center"/>
              <w:ind w:left="10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05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Accounting standards adopted effective January 1, 2019</w:t>
      </w:r>
    </w:p>
    <w:p>
      <w:pPr>
        <w:sectPr>
          <w:pgSz w:w="11900" w:h="16838" w:orient="portrait"/>
          <w:cols w:equalWidth="0" w:num="1">
            <w:col w:w="11360"/>
          </w:cols>
          <w:pgMar w:left="240" w:top="118" w:right="299" w:bottom="1440" w:gutter="0" w:footer="0" w:header="0"/>
        </w:sectPr>
      </w:pPr>
    </w:p>
    <w:p>
      <w:pPr>
        <w:spacing w:after="0" w:line="117" w:lineRule="exact"/>
        <w:rPr>
          <w:sz w:val="20"/>
          <w:szCs w:val="20"/>
          <w:color w:val="auto"/>
        </w:rPr>
      </w:pPr>
    </w:p>
    <w:p>
      <w:pPr>
        <w:ind w:left="20"/>
        <w:spacing w:after="0" w:line="342" w:lineRule="auto"/>
        <w:rPr>
          <w:sz w:val="20"/>
          <w:szCs w:val="20"/>
          <w:color w:val="auto"/>
        </w:rPr>
      </w:pPr>
      <w:r>
        <w:rPr>
          <w:rFonts w:ascii="Arial" w:cs="Arial" w:eastAsia="Arial" w:hAnsi="Arial"/>
          <w:sz w:val="16"/>
          <w:szCs w:val="16"/>
          <w:color w:val="auto"/>
        </w:rPr>
        <w:t>ASU No. 2016-02, as amended through March 2019: Leases (Topic 842)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adopted the guidance using the prospective optional transition method effective January 1, 2019, which allowed us to elect not to restate comparative periods and, if applicable, to recognize the effects of applying this guidance as a cumulative-effect adjustment to retained earnings as of January 1, 2019. We did not recognize a cumulative effect adjustment to retained earnings upon implementation. Upon adopting this guidance, we recognized a right-of-use asset and lease liability for leases classified as operating leases with a term in excess of 12 months in our consolidated balance sheet. We also prospectively reclassified landfill operating lease payments, along with related accumulated depreciation, that were previously capitalized as property, plant and equipment to operating lease right-of-use assets. Accordingly, the related cash outlays, which were historically considered cash flows from investing activities, were prospectively reclassified as cash flows from operating activities in accordance with Topic 842. With the assistance of third-party resources, we designed internal controls over the adoption of this guidance and implemented a third-party enterprise lease management software solution. In conjunction with the implementation, we modified our lease policy and internal business processes to effectively manage and account for leases, and to support recognition and disclosure requirements under the new standard. The adoption of this guidance did not have a material impact on the accounting for our finance leases. This guidance required additional disclosure over leases in order to comply with the new lease standard. See Note 8, Leases for additional disclosure.</w:t>
      </w:r>
    </w:p>
    <w:p>
      <w:pPr>
        <w:spacing w:after="0" w:line="200" w:lineRule="exact"/>
        <w:rPr>
          <w:sz w:val="20"/>
          <w:szCs w:val="20"/>
          <w:color w:val="auto"/>
        </w:rPr>
      </w:pPr>
    </w:p>
    <w:p>
      <w:pPr>
        <w:sectPr>
          <w:pgSz w:w="11900" w:h="16838" w:orient="portrait"/>
          <w:cols w:equalWidth="0" w:num="3">
            <w:col w:w="2880" w:space="700"/>
            <w:col w:w="3280" w:space="280"/>
            <w:col w:w="4220"/>
          </w:cols>
          <w:pgMar w:left="240" w:top="11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20" w:type="dxa"/>
        <w:tblCellMar>
          <w:top w:w="0" w:type="dxa"/>
          <w:left w:w="0" w:type="dxa"/>
          <w:bottom w:w="0" w:type="dxa"/>
          <w:right w:w="0" w:type="dxa"/>
        </w:tblCellMar>
      </w:tblP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40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Pr>
          <w:p>
            <w:pPr>
              <w:jc w:val="center"/>
              <w:ind w:left="1088"/>
              <w:spacing w:after="0" w:line="149"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4000" w:type="dxa"/>
            <w:vAlign w:val="bottom"/>
            <w:vMerge w:val="continue"/>
          </w:tcPr>
          <w:p>
            <w:pPr>
              <w:spacing w:after="0"/>
              <w:rPr>
                <w:sz w:val="16"/>
                <w:szCs w:val="16"/>
                <w:color w:val="auto"/>
              </w:rPr>
            </w:pPr>
          </w:p>
        </w:tc>
        <w:tc>
          <w:tcPr>
            <w:tcW w:w="3860" w:type="dxa"/>
            <w:vAlign w:val="bottom"/>
          </w:tcPr>
          <w:p>
            <w:pPr>
              <w:jc w:val="center"/>
              <w:ind w:left="1088"/>
              <w:spacing w:after="0"/>
              <w:rPr>
                <w:sz w:val="20"/>
                <w:szCs w:val="20"/>
                <w:color w:val="auto"/>
              </w:rPr>
            </w:pPr>
            <w:r>
              <w:rPr>
                <w:rFonts w:ascii="Arial" w:cs="Arial" w:eastAsia="Arial" w:hAnsi="Arial"/>
                <w:sz w:val="14"/>
                <w:szCs w:val="14"/>
                <w:b w:val="1"/>
                <w:bCs w:val="1"/>
                <w:color w:val="auto"/>
                <w:w w:val="94"/>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0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Accounting standards issued pending adoption</w:t>
      </w:r>
    </w:p>
    <w:p>
      <w:pPr>
        <w:spacing w:after="0" w:line="117"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8"/>
          <w:szCs w:val="18"/>
          <w:color w:val="auto"/>
        </w:rPr>
        <w:t>ASU No. 2019-12: Income Taxes (Topic</w:t>
      </w:r>
      <w:r>
        <w:rPr>
          <w:sz w:val="20"/>
          <w:szCs w:val="20"/>
          <w:color w:val="auto"/>
        </w:rPr>
        <w:tab/>
      </w:r>
      <w:r>
        <w:rPr>
          <w:rFonts w:ascii="Arial" w:cs="Arial" w:eastAsia="Arial" w:hAnsi="Arial"/>
          <w:sz w:val="16"/>
          <w:szCs w:val="16"/>
          <w:color w:val="auto"/>
        </w:rPr>
        <w:t>Reduces the complexity over accounting for</w:t>
      </w:r>
    </w:p>
    <w:p>
      <w:pPr>
        <w:spacing w:after="0" w:line="23"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6"/>
          <w:szCs w:val="16"/>
          <w:color w:val="auto"/>
        </w:rPr>
        <w:t>740)</w:t>
      </w:r>
      <w:r>
        <w:rPr>
          <w:sz w:val="20"/>
          <w:szCs w:val="20"/>
          <w:color w:val="auto"/>
        </w:rPr>
        <w:tab/>
      </w:r>
      <w:r>
        <w:rPr>
          <w:rFonts w:ascii="Arial" w:cs="Arial" w:eastAsia="Arial" w:hAnsi="Arial"/>
          <w:sz w:val="16"/>
          <w:szCs w:val="16"/>
          <w:color w:val="auto"/>
        </w:rPr>
        <w:t>income taxes by removing certain exceptions</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and amending guidance to improve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consistent application of accounting over</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income taxes.</w:t>
      </w:r>
    </w:p>
    <w:p>
      <w:pPr>
        <w:spacing w:after="0" w:line="103"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8"/>
          <w:szCs w:val="18"/>
          <w:color w:val="auto"/>
        </w:rPr>
        <w:t>ASU No. 2017-04: Intangibles - Goodwill</w:t>
      </w:r>
      <w:r>
        <w:rPr>
          <w:sz w:val="20"/>
          <w:szCs w:val="20"/>
          <w:color w:val="auto"/>
        </w:rPr>
        <w:tab/>
      </w:r>
      <w:r>
        <w:rPr>
          <w:rFonts w:ascii="Arial" w:cs="Arial" w:eastAsia="Arial" w:hAnsi="Arial"/>
          <w:sz w:val="16"/>
          <w:szCs w:val="16"/>
          <w:color w:val="auto"/>
        </w:rPr>
        <w:t>Requires that when an entity is performing</w:t>
      </w:r>
    </w:p>
    <w:p>
      <w:pPr>
        <w:spacing w:after="0" w:line="23"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8"/>
          <w:szCs w:val="18"/>
          <w:color w:val="auto"/>
        </w:rPr>
        <w:t>and Other (Topic 350)</w:t>
      </w:r>
      <w:r>
        <w:rPr>
          <w:sz w:val="20"/>
          <w:szCs w:val="20"/>
          <w:color w:val="auto"/>
        </w:rPr>
        <w:tab/>
      </w:r>
      <w:r>
        <w:rPr>
          <w:rFonts w:ascii="Arial" w:cs="Arial" w:eastAsia="Arial" w:hAnsi="Arial"/>
          <w:sz w:val="16"/>
          <w:szCs w:val="16"/>
          <w:color w:val="auto"/>
        </w:rPr>
        <w:t>its annual, or interim, goodwill impairment</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test, it should compare the fair value of the</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reporting unit with its carrying amount when</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calculating its impairment charge, noting that</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the loss recognized should not exceed the</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total amount of goodwill allocated to that</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reporting unit. Additionally, if applicable, an</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entity should consider income tax effects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from any tax-deductible goodwill on the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carrying amount of the reporting unit when</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calculating its impairment charge.</w:t>
      </w:r>
    </w:p>
    <w:p>
      <w:pPr>
        <w:spacing w:after="0" w:line="103"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8"/>
          <w:szCs w:val="18"/>
          <w:color w:val="auto"/>
        </w:rPr>
        <w:t>ASU No. 2016-13: Financial Instrument</w:t>
      </w:r>
      <w:r>
        <w:rPr>
          <w:sz w:val="20"/>
          <w:szCs w:val="20"/>
          <w:color w:val="auto"/>
        </w:rPr>
        <w:tab/>
      </w:r>
      <w:r>
        <w:rPr>
          <w:rFonts w:ascii="Arial" w:cs="Arial" w:eastAsia="Arial" w:hAnsi="Arial"/>
          <w:sz w:val="16"/>
          <w:szCs w:val="16"/>
          <w:color w:val="auto"/>
        </w:rPr>
        <w:t>Requires that an entity measures all of its</w:t>
      </w:r>
    </w:p>
    <w:p>
      <w:pPr>
        <w:spacing w:after="0" w:line="23"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8"/>
          <w:szCs w:val="18"/>
          <w:color w:val="auto"/>
        </w:rPr>
        <w:t>Credit Losses (Topic 326)</w:t>
      </w:r>
      <w:r>
        <w:rPr>
          <w:sz w:val="20"/>
          <w:szCs w:val="20"/>
          <w:color w:val="auto"/>
        </w:rPr>
        <w:tab/>
      </w:r>
      <w:r>
        <w:rPr>
          <w:rFonts w:ascii="Arial" w:cs="Arial" w:eastAsia="Arial" w:hAnsi="Arial"/>
          <w:sz w:val="16"/>
          <w:szCs w:val="16"/>
          <w:color w:val="auto"/>
        </w:rPr>
        <w:t>expected credit losses for financial assets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held based on historical experience, current</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conditions, and reasonable and supportable</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920" w:firstLine="8"/>
        <w:spacing w:after="0" w:line="378" w:lineRule="auto"/>
        <w:tabs>
          <w:tab w:leader="none" w:pos="22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Management’s Estimates and Assumptions</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are currently assessing the provisions of this guidance to determine whether or not its adoption will have an impact on our consolidated financial statements and related disclosures. This guidance is effective January 1, 2021 with early adoption permitted.</w:t>
      </w:r>
    </w:p>
    <w:p>
      <w:pPr>
        <w:spacing w:after="0" w:line="131"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As of December 31, 2019,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We adopted this guidance effective January 1, 2020 and we do not expect our adoption of this guidance to have a material impact on our consolidated financial statements.</w:t>
      </w:r>
    </w:p>
    <w:p>
      <w:pPr>
        <w:spacing w:after="0" w:line="200" w:lineRule="exact"/>
        <w:rPr>
          <w:sz w:val="20"/>
          <w:szCs w:val="20"/>
          <w:color w:val="auto"/>
        </w:rPr>
      </w:pPr>
    </w:p>
    <w:p>
      <w:pPr>
        <w:spacing w:after="0" w:line="26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guidance is effective for fiscal years beginning after December 15, 2019, including interim periods within that fiscal year. We adopted this guidance effective January 1, 2020 using the required modified-retrospective approach. We are currently assessing the provisions of this guidance, and we do not expect our adoption of this standard to have a material impact on our consolidated financial statements or to result in a material cumulative effect adjustment to retained earnings as of January 1, 2020.</w:t>
      </w:r>
    </w:p>
    <w:p>
      <w:pPr>
        <w:spacing w:after="0" w:line="1085" w:lineRule="exact"/>
        <w:rPr>
          <w:sz w:val="20"/>
          <w:szCs w:val="20"/>
          <w:color w:val="auto"/>
        </w:rPr>
      </w:pPr>
    </w:p>
    <w:p>
      <w:pPr>
        <w:sectPr>
          <w:pgSz w:w="11900" w:h="16838" w:orient="portrait"/>
          <w:cols w:equalWidth="0" w:num="2">
            <w:col w:w="6840" w:space="300"/>
            <w:col w:w="4240"/>
          </w:cols>
          <w:pgMar w:left="240" w:top="118" w:right="279" w:bottom="1440" w:gutter="0" w:footer="0" w:header="0"/>
          <w:type w:val="continuous"/>
        </w:sectPr>
      </w:pPr>
    </w:p>
    <w:p>
      <w:pPr>
        <w:ind w:right="20"/>
        <w:spacing w:after="0" w:line="270"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some cases, these estimates are difficult to determine, and we must exercise significant judgment. In preparing our consolidated financial statements, the estimates and assumptions that we consider to be significant and that present the greatest amount of uncertainty relate to our accounting for landfills, environmental remediation liabilities, asset impairments, accounts receivable valuation allowance, self-insurance reserves, deferred taxes and uncertain tax positions, estimates of the fair values of assets acquired and liabilities assumed in any acquisition, contingent liabilities and stock-based compensation. Each of these items is discussed in more detail elsewhere in these notes to consolidated financial statements, as applicable. Actual results may differ materially from the estimates and assumptions that we use in the preparation of our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purchased with original maturities of three months or less to be cash equivalents.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instruments that potentially subject us to concentrations of credit risk consist of cash and cash equivalents, restricted investment securities, accounts receivable and derivative instruments. We maintain cash and cash equivalents and restricted investment securities with banks that at times exceed applicable insurance limits. We reduce our exposure to credit risk by maintaining such deposits with high quality financial institutions. Our concentration of credit risk with respect to accounts receivable is limited because of the large number and diversity of customers we serve, thus reducing the credit risk associated with any one customer group. As of December 31, 2019, no single customer or customer group represented greater than 5% of total accounts receivable. We manage credit risk through credit evaluations, credit limits, and monitoring procedures, but generally do not require collateral to support accounts receivable. We reduce our exposure to credit risk associated with derivative instruments by entering into agreements with high quality financial institutions and by evaluating and regularly monitoring their creditworthiness.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doubtful accounts represents its estimated net realizable value. Estimates are used in determining our allowance for doubtful accounts based on our historical collection experience, current economic conditions and trends, credit policy and a review of our accounts receivable by aging category. Our reserve is evaluated and revised on a monthly basis. Past due accounts receivable are written off when deemed to be uncollectible.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Inventory includes secondary fibers, recyclables ready for sale, and parts and supplies. Inventory is stated at the lower of cost (first-in, first-out) or market.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7"/>
          <w:szCs w:val="17"/>
          <w:color w:val="auto"/>
        </w:rPr>
        <w:t>Property, plant and equipment is recorded at cost, less accumulated depreciation and amortization. We provide for depreciation and amortization using the straight-line method by charges to operations in amounts that allocate the cost of the assets over their estimated useful lives as follows:</w:t>
      </w:r>
    </w:p>
    <w:tbl>
      <w:tblPr>
        <w:tblLayout w:type="fixed"/>
        <w:tblInd w:w="3560" w:type="dxa"/>
        <w:tblCellMar>
          <w:top w:w="0" w:type="dxa"/>
          <w:left w:w="0" w:type="dxa"/>
          <w:bottom w:w="0" w:type="dxa"/>
          <w:right w:w="0" w:type="dxa"/>
        </w:tblCellMar>
      </w:tblPr>
      <w:tr>
        <w:trPr>
          <w:trHeight w:val="149"/>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Asset Classification</w:t>
            </w:r>
          </w:p>
        </w:tc>
        <w:tc>
          <w:tcPr>
            <w:tcW w:w="2980" w:type="dxa"/>
            <w:vAlign w:val="bottom"/>
          </w:tcPr>
          <w:p>
            <w:pPr>
              <w:jc w:val="center"/>
              <w:ind w:left="2248"/>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6"/>
        </w:trPr>
        <w:tc>
          <w:tcPr>
            <w:tcW w:w="3520" w:type="dxa"/>
            <w:vAlign w:val="bottom"/>
            <w:vMerge w:val="continue"/>
          </w:tcPr>
          <w:p>
            <w:pPr>
              <w:spacing w:after="0"/>
              <w:rPr>
                <w:sz w:val="16"/>
                <w:szCs w:val="16"/>
                <w:color w:val="auto"/>
              </w:rPr>
            </w:pPr>
          </w:p>
        </w:tc>
        <w:tc>
          <w:tcPr>
            <w:tcW w:w="2980" w:type="dxa"/>
            <w:vAlign w:val="bottom"/>
          </w:tcPr>
          <w:p>
            <w:pPr>
              <w:jc w:val="center"/>
              <w:ind w:left="2228"/>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9770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770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Rolling stock</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9770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and Fixtures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cost of maintenance and repairs is charged to operations as incurred.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10-30 years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5-10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5-10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5-12 years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 years</w:t>
      </w:r>
    </w:p>
    <w:p>
      <w:pPr>
        <w:spacing w:after="0" w:line="560" w:lineRule="exact"/>
        <w:rPr>
          <w:sz w:val="20"/>
          <w:szCs w:val="20"/>
          <w:color w:val="auto"/>
        </w:rPr>
      </w:pPr>
    </w:p>
    <w:p>
      <w:pPr>
        <w:sectPr>
          <w:pgSz w:w="11900" w:h="16838" w:orient="portrait"/>
          <w:cols w:equalWidth="0" w:num="2">
            <w:col w:w="8580" w:space="720"/>
            <w:col w:w="2100"/>
          </w:cols>
          <w:pgMar w:left="240" w:top="118" w:right="259" w:bottom="1440" w:gutter="0" w:footer="0" w:header="0"/>
          <w:type w:val="continuous"/>
        </w:sectPr>
      </w:pPr>
    </w:p>
    <w:p>
      <w:pPr>
        <w:ind w:right="240"/>
        <w:spacing w:after="0" w:line="297" w:lineRule="auto"/>
        <w:rPr>
          <w:sz w:val="20"/>
          <w:szCs w:val="20"/>
          <w:color w:val="auto"/>
        </w:rPr>
      </w:pPr>
      <w:r>
        <w:rPr>
          <w:rFonts w:ascii="Arial" w:cs="Arial" w:eastAsia="Arial" w:hAnsi="Arial"/>
          <w:sz w:val="16"/>
          <w:szCs w:val="16"/>
          <w:color w:val="auto"/>
        </w:rPr>
        <w:t>Landfill development costs are included in property, plant and equipment. Landfill development costs include costs to develop each of our landfill sites, including such costs related to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Additionally, landfill development costs include all land purchases within the landfill footprint and the purchase of any required landfill buffer property. Under life-cycle accounting, these costs are capitalized and charged to expense based on tonnage placed into each site.</w:t>
      </w:r>
    </w:p>
    <w:p>
      <w:pPr>
        <w:spacing w:after="0" w:line="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the “</w:t>
      </w:r>
      <w:r>
        <w:rPr>
          <w:rFonts w:ascii="Arial" w:cs="Arial" w:eastAsia="Arial" w:hAnsi="Arial"/>
          <w:sz w:val="18"/>
          <w:szCs w:val="18"/>
          <w:i w:val="1"/>
          <w:iCs w:val="1"/>
          <w:color w:val="auto"/>
        </w:rPr>
        <w:t>Landfill Accounting</w:t>
      </w:r>
      <w:r>
        <w:rPr>
          <w:rFonts w:ascii="Arial" w:cs="Arial" w:eastAsia="Arial" w:hAnsi="Arial"/>
          <w:sz w:val="18"/>
          <w:szCs w:val="18"/>
          <w:color w:val="auto"/>
        </w:rPr>
        <w:t xml:space="preserve">” accounting policy below for additional disclosure over the amortization of landfill development costs and Note 7, </w:t>
      </w:r>
      <w:r>
        <w:rPr>
          <w:rFonts w:ascii="Arial" w:cs="Arial" w:eastAsia="Arial" w:hAnsi="Arial"/>
          <w:sz w:val="18"/>
          <w:szCs w:val="18"/>
          <w:i w:val="1"/>
          <w:iCs w:val="1"/>
          <w:color w:val="auto"/>
        </w:rPr>
        <w:t>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Plant and Equipment </w:t>
      </w:r>
      <w:r>
        <w:rPr>
          <w:rFonts w:ascii="Arial" w:cs="Arial" w:eastAsia="Arial" w:hAnsi="Arial"/>
          <w:sz w:val="18"/>
          <w:szCs w:val="18"/>
          <w:color w:val="auto"/>
        </w:rPr>
        <w:t>for disclosure over property, plant and equipment.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Cycle Accounting</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life-cycle accounting, all costs related to acquisition and construction of landfill sites are capitalized and charged to expense based on tonnage placed into each site. Landfill permitting, acquisition and preparation costs are amortized on the units-of-consumption method as landfill airspace is consumed. In determining the amortization rate for each of our landfills, preparation costs include the total estimated costs to complete construction of the landfills’ permitted and expansion capacity.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Development Costs</w:t>
      </w:r>
    </w:p>
    <w:p>
      <w:pPr>
        <w:spacing w:after="0" w:line="117"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We estimate the total cost to develop each of our landfill sites to its remaining permitted and expansion capacity (see landfill development costs discussed within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accounting policy above).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 including capitalized interest. The interest capitalization rate is based on our weighted average interest rate incurred on borrowings outstanding during the period. Interest capitalized during the fiscal years ended December 31, 2019 ("fiscal year 2019"), December 31, 2018 ("fiscal year 2018") and December 31, 2017 ("fiscal year 2017") was $263, $140 and $295,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Landfill Airspace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Remaining Permitted Airspace. </w:t>
      </w:r>
      <w:r>
        <w:rPr>
          <w:rFonts w:ascii="Arial" w:cs="Arial" w:eastAsia="Arial" w:hAnsi="Arial"/>
          <w:sz w:val="18"/>
          <w:szCs w:val="18"/>
          <w:color w:val="auto"/>
        </w:rPr>
        <w:t>Our engineers, in consultation with third-party engineering consultants and surveyors, are responsible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permitted airspace at our landfills. The remaining permitted airspace is determined by an annual survey, which is then used to compare the existing landfill topography to the expected final landfill topography.</w:t>
      </w:r>
    </w:p>
    <w:p>
      <w:pPr>
        <w:spacing w:after="0" w:line="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Expansion Airspace</w:t>
      </w:r>
      <w:r>
        <w:rPr>
          <w:rFonts w:ascii="Arial" w:cs="Arial" w:eastAsia="Arial" w:hAnsi="Arial"/>
          <w:sz w:val="18"/>
          <w:szCs w:val="18"/>
          <w:color w:val="auto"/>
        </w:rPr>
        <w:t>. We currently include unpermitted expansion airspace in our estimate of remaining permitted and expansion airspace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To be considered expansion airspace all of the following criteria must be met:</w:t>
      </w:r>
    </w:p>
    <w:p>
      <w:pPr>
        <w:spacing w:after="0" w:line="8" w:lineRule="exact"/>
        <w:rPr>
          <w:sz w:val="20"/>
          <w:szCs w:val="20"/>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control the land on which the expansion is sought;</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technical siting criteria have been met or a variance has been obtained or is reasonably expected to be obtained;</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not identified any legal or political impediments which we believe will not be resolved in our favor;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are actively working on obtaining any necessary permits and we expect that all required permits will be received; and</w:t>
      </w:r>
    </w:p>
    <w:p>
      <w:pPr>
        <w:spacing w:after="0" w:line="63" w:lineRule="exact"/>
        <w:rPr>
          <w:rFonts w:ascii="Arial" w:cs="Arial" w:eastAsia="Arial" w:hAnsi="Arial"/>
          <w:sz w:val="18"/>
          <w:szCs w:val="18"/>
          <w:color w:val="auto"/>
        </w:rPr>
      </w:pPr>
    </w:p>
    <w:p>
      <w:pPr>
        <w:ind w:left="500" w:right="160" w:hanging="330"/>
        <w:spacing w:after="0" w:line="277" w:lineRule="auto"/>
        <w:tabs>
          <w:tab w:leader="none" w:pos="4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senior management has approved the project based on a review of the engineering design and determination that the financial return profile meets our investment criteria.</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unpermitted airspace to be included in our estimate of remaining permitted and expansion airspace, the expansion effort must meet all of the criteria listed above. These criteria are evaluated annually by our engineers, accountants, lawyers, managers and others to identify potential obstacles to obtaining the permits. Once the remaining permitted and expansion airspace is determined in cubic yards, an airspace utilization factor (“AUF”) is established to calculate the remaining permitted and expansion capacity in tons. The AUF is established using a process that considers the measured density obtained from annual surveys. When we include the expansion airspace in our calculation of remaining permitted and expansion airspace, we include the projected costs for development, as well as the projected asset retirement costs related to final capping, closure and post-closure of the expansion airspace in the amortization basis of the landfill.</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After determining the costs and the remaining permitted and expansion capacity at each of our landfills, we determine the per ton rates that will be expensed as waste is received and deposited at each of our landfills by dividing the costs by the corresponding number of tons. We calculate per ton amortization rates for assets associated with each final capping event, for assets related to closure and post-closure activities, and for all other costs capitalized or to be capitalized in the future for each landfill. These rates per ton are updated annually, or more frequently, as significant facts change.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Capping, Closure and Post-Closure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landfill asset retirement activities and related accounting:</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Final Capping Costs. </w:t>
      </w:r>
      <w:r>
        <w:rPr>
          <w:rFonts w:ascii="Arial" w:cs="Arial" w:eastAsia="Arial" w:hAnsi="Arial"/>
          <w:sz w:val="16"/>
          <w:szCs w:val="16"/>
          <w:color w:val="auto"/>
        </w:rPr>
        <w:t>Final capping activities include the installation of liners, drainage, compacted soil layers and topsoil over areas of a landfill where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airspace has been consumed and waste is no longer being received. Final capping activities occur throughout the life of the landfill. Our engineering personnel estimate the cost for each final capping event based on the acreage to be capped, along with the final capping materials and activities required. The estimates also consider when these costs would actually be paid and factor in inflation and discount rates. The engineers then quantify the landfill capacity associated with each final capping event and the costs for each event are amortized over that capacity as waste is received at the landfill.</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Closure and Post-Closure Costs. </w:t>
      </w:r>
      <w:r>
        <w:rPr>
          <w:rFonts w:ascii="Arial" w:cs="Arial" w:eastAsia="Arial" w:hAnsi="Arial"/>
          <w:sz w:val="16"/>
          <w:szCs w:val="16"/>
          <w:color w:val="auto"/>
        </w:rPr>
        <w:t>Closure and post-closure costs represent future estimated costs related to monitoring and maintenance of a solid waste</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after a landfill facility ceases to accept waste and closes. We estimate, based on input from our engineers, accountants, lawyers, managers and others, our future cost requirements for closure and post-closure monitoring and maintenance based on our interpretation of the technical standards of the Subtitle D regulations and the air emissions standards under the Clean Air Act of 1970, as amended, as they are being applied on a state-by-state basis. Closure and post-closure accruals for the cost of monitoring and maintenance include site inspection, groundwater monitoring, leachate management, methane gas control and recovery, and operation and maintenance costs to be incurred for a period which is generally for a term of 30 years after final closure of a landfill. In determining estimated future closure and post-closure costs, we consider costs associated with permitted and permittable airspace.</w:t>
      </w:r>
    </w:p>
    <w:p>
      <w:pPr>
        <w:spacing w:after="0" w:line="5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estimated future final capping, closure and post-closure costs, based on our interpretation of current requirements and proposed regulatory changes, are intended to approximate fair value. Absent quoted market prices, our cost estimates are based on historical experience, professional engineering judgment and quoted or actual prices paid for similar work. Our estimate of costs to discharge final capping, closure and post-closure asset retirement obligations for landfills are developed in today’s dollars. These costs are then inflated to the period of performance using an estimate of inflation, which is updated annually (1.6% as of December 31, 2019). Final capping, closure and post-closure liabilities are discounted using the credit adjusted risk-free rate in effect at the time the obligation is incurred. The weighted average rate applicable to our asset retirement obligations as of December 31, 2019 is between approximately 8.7% and 10.0%, the range of the credit adjusted risk free rates effective since the adoption of guidance associated with asset retirement obligations in the fiscal year ended April 30, 2004. Accretion expense is necessary to increase the accrued final capping, closure and post-closure liabilities to the future anticipated obligation. To accomplish this, we accrete our final capping, closure and post-closure accrual balances using the same credit-adjusted risk-free rate that was used to calculate the recorded liability. Accretion expense on recorded landfill liabilities is recorded to cost of operations from the time the liability is recognized until the costs are paid. Accretion expense on recorded landfill liabilities amounted to $6,227, $5,556 and $4,401 in fiscal years 2019, 2018 and 2017, respectively.</w:t>
      </w:r>
    </w:p>
    <w:p>
      <w:pPr>
        <w:spacing w:after="0" w:line="7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provide for the accrual and amortization of estimated future obligations for closure and post-closure based on tonnage placed into each site. With regards to final capping, the liability is recognized, and the costs are amortized based on the airspace related to the specific final capping event.</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Final Capping, Closure and Post-Closure Costs</w:t>
      </w:r>
      <w:r>
        <w:rPr>
          <w:rFonts w:ascii="Arial" w:cs="Arial" w:eastAsia="Arial" w:hAnsi="Arial"/>
          <w:sz w:val="18"/>
          <w:szCs w:val="18"/>
          <w:color w:val="auto"/>
        </w:rPr>
        <w:t xml:space="preserve"> for disclosure over asset retirement obligations related to final capping, closure and post-closure costs.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operate in states which require a certain portion of landfill final capping, closure and post-closure obligations to be secured by financial assurance, which may take the form of surety bonds, letters of credit and restricted investment securities. Surety bonds securing closure and post-closure obligations at December 31, 2019 and December 31, 2018 totaled $220,633 and $201,177, respectively. Letters of credit securing closure and post-closure obligations as of December 31, 2019 and December 31, 2018 totaled $0 and $0, respectively. See Note 6, </w:t>
      </w:r>
      <w:r>
        <w:rPr>
          <w:rFonts w:ascii="Arial" w:cs="Arial" w:eastAsia="Arial" w:hAnsi="Arial"/>
          <w:sz w:val="18"/>
          <w:szCs w:val="18"/>
          <w:i w:val="1"/>
          <w:iCs w:val="1"/>
          <w:color w:val="auto"/>
        </w:rPr>
        <w:t>Restricted Assets</w:t>
      </w:r>
      <w:r>
        <w:rPr>
          <w:rFonts w:ascii="Arial" w:cs="Arial" w:eastAsia="Arial" w:hAnsi="Arial"/>
          <w:sz w:val="18"/>
          <w:szCs w:val="18"/>
          <w:color w:val="auto"/>
        </w:rPr>
        <w:t xml:space="preserve"> for disclosure over restricted investment securities securing closure and post-closure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80"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We are also party to three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w:t>
      </w:r>
    </w:p>
    <w:p>
      <w:pPr>
        <w:spacing w:after="0" w:line="4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operating agreement.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part of the implementation of Topic 842, we elected to adopt the practical expedient package and to not elect the hindsight practical expedient in determining lease term. The practical expedient package allowed us to: 1) not reassess lease classification for existing leases; 2) not reassess whether a contract contains a lease for existing contracts; and 3) not reassess initial direct costs for existing leases. Accordingly, we retained the operating lease and finance lease classifications in all periods presented and did not alter Topic 840 accounting over operating leases in place at transition allowing us to use historical minimum rental payments when determining the right-of-use asset and lease liability for existing operating leases. Upon adopting this guidance, we recognized a right-of-use asset and a lease liability for core leases classified as operating leases with a term in excess of 12 months in our consolidated balance sheet. For other non-core operating leases, which is comprised of small-dollar-value items such as office equipment, we continued to expense these costs in the period incurred rather than capitalizing such expenditures on our consolidated balance sheet. Accounting for finance leases was not impacted by the adoption of this guidance.</w:t>
      </w:r>
    </w:p>
    <w:p>
      <w:pPr>
        <w:spacing w:after="0" w:line="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Topic 842, we identify lease and nonlease components in a contract to which consideration in the contract will be allocated.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disclosure over lease costs and other lease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the excess of our purchase cost over the fair value of the net assets of acquired businesses. We do not amortize goodwill, but as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the “</w:t>
      </w:r>
      <w:r>
        <w:rPr>
          <w:rFonts w:ascii="Arial" w:cs="Arial" w:eastAsia="Arial" w:hAnsi="Arial"/>
          <w:sz w:val="18"/>
          <w:szCs w:val="18"/>
          <w:i w:val="1"/>
          <w:iCs w:val="1"/>
          <w:color w:val="auto"/>
        </w:rPr>
        <w:t>Asset Impairments</w:t>
      </w:r>
      <w:r>
        <w:rPr>
          <w:rFonts w:ascii="Arial" w:cs="Arial" w:eastAsia="Arial" w:hAnsi="Arial"/>
          <w:sz w:val="18"/>
          <w:szCs w:val="18"/>
          <w:color w:val="auto"/>
        </w:rPr>
        <w:t>” accounting policy below, we assess our goodwill for impairment at least annually.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goodwill.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consist primarily of covenants not-to-compete and customer lists. Intangible assets are recorded at fair value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based on the economic benefit provided or using the straight-line method over their estimated useful lives. Covenants not-to-compete and customer lists are typically amortized over a term of no more than 10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for disclosure over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Investments in unconsolidated entities over which we have significant influence over the investees’ operating and financing activities are accounted for under the equity method of accounting. Investments in affiliates in which we do not have the ability to exert significant influence over the investees’ operating and financing activities are accounted for under the cost method of accounting. As of December 31, 2019 and December 31, 2018, we had no investments accounted for under the equity method of accounting. As of both December 31, 2019 and December 31, 2018, we had cost method investments totaling $11,264.</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When we assess the carrying value of our investments for potential impairment, determining the fair value of our investments is reliant upon the availability of market information and/or other information provided by third-parties to be able to develop an estimate of fair value. Considerable judgment is required in interpreting market data to develop the estimates of fair value. Accordingly, our estimates are not necessarily indicative of the amounts that we, or other holders of these investments, could realize in a current market exchange. The use of different assumptions and/or estimation methodologies could have a significant effect on the estimated fair values. The estimates of fair value could differ significantly from the amounts presented. See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accounting policy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financial instruments may include cash and cash equivalents, accounts receivable, restricted investment securities held in trust on deposit with various banks as collateral for our obligations relative to our landfill final capping, closure and post-closure costs, restricted cash reserved to finance certain capital projects, interest rate derivatives, trade payables and long-term debt. Accounting standards include disclosure requirements around fair values used for certain financial instruments and establish a fair value hierarchy. The three-tier hierarchy prioritizes valuation inputs into three levels based on the extent to which inputs used in measuring fair value are observable in the market. Each fair value measurement is reported in one of three levels: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fair value disclosure over long-term debt and financial instruments, respectively. See the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accounting policy below for the fair value disclosure over interest rate derivatives.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acquire businesses in the waste industry, including non-hazardous waste collection, transfer station, recycling and disposal operations, as part of our growth strategy. Businesses are included in the consolidated financial statements from the date of acquisition.</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recognize, separately from goodwill, the identifiable assets acquired and liabilities assumed at their estimated acquisition-date fair values. We measure and recognize goodwill as of the acquisition date as the excess of: (a) the aggregate of the fair value of consideration transferred, the fair value of any noncontrolling interest in the acquiree (if any) and the acquisition date fair value of our previously held equity interest in the acquiree (if any), over (b) the fair value of net assets acquired and liabilities assumed. If information about facts and circumstances existing as of the acquisition date is incomplete by the end of the reporting period in which a business combination occurs, we will report provisional amounts for the items for which the accounting is incomplete. The measurement period ends once we receive the information we were seeking; however, this period will not extend beyond one year from the acquisition date. Any material adjustments recognized during the measurement period will be recognized retrospectively in the consolidated financial statements of the current period. All acquisition related transaction and restructuring costs are to be expensed as incurred.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for disclosure over business acquisitions</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recorded environmental remediation liabilities representing our estimate of the most likely outcome of the matters for which we have determined that a liability is probable. These liabilities include potentially responsible party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estimate costs required to remediate sites where it is probable that a liability has been incurred based on site-specific facts and circumstances. Estimates of the cost for the likely remedy are developed using third-party environmental engineers or other service providers. Where we believe that both the amount of a particular environmental remediation liability and timing of payments are reliably determinable, we inflate the cost in current dollars until the expected time of payment and discount the cost to present value.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environmental remediation liabilities.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 and Related Costs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self-insured for vehicles and workers’ compensation with reinsurance coverage limiting our maximum exposure. Our maximum exposure in fiscal year 2019 under the workers’ compensation plan was $1,250 per individual event. Our maximum exposure in fiscal year 2019 under the automobile plan was $1,200 per individual event. The liability for unpaid claims and associated expenses, including incurred but not reported losses, is determined by management with the assistance of a third-party actuary and reflected in our consolidated balance sheet as an accrued liability. We use a third-party to track and evaluate actual claims experience for consistency with the data used in the annual actuarial valuation. The actuarial-determined liability is calculated based on historical data, which considers both the frequency and settlement amount of claims. Our self-insurance reserves totaled $16,853 and $15,040 as of December 31, 2019 and December 31, 2018, respectively. Our estimated accruals for these liabilities could be significantly different than our ultimate obligations if variables such as the frequency or severity of future events differ significantly from our assumptions.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use estimates to determine our provision for income taxes and related assets and liabilities and any valuation allowance recorded against our net deferred tax assets. Valuation allowances have been established for the possibility that tax benefits may not be realized for certain deferred tax assets. Deferred income taxes are recognized based on the expected future tax consequences of differences between the financial statement basis and the tax basis of assets and liabilities, calculated using currently enacted tax rates. We record net deferred tax assets to the extent we believe these assets will more likely than not be realized. In making this determination, we consider all available positive and negative evidence, including scheduled reversals of deferred tax liabilities, projected future taxable income, tax planning strategies and recent financial operations. In the event we determine that we would be able to realize our deferred income tax assets in the future in excess of their net recorded amount, we will make an adjustment to the valuation allowance which would reduce the provision for income taxes.</w:t>
      </w:r>
    </w:p>
    <w:p>
      <w:pPr>
        <w:spacing w:after="0" w:line="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account for income tax uncertainties according to guidance on the recognition, de-recognition and measurement of potential tax benefits associated with tax positions. We recognize interest and penalties relating to income tax matters as a component of income tax expense.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22, 2017, the Tax Cuts and Jobs Act was enacted. The Tax Cuts and Jobs Act, which is also commonly referred to as “U.S. tax reform,” significantly changes United States corporate income tax laws by, among other things, reducing the US corporate income tax rate from 35% to 21% starting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disclosure related to income taxes, including the effect of the Act on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account for derivatives and hedging activities in accordance with derivatives and hedging accounting guidance that establishes accounting and reporting standards requiring that every derivative instrument (including certain derivative instruments embedded in other contracts) be recorded in the balance sheet as either an asset or liability measured at its fair value. The guidance requires that changes in the derivative’s fair value be recognized currently in earnings unless specific hedge accounting criteria are met.</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objective for utilizing derivative instruments is to reduce our exposure to fluctuations in cash flows due to changes in the commodity prices of recycled paper and adverse movements in interest rates.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strategy to hedge against fluctuations in the commodity prices of recycled paper is to enter into hedges to mitigate the variability in cash flows generated from the sales of recycled paper at floating prices, resulting in a fixed price being received from these sales. We evaluate the hedges and ensure that these instruments qualify for hedge accounting pursuant to derivative and hedging guidance. Designated as highly effective cash flow hedges, both the effective and ineffective portion of the change in the fair value of these derivatives is recorded in our stockholders’ equity (deficit) as a component of accumulated other comprehensive loss until the hedged item is settled and recognized as part of commodity revenue. If the price per short ton of the underlying commodity, as reported on the Official Board Market, is less than the contract price per short ton, we receive the difference between the average price and the contract price (multiplied by the notional tons) from the respective counter-party. If the price per short ton of the underlying commodity exceeds the contract price per short ton, we pay the calculated difference to the counter-party. The fair value of commodity hedges is obtained or derived from our counter-parties using valuation models that take into consideration market price assumptions for commodities based on underlying active markets. We were not party to any commodity hedge contracts as of December 31, 2019.</w:t>
      </w:r>
    </w:p>
    <w:p>
      <w:pPr>
        <w:spacing w:after="0" w:line="70"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Our strategy to hedge against fluctuations in variable interest rates involves entering into interest rate derivative agreements to hedge against adverse movements in interest rates. For interest rate derivatives deemed to be highly effective cash flow hedges, both the effective and ineffective portion of the change in fair value of these derivatives is recorded in our stockholders’ equity (deficit) as a component of accumulated other comprehensive loss and reclassified into earnings through interest expense in the same period or periods during which the hedged transaction affects earnings.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for fair value disclosure over derivative instruments and Note 11, D</w:t>
      </w:r>
      <w:r>
        <w:rPr>
          <w:rFonts w:ascii="Arial" w:cs="Arial" w:eastAsia="Arial" w:hAnsi="Arial"/>
          <w:sz w:val="18"/>
          <w:szCs w:val="18"/>
          <w:i w:val="1"/>
          <w:iCs w:val="1"/>
          <w:color w:val="auto"/>
        </w:rPr>
        <w:t>ebt</w:t>
      </w:r>
      <w:r>
        <w:rPr>
          <w:rFonts w:ascii="Arial" w:cs="Arial" w:eastAsia="Arial" w:hAnsi="Arial"/>
          <w:sz w:val="18"/>
          <w:szCs w:val="18"/>
          <w:color w:val="auto"/>
        </w:rPr>
        <w:t xml:space="preserve"> for further disclosure over interest rate derivatives.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subject to various legal proceedings, claims and regulatory matters, the outcomes of which are subject to significant uncertainty. We determine whether to disclose or accrue for loss contingencies based on an assessment of whether the risk of loss is remote, reasonably possible or probable, and whether it can be reasonably estimated. We analyze our litigation and regulatory matters based on available information to assess the potential liabilities. Management’s assessment is developed based on an analysis of possible outcomes under various strategies. We accrue for loss contingencies when such amounts are probable and reasonably estimable. If a contingent liability is only reasonably possible, we will disclose the potential range of the loss, if estimable. We record losses related to contingencies in cost of operations or general and administration expenses, depending on the nature of the underlying transaction leading to the loss contingency.</w:t>
      </w:r>
    </w:p>
    <w:p>
      <w:pPr>
        <w:spacing w:after="0" w:line="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disclosure over loss contingencies, as applicable. Contingent liabilities accounted for under purchase accounting are recorded at their fair values. These fair values may be different from the values we would have otherwise recorded, had the contingent liability not been assumed as part of an acquisition of a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adopted ASU 2014-09, as amended, Revenue from Contracts with Customers (Topic 606) effective January 1, 2018. We adopted this guidance using the modified retrospective approach, noting that no cumulative effect adjustment to the beginning balance of Accumulated Deficit was needed. The comparative periods have not been restated and continue to be reported under Revenue Recognition (Topic 605). We applied this guidance to contracts that were not substantially completed contracts at the date of adoption. Additionally, contract modifications that occurred before the adoption date were not separately evaluated, rather the guidance was applied to the current version of the contract only. We disaggregate our revenues by applicable service line: collection, landfill, transfer, customer solutions, recycling, organics, transportation and landfill gas-to-energy.</w:t>
      </w:r>
    </w:p>
    <w:p>
      <w:pPr>
        <w:spacing w:after="0" w:line="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new revenue recognition guidance, revenues are measured based on the consideration specified in a contract with a customer. The circumstances that impact the timing and amount of revenue recognized for each applicable service line may vary based on the nature of the service performed. We generally recognize revenues for services over time as we satisfy the performance obligation by transferring control over the service to the customer as the service is performed and the benefit is received and consumed by the customer. Services are typically delivered in a series as a single bundled performance obligation over either a designated period of time or for specified number of services. Services may also be delivered as a single bundled service, on a period-to-period basis, or in a spot transaction. Consideration may be variable on a per ton basis and/or fixed. Fixed consideration is allocated to each distinct service and variable consideration is allocated to the increment of time that the service is performed, and we have the contractual right to the fee. Fees are typically billed weekly, monthly, quarterly or in advance. Generally, the amount of consideration that we have the right to receive that is invoiced to the customer directly corresponds to the value of our performance completed to date. We elected the optional exemption, to not disclose the amount of variable consideration included in the transaction price that is allocated to outstanding performance obligations when the variable consideration is allocated entirely to unsatisfied performance obligations or to a wholly unsatisfied promise to transfer a distinct good or service that forms part of a single performance obligation. Revenues that are not satisfied over time are recognized at a point-in-time. This typically includes the sale of recycled or organic materials, as well as renewable energy credits ("RECs"). Revenues from the sale of organic or recycled materials are recognized at a point-in-time as control of the materials transfers to the customer upon shipment or pick-up by the customer. Revenues from the sale of RECs are recognized at a point-in-time as the trade is executed and control transfers to the customer.</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$4,428 and $6,279 in fiscal year 2019 and 2018, respectively. Rebates are generally recorded as a reduction of revenues upon the sale of such materials, or upon receipt of the recycled materials at our facilities. These payments were previously recorded as a cost of operations. We did not record any revenues in fiscal year 2019 or fiscal year 2018 from performance obligations satisfied in previous periods.</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$80,191 and $73,500 as of December 31, 2019 and December 31, 2018, respectively. Certain customers are billed in advance and, accordingly, recognition of the related revenues is deferred as a contract liability until the services are provided and control transferred to the customer. Contract liabilities of $2,299 and $3,074 as of December 31, 2019 and December 31, 2018, respectively, are presented separately on the face of the Consolidated Balance Sheets. Due to the short-term nature of advanced billings, substantially all of the deferred revenue recognized as a contract liability as of December 31, 2018 and December 31, 2017 was recognized as revenue during fiscal year 2019 and 2018 when the services were performed.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disclosure over the new guidance.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Recovery of Long-Lived Assets. </w:t>
      </w:r>
      <w:r>
        <w:rPr>
          <w:rFonts w:ascii="Arial" w:cs="Arial" w:eastAsia="Arial" w:hAnsi="Arial"/>
          <w:sz w:val="17"/>
          <w:szCs w:val="17"/>
          <w:color w:val="auto"/>
        </w:rPr>
        <w:t>We continually assess whether events or changes in circumstances have occurred that may warrant revision of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useful lives of our long-lived assets (other than goodwill) or whether the remaining balances of those assets should be evaluated for possible impairment. Long-lived assets include, for example, capitalized landfill costs, other property, plant and equipment, identifiable intangible assets, and operating lease right-of-use assets. Events or changes in circumstances that may indicate that an asset may be impaired include the following:</w:t>
      </w:r>
    </w:p>
    <w:p>
      <w:pPr>
        <w:spacing w:after="0" w:line="9" w:lineRule="exact"/>
        <w:rPr>
          <w:sz w:val="20"/>
          <w:szCs w:val="20"/>
          <w:color w:val="auto"/>
        </w:rPr>
      </w:pPr>
    </w:p>
    <w:p>
      <w:pPr>
        <w:ind w:left="480" w:hanging="310"/>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decrease in the market price of an asset or asset group;</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or asset group is being used or in its physical condition;</w:t>
      </w:r>
    </w:p>
    <w:p>
      <w:pPr>
        <w:spacing w:after="0" w:line="63" w:lineRule="exact"/>
        <w:rPr>
          <w:rFonts w:ascii="Arial" w:cs="Arial" w:eastAsia="Arial" w:hAnsi="Arial"/>
          <w:sz w:val="18"/>
          <w:szCs w:val="18"/>
          <w:color w:val="auto"/>
        </w:rPr>
      </w:pPr>
    </w:p>
    <w:p>
      <w:pPr>
        <w:ind w:left="500" w:right="60" w:hanging="330"/>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an asset or asset group, including an adverse action or assessment by a regulator;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a long-lived asset;</w:t>
      </w:r>
    </w:p>
    <w:p>
      <w:pPr>
        <w:spacing w:after="0" w:line="63" w:lineRule="exact"/>
        <w:rPr>
          <w:rFonts w:ascii="Arial" w:cs="Arial" w:eastAsia="Arial" w:hAnsi="Arial"/>
          <w:sz w:val="18"/>
          <w:szCs w:val="18"/>
          <w:color w:val="auto"/>
        </w:rPr>
      </w:pPr>
    </w:p>
    <w:p>
      <w:pPr>
        <w:ind w:left="500" w:right="460" w:hanging="330"/>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or forecast that demonstrates continuing losses associated with the use of a long-lived asset or asset group;</w:t>
      </w:r>
    </w:p>
    <w:p>
      <w:pPr>
        <w:spacing w:after="0" w:line="8"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or asset group will be sold or otherwise disposed of significantly before the end of its previously estimated useful life; or</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impairment of goodwill at a reporting unit.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There are certain indicators listed above that require significant judgment and understanding of the waste industry when applied to landfill development or expansion. For example, a regulator may initially deny a landfill expansion permit application although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 impairment indicator occurs, we perform a test of recoverability by comparing the carrying value of the asset or asset group to its undiscounted expected future cash flows. We group our long-lived assets for this purpose at the lowest level for which identifiable cash flows are primarily independent of the cash flows of other assets or asset groups. If the carrying values are in excess of undiscounted expected future cash flows, we measure any impairment by comparing the fair value of the asset or asset group to its carrying value.</w:t>
      </w:r>
    </w:p>
    <w:p>
      <w:pPr>
        <w:spacing w:after="0" w:line="7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To determine fair value, we use discounted cash flow analyses and estimates about the future cash flows of the asset or asset group. This analysis includes a determination of an appropriate discount rate, the amount and timing of expected future cash flows and growth rates. The cash flows employed in our discounted cash flow analyses are typically based on financial forecasts developed internally by management. The discount rate used is commensurate with the risks involved. We may also rely on third-party valuations and or information available regarding the market value for similar assets.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the fair value of an asset or asset group is determined to be less than the carrying amount of the asset or asset group, impairment in the amount of the difference is recorded in the period that the impairment occurs. Estimating future cash flows requires significant judgment and projections may vary from the cash flows eventually realized.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Other Items and Charges</w:t>
      </w:r>
      <w:r>
        <w:rPr>
          <w:rFonts w:ascii="Arial" w:cs="Arial" w:eastAsia="Arial" w:hAnsi="Arial"/>
          <w:sz w:val="18"/>
          <w:szCs w:val="18"/>
          <w:color w:val="auto"/>
        </w:rPr>
        <w:t xml:space="preserve"> for disclosure related to long-lived asset impairments recognized during the reporting periods.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annually assess goodwill for impairment at the end of our fiscal year or more frequently if events or circumstances indicate that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may exist.</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assess whether a goodwill impairment exists using either a qualitative or a quantitative assessment. If we perform a qualitative assessment, it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 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goodwill impairment exists at the reporting unit.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step (defined as “Step 1”) of testing for goodwill impairment, we estimate the fair value of each reporting unit, which we have determined to be our geographic operating segments, our Recycling segment and our Customer Solutions business, which is included in the Other segment, and compare the fair value with the carrying value of the net assets of each reporting unit. If the fair value is less than its carrying value, then we would perform a second step (defined as “Step 2”) and determine the fair value of the goodwill. In Step 2, the fair value of goodwill is determined by deducting the fair value of a reporting unit’s identifiable assets and liabilities from the fair value of the reporting unit as a whole, as if that reporting unit had just been acquired and the purchase price were being initially allocated.</w:t>
      </w:r>
    </w:p>
    <w:p>
      <w:pPr>
        <w:spacing w:after="0" w:line="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determine the fair value of each of our reporting units as a whole we use discounted cash flow analyses, which require significant assumptions and estimates about the future operations of each reporting unit. Significant judgments inherent in this analysis include the determination of appropriate discount rates, the amount and timing of expected future cash flows and growth rates. The cash flows employed in our discounted cash flow analyses are based on financial forecasts developed internally by management. Our discount rate assumptions are based on an assessment of our risk adjusted discount rate, applicable for each reporting unit. In assessing the reasonableness of our determined fair values of our reporting units, we evaluate our results against our current market capitalization.</w:t>
      </w:r>
    </w:p>
    <w:p>
      <w:pPr>
        <w:spacing w:after="0" w:line="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the fair value of goodwill is less than its carrying value for a reporting unit, an impairment charge would be recorded to earnings. The loss recognized cannot exceed the carrying amount of goodwill. After a goodwill impairment loss is recognized, the adjusted carrying amount of goodwill becomes its new accounting basis.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to an annual goodwill impairment assessment, we would evaluate a reporting unit for impairment if events or circumstances change between annual tests indicating a possible impairment. Examples of such events or circumstances include the following:</w:t>
      </w:r>
    </w:p>
    <w:p>
      <w:pPr>
        <w:spacing w:after="0" w:line="8" w:lineRule="exact"/>
        <w:rPr>
          <w:sz w:val="20"/>
          <w:szCs w:val="20"/>
          <w:color w:val="auto"/>
        </w:rPr>
      </w:pPr>
    </w:p>
    <w:p>
      <w:pPr>
        <w:ind w:left="480" w:hanging="310"/>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significant adverse change in legal status or in the business climate;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more likely than not expectation that a segment or a significant portion thereof will be sold; or</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testing for recoverability of a significant asset group within the segment.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elected to perform a quantitative analysis as part of our annual goodwill impairment test for fiscal year 2019. As of December 31, 2019, the Step 1 testing for goodwill impairment performed for our Eastern, Western, Recycling and Customer Solutions reporting units indicated that the fair value of each reporting unit exceeded its carrying amount, including goodwill. Furthermore, the Step 1 test indicated that in each case the fair value of our Eastern, Western, Recycling and Customer Solutions reporting units exceeded its carrying value by in excess of 34.4%. We incurred no impairment of goodwill as a result of our annual goodwill impairment tests in each of fiscal years 2019, 2018 and 2017. However, there can be no assurance that goodwill will not be impaired at any time in the future.</w:t>
      </w:r>
    </w:p>
    <w:p>
      <w:pPr>
        <w:spacing w:after="0" w:line="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Effective January 1, 2020, we adopted ASU 2017-04, Intangibles - Goodwill and Other (Topic 350). Under this guidance Step 2 of the testing for goodwill impairment was eliminated and that going forward we would recognize an impairment charge for the amount by which the carrying amount exceeds the reporting unit's fair value, noting that the amount is not to exceed the total amount of goodwill allocated to that reporting unit. See Note 2,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Changes </w:t>
      </w:r>
      <w:r>
        <w:rPr>
          <w:rFonts w:ascii="Arial" w:cs="Arial" w:eastAsia="Arial" w:hAnsi="Arial"/>
          <w:sz w:val="18"/>
          <w:szCs w:val="18"/>
          <w:color w:val="auto"/>
        </w:rPr>
        <w:t>for disclosure related to the adoption of this guidance.</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Cost Method Investments. </w:t>
      </w:r>
      <w:r>
        <w:rPr>
          <w:rFonts w:ascii="Arial" w:cs="Arial" w:eastAsia="Arial" w:hAnsi="Arial"/>
          <w:sz w:val="18"/>
          <w:szCs w:val="18"/>
          <w:color w:val="auto"/>
        </w:rPr>
        <w:t>We monitor and assess the carrying value of our cost method investments throughout the year for potential impairment and write</w:t>
      </w:r>
      <w:r>
        <w:rPr>
          <w:rFonts w:ascii="Arial" w:cs="Arial" w:eastAsia="Arial" w:hAnsi="Arial"/>
          <w:sz w:val="18"/>
          <w:szCs w:val="18"/>
          <w:i w:val="1"/>
          <w:iCs w:val="1"/>
          <w:color w:val="auto"/>
        </w:rPr>
        <w:t xml:space="preserve"> </w:t>
      </w:r>
      <w:r>
        <w:rPr>
          <w:rFonts w:ascii="Arial" w:cs="Arial" w:eastAsia="Arial" w:hAnsi="Arial"/>
          <w:sz w:val="18"/>
          <w:szCs w:val="18"/>
          <w:color w:val="auto"/>
        </w:rPr>
        <w:t>them down to their fair value when other-than-temporary declines exist. We incurred no impairment of cost method investments in fiscal year 2019 or fiscal year 2017.</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2018, we owned 6.8% of the outstanding common stock of Recycle Rewards, Inc. (“Recycle Rewards”), a company that markets an incentive-based recycling service. In fiscal year 2018, it was determined based on the operating performance of Recycle Rewards that our cost method investment in Recycle Rewards was potentially impaired. As a result, we performed a valuation analysis in fiscal year 2018, which used an income approach based on discounted cash flows to determine an equity value for Recycle Rewards in order to properly value our cost method investment in Recycle Rewards. Based on this analysis, it was determined that the fair value of our cost method investment in Recycle Rewards was less than the carrying amount and, therefore, we recorded an other-than-temporary investment impairment charge for the full cost method investment amount of $1,069 in fiscal year 2018. In October 2019, Recycle Rewards sold all or substantially all of its assets comprising the business to RTS RecycleBank, LLC, a subsidiary of Recycle Track Systems, pursuant to an asset purchase agreement. Based on our junior ownership position, we did not receive any proceeds from this disposition.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our cost method investments will not be impaired at any time in the future.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make contributions to one qualified multiemployer defined benefit pension plan, the New England Teamsters and Trucking Industry Pension Fund ("Pension Plan"). The Pension Plan provides retirement benefits to participants based on their service to contributing employers. We do not administer this plan. The Pension Plan’s benefit formula is based on credited years of service and hours worked as defined in the Pension Plan document. Our pension contributions are made in accordance with funding standards established by the Employee Retirement Income Security Act of 1974 and the Internal Revenue Code, as amended by the Pension Protection Act of 2006. The Pension Plan’s assets have been invested as determined by the Pension Plan's fiduciaries in accordance with the Pension Plan's investment policy. The Pension Plan’s asset allocation is based on the Pension Plan's investment policy and is reviewed as deemed necessary.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for disclosure over the Pension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All share-based compensation cost is measured at the grant date based on the estimated fair value of the award and is recognized as expense-in general and administration expense over the employee’s requisite service period. For purposes of calculating stock-based compensation expense, forfeitures are accounted for as they occur. Our equity awards granted generally consist of stock options, including market-based performance stock options, restricted stock, restricted stock units and performance stock units, including market-based performance stock units.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fair value of each stock option grant is estimated using a Black-Scholes option-pricing model, with the exception of market-based performance stock option grants which are valued using a Monte Carlo option-pricing model. The fair value of restricted stock, restricted stock unit and performance stock unit grants is at a price equal to the fair market value of our Class A common stock at the date of grant. The fair value of market-based performance stock unit grants is valued using a Monte Carlo pricing model.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for disclosure over stock-based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Basic earnings per share is computed by dividing the net income (loss) by the weighted average number of common shares outstanding during the period. Diluted earnings per share is calculated based on the combined weighted average number of common shares and potentially dilutive shares. Dilutive shares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disclosure over the calculation of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Except as disclosed, no material subsequent events have occurred since December 31, 2019 through the date of this filing that would require recognition or disclosure 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disaggregate our revenues by applicable service line as follows: collection, landfill, transfer, customer solutions, recycling, organics, transportation and landfill gas-to-energy.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Collection revenues are principally generated by providing waste collection and disposal services to our customers. Services may be provided as needed or as scheduled. We derive a substantial portion of our collection revenues from commercial and industrial services, which typically have a standard contract duration of three years, along with municipal services that are generally performed pursuant to contracts with municipalities with varying terms. The majority of our residential collection services are performed on a subscription basis with individual households.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Landfill disposal services primarily consist of receiving some form of acceptable solid waste materials at one of our landfills and appropriately disposing of it. Landfill customers are typically charged a tipping fee on a per ton basis for disposing of their solid waste at our disposal facilities. In general, these fees are variable in nature.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Station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Transfer station disposal services primarily consist of receiving some form of acceptable solid waste materials at one of our transfer stations and appropriately disposing of it by transporting it to an appropriate disposal site. Transfer station customers are charged a tipping fee on a per ton basis for disposing of their solid waste at our transfer stations. In general, these fees are variable in nature.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Transportation services consist of the transportation of large volumes of waste or recycled materials from a customer designated location to another location or disposal facility. Transportation customers are charged a fee on a per ton basis for transporting and/or disposal of the materials. In general, these fees are variable in nature.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Recycling services primarily consist of the collection and/or receipt of recycled materials at one of our materials recovery facilities; the processing or sorting of the recycled materials; and the disposal or sale of the recycled materials. Revenues from recycling services consist of revenues derived from municipalities and customers in the form of processing fees, tipping fees and commodity sales. In brokerage arrangements, we act as an agent that facilitates the sale of recyclable materials between an inbound customer and an outbound customer. Revenues from the brokerage of recycled materials are recognized on a net basis at the time of shipment. In general, these fees are variable in nature.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Customer solutions services consist of commercial and industrial offerings. Commercial services consist of traditional collection, disposal and recycling services provided to large account multi-site customers. Industrial services consist of overall resource management services provided to large and complex organizations, such as universities, hospitals, manufacturers and municipalities, delivering a wide range of environmental services and zero waste solutions.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Organics services primarily consist of the collection and/or receipt of organic materials at one of our processing or disposal facilities; the processing of the organic materials; and the disposal or sale of the organic materials.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Landfill Gas-to-Energy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Landfill gas-to-energy services primarily consist of the generation and sale of electricity from landfill gas-to-energy facilities located at certain of our landfills; the reservation of electric generating capacity to be used by a customer on demand; and the sale of RECs.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table of revenues disaggregated by service line and timing of revenue recognition by operating segment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Recycling</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154,805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377,839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19,362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73,657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93,019</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44,413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76,138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79,457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79,457</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44,311</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56,326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56,326</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12,624</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3,576</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219,475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343,399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137,596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743,290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24,286</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219,316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342,478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23,082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134,128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719,004</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219,475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343,399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137,596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743,290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2018</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Recycling</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306,939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28,419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66,567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94,986</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67,583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67,464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67,464</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46,019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54,174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54,174</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18,366</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5,129</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206,473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286,262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125,734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660,660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32,974</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205,825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285,117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121,813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627,686</w:t>
            </w:r>
          </w:p>
        </w:tc>
      </w:tr>
      <w:tr>
        <w:trPr>
          <w:trHeight w:val="27"/>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206,473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286,262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125,734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660,660</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fiscal year 2019, we acquired nine businesses: three tuck-in solid waste collection businesses in our Eastern region; and four tuck-in solid waste collection businesses, a business comprised of solid waste collection, transfer and recycling operations, and a business comprised of solid waste hauling and transfer assets in our Western region. In fiscal year 2018 we acquired nine businesses: six solid waste collection businesses and one transfer business in our Western region; and two businesses comprised of solid waste collection and transfer operations in our Eastern region. In fiscal year 2017, we acquired four businesses: one solid waste collection business in our Eastern region; and three solid waste collection businesses in our Western region. The operating results of these businesses are included in the accompanying 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These are amortized over a five to ten-year period from the date of acquisition. All amounts recorded to goodwill in fiscal years 2019 and 2018, except goodwill related to certain acquisitions are expected to be deductible for tax purposes.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paid for these acquisitions and the allocation of the purchase price is as follows:</w:t>
      </w:r>
    </w:p>
    <w:p>
      <w:pPr>
        <w:spacing w:after="0" w:line="55"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13335</wp:posOffset>
            </wp:positionV>
            <wp:extent cx="25044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36"/>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72,118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86,686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4,823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2,400</w:t>
            </w: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Class A common stock issued</w:t>
            </w:r>
          </w:p>
        </w:tc>
        <w:tc>
          <w:tcPr>
            <w:tcW w:w="30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non-cash considerations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w:t>
            </w: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Contingent consideration and holdbacks</w:t>
            </w: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736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82,177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99,465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8,060</w:t>
            </w: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Buildings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20,482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23,882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2,994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r>
      <w:tr>
        <w:trPr>
          <w:trHeight w:val="243"/>
        </w:trPr>
        <w:tc>
          <w:tcPr>
            <w:tcW w:w="744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31,171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2,334</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56,473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59,336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5,372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purchase price to be allocated to goodwill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40,129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unaudited pro forma combined information shows our operational results as though each of the acquisitions completed had occurred as of January 1, 2017.</w:t>
      </w:r>
    </w:p>
    <w:p>
      <w:pPr>
        <w:ind w:left="88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13335</wp:posOffset>
            </wp:positionV>
            <wp:extent cx="25298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773,845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752,916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708,909</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56,997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49,893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(15,291)</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47,226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47,966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44,168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pro forma results have been prepared for comparative purposes only and are not necessarily indicative of the actual results of operations had the acquisitions taken place as of January 1, 2017 or the results of our future operations. Furthermore, the pro forma results do not give effect to all cost savings or incremental costs that may occur as a result of the integration and consolidation of the completed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ASSETS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Restricted assets consist of investment securities held in trust on deposit with various banks as collateral for our obligations relative to our landfill final capping, closure and post-closure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assets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216"/>
        </w:trPr>
        <w:tc>
          <w:tcPr>
            <w:tcW w:w="7780" w:type="dxa"/>
            <w:vAlign w:val="bottom"/>
            <w:tcBorders>
              <w:bottom w:val="single" w:sz="8" w:color="CCEEFF"/>
            </w:tcBorders>
          </w:tcPr>
          <w:p>
            <w:pPr>
              <w:ind w:left="60"/>
              <w:spacing w:after="0"/>
              <w:rPr>
                <w:sz w:val="20"/>
                <w:szCs w:val="20"/>
                <w:color w:val="auto"/>
              </w:rPr>
            </w:pPr>
            <w:r>
              <w:rPr>
                <w:rFonts w:ascii="Arial" w:cs="Arial" w:eastAsia="Arial" w:hAnsi="Arial"/>
                <w:sz w:val="18"/>
                <w:szCs w:val="18"/>
                <w:b w:val="1"/>
                <w:bCs w:val="1"/>
                <w:color w:val="auto"/>
              </w:rPr>
              <w:t>Non Current:</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2018</w:t>
            </w:r>
          </w:p>
        </w:tc>
      </w:tr>
      <w:tr>
        <w:trPr>
          <w:trHeight w:val="289"/>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investment securities - landfill closure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1,248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28,703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25,490</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Landfills</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578,814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544,663</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Landfill operating lease contracts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121,877</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Finance lease right-of-use assets </w:t>
            </w:r>
            <w:r>
              <w:rPr>
                <w:rFonts w:ascii="Arial" w:cs="Arial" w:eastAsia="Arial" w:hAnsi="Arial"/>
                <w:sz w:val="14"/>
                <w:szCs w:val="14"/>
                <w:color w:val="auto"/>
              </w:rPr>
              <w:t>(2)</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24,038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161,316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150,885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168,735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153,222</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Rolling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183,145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163,758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Containers</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143,948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123,383</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1,288,699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1,283,278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Less: accumulated depreciation and amortization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(844,874)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(878,701)</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443,825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404,577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360" w:hanging="330"/>
        <w:spacing w:after="0" w:line="317" w:lineRule="auto"/>
        <w:tabs>
          <w:tab w:leader="none" w:pos="494"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the adoption of Topic 842 effective January 1, 2019, landfill operating lease contracts payments that were previously capitalized as property, plant and equipment were prospectively reclassified, along with related accumulated depreciation, to operating lease right-of-use assets.</w:t>
      </w:r>
    </w:p>
    <w:p>
      <w:pPr>
        <w:ind w:left="500" w:right="160" w:hanging="330"/>
        <w:spacing w:after="0" w:line="308" w:lineRule="auto"/>
        <w:tabs>
          <w:tab w:leader="none" w:pos="494"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the adoption of Topic 842 effective January 1, 2019, property, plant and equipment pertaining to finance leases that were previously capitalized in other property, plant and equipment groupings were prospectively reclassified to finance lease right-of-use assets.</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Depreciation expense for fiscal years 2019, 2018 and 2017 was $45,060, $35,351 and $32,131, respectively. Landfill amortization expense for fiscal years 2019, 2018 and 2017 was $27,512, $31,841 and $27,910, respectively. Depletion expense on landfill operating lease contracts for fiscal years 2018 and 2017 was $9,724 and $9,646, respectively, and was recorded in cost of operations. See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disclosure over lease costs and other lease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2"/>
              </w:rPr>
              <w:t>Fiscal Year Ended December</w:t>
            </w:r>
          </w:p>
        </w:tc>
      </w:tr>
      <w:tr>
        <w:trPr>
          <w:trHeight w:val="192"/>
        </w:trPr>
        <w:tc>
          <w:tcPr>
            <w:tcW w:w="40" w:type="dxa"/>
            <w:vAlign w:val="bottom"/>
          </w:tcPr>
          <w:p>
            <w:pPr>
              <w:spacing w:after="0"/>
              <w:rPr>
                <w:sz w:val="16"/>
                <w:szCs w:val="16"/>
                <w:color w:val="auto"/>
              </w:rPr>
            </w:pPr>
          </w:p>
        </w:tc>
        <w:tc>
          <w:tcPr>
            <w:tcW w:w="68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1"/>
              </w:rPr>
              <w:t>31, 2019</w:t>
            </w:r>
          </w:p>
        </w:tc>
        <w:tc>
          <w:tcPr>
            <w:tcW w:w="200" w:type="dxa"/>
            <w:vAlign w:val="bottom"/>
            <w:tcBorders>
              <w:bottom w:val="single" w:sz="8" w:color="auto"/>
            </w:tcBorders>
          </w:tcPr>
          <w:p>
            <w:pPr>
              <w:spacing w:after="0"/>
              <w:rPr>
                <w:sz w:val="16"/>
                <w:szCs w:val="16"/>
                <w:color w:val="auto"/>
              </w:rPr>
            </w:pPr>
          </w:p>
        </w:tc>
      </w:tr>
      <w:tr>
        <w:trPr>
          <w:trHeight w:val="236"/>
        </w:trPr>
        <w:tc>
          <w:tcPr>
            <w:tcW w:w="40" w:type="dxa"/>
            <w:vAlign w:val="bottom"/>
          </w:tcPr>
          <w:p>
            <w:pPr>
              <w:spacing w:after="0"/>
              <w:rPr>
                <w:sz w:val="20"/>
                <w:szCs w:val="20"/>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34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2,122</w:t>
            </w: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Fixed lease cost - vehicles, equipment and property</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9,560</w:t>
            </w: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Fixed lease cost - landfill operating leases</w:t>
            </w:r>
          </w:p>
        </w:tc>
        <w:tc>
          <w:tcPr>
            <w:tcW w:w="34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Fixed lease cost</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17,271</w:t>
            </w:r>
          </w:p>
        </w:tc>
        <w:tc>
          <w:tcPr>
            <w:tcW w:w="2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Variable lease cost</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24,228</w:t>
            </w:r>
          </w:p>
        </w:tc>
        <w:tc>
          <w:tcPr>
            <w:tcW w:w="200" w:type="dxa"/>
            <w:vAlign w:val="bottom"/>
            <w:tcBorders>
              <w:bottom w:val="single" w:sz="8" w:color="auto"/>
            </w:tcBorders>
            <w:shd w:val="clear" w:color="auto" w:fill="CCEEFF"/>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13,840</w:t>
            </w: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3,351</w:t>
            </w:r>
          </w:p>
        </w:tc>
        <w:tc>
          <w:tcPr>
            <w:tcW w:w="2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8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197"/>
        </w:trPr>
        <w:tc>
          <w:tcPr>
            <w:tcW w:w="40" w:type="dxa"/>
            <w:vAlign w:val="bottom"/>
          </w:tcPr>
          <w:p>
            <w:pPr>
              <w:spacing w:after="0"/>
              <w:rPr>
                <w:sz w:val="17"/>
                <w:szCs w:val="17"/>
                <w:color w:val="auto"/>
              </w:rPr>
            </w:pPr>
          </w:p>
        </w:tc>
        <w:tc>
          <w:tcPr>
            <w:tcW w:w="68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 (years)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 (years)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3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459"/>
        </w:trPr>
        <w:tc>
          <w:tcPr>
            <w:tcW w:w="6860" w:type="dxa"/>
            <w:vAlign w:val="bottom"/>
            <w:gridSpan w:val="2"/>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4"/>
        </w:trPr>
        <w:tc>
          <w:tcPr>
            <w:tcW w:w="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gridSpan w:val="2"/>
          </w:tcPr>
          <w:p>
            <w:pPr>
              <w:ind w:left="240"/>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352"/>
              <w:spacing w:after="0"/>
              <w:rPr>
                <w:sz w:val="20"/>
                <w:szCs w:val="20"/>
                <w:color w:val="auto"/>
              </w:rPr>
            </w:pPr>
            <w:r>
              <w:rPr>
                <w:rFonts w:ascii="Arial" w:cs="Arial" w:eastAsia="Arial" w:hAnsi="Arial"/>
                <w:sz w:val="14"/>
                <w:szCs w:val="14"/>
                <w:b w:val="1"/>
                <w:bCs w:val="1"/>
                <w:color w:val="auto"/>
              </w:rPr>
              <w:t>Finance Leases</w:t>
            </w:r>
          </w:p>
        </w:tc>
        <w:tc>
          <w:tcPr>
            <w:tcW w:w="20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ending December 31, 2020</w:t>
            </w: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4,141</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Fiscal year ending December 31, 2021</w:t>
            </w:r>
          </w:p>
        </w:tc>
        <w:tc>
          <w:tcPr>
            <w:tcW w:w="34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70"/>
              <w:spacing w:after="0"/>
              <w:rPr>
                <w:sz w:val="20"/>
                <w:szCs w:val="20"/>
                <w:color w:val="auto"/>
              </w:rPr>
            </w:pPr>
            <w:r>
              <w:rPr>
                <w:rFonts w:ascii="Arial" w:cs="Arial" w:eastAsia="Arial" w:hAnsi="Arial"/>
                <w:sz w:val="18"/>
                <w:szCs w:val="18"/>
                <w:color w:val="auto"/>
              </w:rPr>
              <w:t>3,758</w:t>
            </w: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ending December 31, 2022</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8,848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3,163</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Fiscal year ending December 31, 2023</w:t>
            </w:r>
          </w:p>
        </w:tc>
        <w:tc>
          <w:tcPr>
            <w:tcW w:w="34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6,905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70"/>
              <w:spacing w:after="0"/>
              <w:rPr>
                <w:sz w:val="20"/>
                <w:szCs w:val="20"/>
                <w:color w:val="auto"/>
              </w:rPr>
            </w:pPr>
            <w:r>
              <w:rPr>
                <w:rFonts w:ascii="Arial" w:cs="Arial" w:eastAsia="Arial" w:hAnsi="Arial"/>
                <w:sz w:val="18"/>
                <w:szCs w:val="18"/>
                <w:color w:val="auto"/>
              </w:rPr>
              <w:t>2,994</w:t>
            </w:r>
          </w:p>
        </w:tc>
      </w:tr>
      <w:tr>
        <w:trPr>
          <w:trHeight w:val="27"/>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ending December 31, 2024</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6,251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2,891</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63,717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70"/>
              <w:spacing w:after="0"/>
              <w:rPr>
                <w:sz w:val="20"/>
                <w:szCs w:val="20"/>
                <w:color w:val="auto"/>
              </w:rPr>
            </w:pPr>
            <w:r>
              <w:rPr>
                <w:rFonts w:ascii="Arial" w:cs="Arial" w:eastAsia="Arial" w:hAnsi="Arial"/>
                <w:sz w:val="18"/>
                <w:szCs w:val="18"/>
                <w:color w:val="auto"/>
              </w:rPr>
              <w:t>5,332</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110,169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22,279</w:t>
            </w:r>
          </w:p>
        </w:tc>
      </w:tr>
      <w:tr>
        <w:trPr>
          <w:trHeight w:val="243"/>
        </w:trPr>
        <w:tc>
          <w:tcPr>
            <w:tcW w:w="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interest expense</w:t>
            </w:r>
          </w:p>
        </w:tc>
        <w:tc>
          <w:tcPr>
            <w:tcW w:w="340" w:type="dxa"/>
            <w:vAlign w:val="bottom"/>
          </w:tcPr>
          <w:p>
            <w:pPr>
              <w:spacing w:after="0"/>
              <w:rPr>
                <w:sz w:val="21"/>
                <w:szCs w:val="21"/>
                <w:color w:val="auto"/>
              </w:rPr>
            </w:pP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(30,104)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(3,915)</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balance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80,065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18,364</w:t>
            </w:r>
          </w:p>
        </w:tc>
      </w:tr>
      <w:tr>
        <w:trPr>
          <w:trHeight w:val="20"/>
        </w:trPr>
        <w:tc>
          <w:tcPr>
            <w:tcW w:w="40" w:type="dxa"/>
            <w:vAlign w:val="bottom"/>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December 31,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Other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30,720</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120,536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23,138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141,055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12,315</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53"/>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1,729</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162,734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25,704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185,819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80" w:hanging="330"/>
        <w:spacing w:after="0" w:line="277" w:lineRule="auto"/>
        <w:tabs>
          <w:tab w:leader="none" w:pos="4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Relates to unregistered sale of Class A common stock that was previously held in escrow and released to us for liquidation. See Note 13,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(Deficit) </w:t>
      </w:r>
      <w:r>
        <w:rPr>
          <w:rFonts w:ascii="Arial" w:cs="Arial" w:eastAsia="Arial" w:hAnsi="Arial"/>
          <w:sz w:val="18"/>
          <w:szCs w:val="18"/>
          <w:color w:val="auto"/>
        </w:rPr>
        <w:t>for additional disclosure.</w:t>
      </w:r>
    </w:p>
    <w:tbl>
      <w:tblPr>
        <w:tblLayout w:type="fixed"/>
        <w:tblInd w:w="0" w:type="dxa"/>
        <w:tblCellMar>
          <w:top w:w="0" w:type="dxa"/>
          <w:left w:w="0" w:type="dxa"/>
          <w:bottom w:w="0" w:type="dxa"/>
          <w:right w:w="0" w:type="dxa"/>
        </w:tblCellMar>
      </w:tblPr>
      <w:tr>
        <w:trPr>
          <w:trHeight w:val="192"/>
        </w:trPr>
        <w:tc>
          <w:tcPr>
            <w:tcW w:w="506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Acquisitions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19,192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8,962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28,154</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color w:val="auto"/>
              </w:rPr>
              <w:t>89,369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gridSpan w:val="4"/>
          </w:tcPr>
          <w:p>
            <w:pPr>
              <w:jc w:val="right"/>
              <w:ind w:right="50"/>
              <w:spacing w:after="0"/>
              <w:rPr>
                <w:sz w:val="20"/>
                <w:szCs w:val="20"/>
                <w:color w:val="auto"/>
              </w:rPr>
            </w:pPr>
            <w:r>
              <w:rPr>
                <w:rFonts w:ascii="Arial" w:cs="Arial" w:eastAsia="Arial" w:hAnsi="Arial"/>
                <w:sz w:val="18"/>
                <w:szCs w:val="18"/>
                <w:color w:val="auto"/>
              </w:rPr>
              <w:t>31,167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120,536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9"/>
              </w:rPr>
              <w:t>122,605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40,129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162,734</w:t>
            </w:r>
          </w:p>
        </w:tc>
        <w:tc>
          <w:tcPr>
            <w:tcW w:w="40" w:type="dxa"/>
            <w:vAlign w:val="bottom"/>
            <w:tcBorders>
              <w:left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intangible assets is as follows:</w:t>
            </w: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9"/>
              </w:rPr>
              <w:t>Covenants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Client Lists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4"/>
              </w:rPr>
              <w:t>Not-to-Compete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26,162</w:t>
            </w: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center"/>
              <w:ind w:left="132"/>
              <w:spacing w:after="0"/>
              <w:rPr>
                <w:sz w:val="20"/>
                <w:szCs w:val="20"/>
                <w:color w:val="auto"/>
              </w:rPr>
            </w:pPr>
            <w:r>
              <w:rPr>
                <w:rFonts w:ascii="Arial" w:cs="Arial" w:eastAsia="Arial" w:hAnsi="Arial"/>
                <w:sz w:val="18"/>
                <w:szCs w:val="18"/>
                <w:color w:val="auto"/>
                <w:w w:val="90"/>
              </w:rPr>
              <w:t>71,122</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97,284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(18,968)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92"/>
              <w:spacing w:after="0"/>
              <w:rPr>
                <w:sz w:val="20"/>
                <w:szCs w:val="20"/>
                <w:color w:val="auto"/>
              </w:rPr>
            </w:pPr>
            <w:r>
              <w:rPr>
                <w:rFonts w:ascii="Arial" w:cs="Arial" w:eastAsia="Arial" w:hAnsi="Arial"/>
                <w:sz w:val="18"/>
                <w:szCs w:val="18"/>
                <w:color w:val="auto"/>
                <w:w w:val="92"/>
              </w:rPr>
              <w:t>(19,595)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(38,563)</w:t>
            </w: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7,194</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90"/>
              </w:rPr>
              <w:t>51,527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58,721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3"/>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89"/>
              </w:rPr>
              <w:t>Covenants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Client Lists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4"/>
              </w:rPr>
              <w:t>Not-to-Compete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21,750</w:t>
            </w:r>
          </w:p>
        </w:tc>
        <w:tc>
          <w:tcPr>
            <w:tcW w:w="76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center"/>
              <w:ind w:left="132"/>
              <w:spacing w:after="0"/>
              <w:rPr>
                <w:sz w:val="20"/>
                <w:szCs w:val="20"/>
                <w:color w:val="auto"/>
              </w:rPr>
            </w:pPr>
            <w:r>
              <w:rPr>
                <w:rFonts w:ascii="Arial" w:cs="Arial" w:eastAsia="Arial" w:hAnsi="Arial"/>
                <w:sz w:val="18"/>
                <w:szCs w:val="18"/>
                <w:color w:val="auto"/>
                <w:w w:val="90"/>
              </w:rPr>
              <w:t>44,363</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66,113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(17,584)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92"/>
              <w:spacing w:after="0"/>
              <w:rPr>
                <w:sz w:val="20"/>
                <w:szCs w:val="20"/>
                <w:color w:val="auto"/>
              </w:rPr>
            </w:pPr>
            <w:r>
              <w:rPr>
                <w:rFonts w:ascii="Arial" w:cs="Arial" w:eastAsia="Arial" w:hAnsi="Arial"/>
                <w:sz w:val="18"/>
                <w:szCs w:val="18"/>
                <w:color w:val="auto"/>
                <w:w w:val="92"/>
              </w:rPr>
              <w:t>(13,762)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(31,346)</w:t>
            </w:r>
          </w:p>
        </w:tc>
        <w:tc>
          <w:tcPr>
            <w:tcW w:w="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4,166</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90"/>
              </w:rPr>
              <w:t>30,601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34,767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0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300" w:type="dxa"/>
            <w:vAlign w:val="bottom"/>
            <w:gridSpan w:val="9"/>
          </w:tcPr>
          <w:p>
            <w:pPr>
              <w:spacing w:after="0"/>
              <w:rPr>
                <w:sz w:val="20"/>
                <w:szCs w:val="20"/>
                <w:color w:val="auto"/>
              </w:rPr>
            </w:pPr>
            <w:r>
              <w:rPr>
                <w:rFonts w:ascii="Arial" w:cs="Arial" w:eastAsia="Arial" w:hAnsi="Arial"/>
                <w:sz w:val="18"/>
                <w:szCs w:val="18"/>
                <w:color w:val="auto"/>
                <w:w w:val="90"/>
              </w:rPr>
              <w:t>Intangible amortization expense for fiscal years 2019, 2018 and 2017 was $7,218, $3,316 and $2,061, respectively.</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80" w:type="dxa"/>
            <w:vAlign w:val="bottom"/>
            <w:gridSpan w:val="10"/>
          </w:tcPr>
          <w:p>
            <w:pPr>
              <w:spacing w:after="0"/>
              <w:rPr>
                <w:sz w:val="20"/>
                <w:szCs w:val="20"/>
                <w:color w:val="auto"/>
              </w:rPr>
            </w:pPr>
            <w:r>
              <w:rPr>
                <w:rFonts w:ascii="Arial" w:cs="Arial" w:eastAsia="Arial" w:hAnsi="Arial"/>
                <w:sz w:val="18"/>
                <w:szCs w:val="18"/>
                <w:color w:val="auto"/>
                <w:w w:val="92"/>
              </w:rPr>
              <w:t>The intangible amortization expense estimated for the five fiscal years following fiscal year 2019 and thereafter is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w w:val="90"/>
              </w:rPr>
              <w:t>Estimated Future Amortization Expense as of December 31, 2019</w:t>
            </w: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2020</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Fiscal year ending December 31, 2021</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6,826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5,993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24,518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FINAL CAPPING, CLOSURE AND POST-CLOSURE COSTS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as further described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anticipated time frame for paying these costs varies based on the remaining useful life of each landfill, as well as the duration of the post-closure monitoring period.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accrued final capping, closure and post-closure liabilities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Fiscal Year Ended December 31,</w:t>
            </w:r>
          </w:p>
        </w:tc>
        <w:tc>
          <w:tcPr>
            <w:tcW w:w="700" w:type="dxa"/>
            <w:vAlign w:val="bottom"/>
            <w:tcBorders>
              <w:bottom w:val="single" w:sz="8" w:color="auto"/>
            </w:tcBorders>
          </w:tcPr>
          <w:p>
            <w:pPr>
              <w:spacing w:after="0"/>
              <w:rPr>
                <w:sz w:val="16"/>
                <w:szCs w:val="16"/>
                <w:color w:val="auto"/>
              </w:rPr>
            </w:pPr>
          </w:p>
        </w:tc>
      </w:tr>
      <w:tr>
        <w:trPr>
          <w:trHeight w:val="196"/>
        </w:trPr>
        <w:tc>
          <w:tcPr>
            <w:tcW w:w="76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7"/>
                <w:szCs w:val="17"/>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73,075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4"/>
              </w:rPr>
              <w:t>62,290</w:t>
            </w:r>
          </w:p>
        </w:tc>
      </w:tr>
      <w:tr>
        <w:trPr>
          <w:trHeight w:val="243"/>
        </w:trPr>
        <w:tc>
          <w:tcPr>
            <w:tcW w:w="7660" w:type="dxa"/>
            <w:vAlign w:val="bottom"/>
          </w:tcPr>
          <w:p>
            <w:pPr>
              <w:ind w:left="340"/>
              <w:spacing w:after="0"/>
              <w:rPr>
                <w:sz w:val="20"/>
                <w:szCs w:val="20"/>
                <w:color w:val="auto"/>
              </w:rPr>
            </w:pPr>
            <w:r>
              <w:rPr>
                <w:rFonts w:ascii="Arial" w:cs="Arial" w:eastAsia="Arial" w:hAnsi="Arial"/>
                <w:sz w:val="18"/>
                <w:szCs w:val="18"/>
                <w:color w:val="auto"/>
              </w:rPr>
              <w:t>Obligations incurred</w:t>
            </w:r>
          </w:p>
        </w:tc>
        <w:tc>
          <w:tcPr>
            <w:tcW w:w="110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3,713</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Revisions in estimates </w:t>
            </w:r>
            <w:r>
              <w:rPr>
                <w:rFonts w:ascii="Arial" w:cs="Arial" w:eastAsia="Arial" w:hAnsi="Arial"/>
                <w:sz w:val="14"/>
                <w:szCs w:val="14"/>
                <w:color w:val="auto"/>
              </w:rPr>
              <w:t>(1)</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5,095</w:t>
            </w:r>
          </w:p>
        </w:tc>
      </w:tr>
      <w:tr>
        <w:trPr>
          <w:trHeight w:val="243"/>
        </w:trPr>
        <w:tc>
          <w:tcPr>
            <w:tcW w:w="766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110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5,556</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(3,579)</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4"/>
              </w:rPr>
              <w:t>71,927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4"/>
              </w:rPr>
              <w:t>73,075</w:t>
            </w:r>
          </w:p>
        </w:tc>
      </w:tr>
      <w:tr>
        <w:trPr>
          <w:trHeight w:val="27"/>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80" w:hanging="330"/>
        <w:spacing w:after="0" w:line="286" w:lineRule="auto"/>
        <w:tabs>
          <w:tab w:leader="none" w:pos="494"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Relates to changes in estimates and assumptions concerning anticipated waste flow, cost and timing of future final capping, closure and post-closure activities at certain landfills, including the Subtitle D landfill in Southbridge, Massachusetts ("Southbridge Landfill"), as well as changes to expansion airspace at other landfills. See Note 17,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disclosure regarding Southbridge Landfill.</w:t>
      </w:r>
    </w:p>
    <w:p>
      <w:pPr>
        <w:spacing w:after="0" w:line="3" w:lineRule="exact"/>
        <w:rPr>
          <w:rFonts w:ascii="Arial" w:cs="Arial" w:eastAsia="Arial" w:hAnsi="Arial"/>
          <w:sz w:val="17"/>
          <w:szCs w:val="17"/>
          <w:color w:val="auto"/>
        </w:rPr>
      </w:pPr>
    </w:p>
    <w:p>
      <w:pPr>
        <w:ind w:left="480" w:hanging="310"/>
        <w:spacing w:after="0"/>
        <w:tabs>
          <w:tab w:leader="none" w:pos="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Includes amounts paid and amounts that are being processed through accounts payable as a part of our disbursement cycle.</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9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Credit Facility:</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120" w:type="dxa"/>
            <w:vAlign w:val="bottom"/>
          </w:tcPr>
          <w:p>
            <w:pPr>
              <w:ind w:left="20"/>
              <w:spacing w:after="0"/>
              <w:rPr>
                <w:sz w:val="20"/>
                <w:szCs w:val="20"/>
                <w:color w:val="auto"/>
              </w:rPr>
            </w:pPr>
            <w:r>
              <w:rPr>
                <w:rFonts w:ascii="Arial" w:cs="Arial" w:eastAsia="Arial" w:hAnsi="Arial"/>
                <w:sz w:val="18"/>
                <w:szCs w:val="18"/>
                <w:color w:val="auto"/>
              </w:rPr>
              <w:t>Revolving Credit Facility due May 2023 ("Revolving Credit Facility"); bearing interest at LIBOR plus 1.75%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26,900</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69,600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5"/>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 Facility due May 2023 (Term Loan Facility"); bearing interest at LIBOR plus 1.75%</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Tax-Exempt Bonds: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New York State Environmental Facilities Corporation Solid Waste Disposal Revenue Bonds Series 2014 ("New York Bonds</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 due December 2044 - fixed rate interest period through 2029; bearing interest at 2.875%</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120" w:type="dxa"/>
            <w:vAlign w:val="bottom"/>
          </w:tcPr>
          <w:p>
            <w:pPr>
              <w:ind w:left="20"/>
              <w:spacing w:after="0" w:line="176" w:lineRule="exact"/>
              <w:rPr>
                <w:sz w:val="20"/>
                <w:szCs w:val="20"/>
                <w:color w:val="auto"/>
              </w:rPr>
            </w:pPr>
            <w:r>
              <w:rPr>
                <w:rFonts w:ascii="Arial" w:cs="Arial" w:eastAsia="Arial" w:hAnsi="Arial"/>
                <w:sz w:val="18"/>
                <w:szCs w:val="18"/>
                <w:color w:val="auto"/>
                <w:w w:val="95"/>
              </w:rPr>
              <w:t>New York State Environmental Facilities Corporation Solid Waste Disposal Revenue Bonds Series 2014R-2 ("New York</w:t>
            </w:r>
          </w:p>
        </w:tc>
        <w:tc>
          <w:tcPr>
            <w:tcW w:w="220" w:type="dxa"/>
            <w:vAlign w:val="bottom"/>
          </w:tcPr>
          <w:p>
            <w:pPr>
              <w:spacing w:after="0"/>
              <w:rPr>
                <w:sz w:val="15"/>
                <w:szCs w:val="15"/>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Bonds 2014R-2") due December 2044 - fixed rate interest period through 2026; bearing interest at 3.125%</w:t>
            </w: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Finance Authority of Maine Solid Waste Disposal Revenue Bonds Series 2005R-3 ("FAME Bonds 2005R-3") due January</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 fixed rate interest period through 2025; bearing interest at 5.25%</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120" w:type="dxa"/>
            <w:vAlign w:val="bottom"/>
          </w:tcPr>
          <w:p>
            <w:pPr>
              <w:ind w:left="20"/>
              <w:spacing w:after="0" w:line="176" w:lineRule="exact"/>
              <w:rPr>
                <w:sz w:val="20"/>
                <w:szCs w:val="20"/>
                <w:color w:val="auto"/>
              </w:rPr>
            </w:pPr>
            <w:r>
              <w:rPr>
                <w:rFonts w:ascii="Arial" w:cs="Arial" w:eastAsia="Arial" w:hAnsi="Arial"/>
                <w:sz w:val="18"/>
                <w:szCs w:val="18"/>
                <w:color w:val="auto"/>
                <w:w w:val="94"/>
              </w:rPr>
              <w:t>Finance Authority of Maine Solid Waste Disposal Revenue Bonds Series 2015R-1 ("FAME Bonds 2015R-1") due August</w:t>
            </w:r>
          </w:p>
        </w:tc>
        <w:tc>
          <w:tcPr>
            <w:tcW w:w="220" w:type="dxa"/>
            <w:vAlign w:val="bottom"/>
          </w:tcPr>
          <w:p>
            <w:pPr>
              <w:spacing w:after="0"/>
              <w:rPr>
                <w:sz w:val="15"/>
                <w:szCs w:val="15"/>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ind w:right="7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9120" w:type="dxa"/>
            <w:vAlign w:val="bottom"/>
          </w:tcPr>
          <w:p>
            <w:pPr>
              <w:ind w:left="20"/>
              <w:spacing w:after="0"/>
              <w:rPr>
                <w:sz w:val="20"/>
                <w:szCs w:val="20"/>
                <w:color w:val="auto"/>
              </w:rPr>
            </w:pPr>
            <w:r>
              <w:rPr>
                <w:rFonts w:ascii="Arial" w:cs="Arial" w:eastAsia="Arial" w:hAnsi="Arial"/>
                <w:sz w:val="18"/>
                <w:szCs w:val="18"/>
                <w:color w:val="auto"/>
              </w:rPr>
              <w:t>2035 - fixed rate interest period through 2025; bearing interest at 5.125%</w:t>
            </w: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Finance Authority of Maine Solid Waste Disposal Revenue Bonds Series 2015R-2 ("FAME Bonds 2015R-2") due August</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2035 - fixed rate interest period through 2025; bearing interest at 4.375%</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0"/>
        </w:trPr>
        <w:tc>
          <w:tcPr>
            <w:tcW w:w="9120" w:type="dxa"/>
            <w:vAlign w:val="bottom"/>
          </w:tcPr>
          <w:p>
            <w:pPr>
              <w:ind w:left="20"/>
              <w:spacing w:after="0"/>
              <w:rPr>
                <w:sz w:val="20"/>
                <w:szCs w:val="20"/>
                <w:color w:val="auto"/>
              </w:rPr>
            </w:pPr>
            <w:r>
              <w:rPr>
                <w:rFonts w:ascii="Arial" w:cs="Arial" w:eastAsia="Arial" w:hAnsi="Arial"/>
                <w:sz w:val="18"/>
                <w:szCs w:val="18"/>
                <w:color w:val="auto"/>
                <w:w w:val="97"/>
              </w:rPr>
              <w:t>Vermont Economic Development Authority Solid Waste Disposal Long-Term Revenue Bonds Series 2013 ("Vermont</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120" w:type="dxa"/>
            <w:vAlign w:val="bottom"/>
          </w:tcPr>
          <w:p>
            <w:pPr>
              <w:ind w:left="20"/>
              <w:spacing w:after="0"/>
              <w:rPr>
                <w:sz w:val="20"/>
                <w:szCs w:val="20"/>
                <w:color w:val="auto"/>
              </w:rPr>
            </w:pPr>
            <w:r>
              <w:rPr>
                <w:rFonts w:ascii="Arial" w:cs="Arial" w:eastAsia="Arial" w:hAnsi="Arial"/>
                <w:sz w:val="18"/>
                <w:szCs w:val="18"/>
                <w:color w:val="auto"/>
              </w:rPr>
              <w:t>Bonds") due April 2036 - fixed rate interest period through 2028; bearing interest at 4.625%</w:t>
            </w:r>
          </w:p>
        </w:tc>
        <w:tc>
          <w:tcPr>
            <w:tcW w:w="2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Business Finance Authority of the State of New Hampshire Solid Waste Disposal Revenue Bonds Series 2013 ("New</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Hampshire Bonds") due April 2029 - fixed rate interest period through 2029; bearing interest at 2.95%</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5"/>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5.0%</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378"/>
        </w:trPr>
        <w:tc>
          <w:tcPr>
            <w:tcW w:w="9120" w:type="dxa"/>
            <w:vAlign w:val="bottom"/>
          </w:tcPr>
          <w:p>
            <w:pPr>
              <w:ind w:left="20"/>
              <w:spacing w:after="0"/>
              <w:rPr>
                <w:sz w:val="20"/>
                <w:szCs w:val="20"/>
                <w:color w:val="auto"/>
              </w:rPr>
            </w:pPr>
            <w:r>
              <w:rPr>
                <w:rFonts w:ascii="Arial" w:cs="Arial" w:eastAsia="Arial" w:hAnsi="Arial"/>
                <w:sz w:val="18"/>
                <w:szCs w:val="18"/>
                <w:color w:val="auto"/>
              </w:rPr>
              <w:t>Notes payable maturing through June 2027; bearing interest at a weighted average of 3.5%</w:t>
            </w:r>
          </w:p>
        </w:tc>
        <w:tc>
          <w:tcPr>
            <w:tcW w:w="2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9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 of debt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522,728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555,249</w:t>
            </w:r>
          </w:p>
        </w:tc>
        <w:tc>
          <w:tcPr>
            <w:tcW w:w="0" w:type="dxa"/>
            <w:vAlign w:val="bottom"/>
          </w:tcPr>
          <w:p>
            <w:pPr>
              <w:spacing w:after="0"/>
              <w:rPr>
                <w:sz w:val="1"/>
                <w:szCs w:val="1"/>
                <w:color w:val="auto"/>
              </w:rPr>
            </w:pP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Less—unamortized discount and debt issuance costs (1)</w:t>
            </w:r>
          </w:p>
        </w:tc>
        <w:tc>
          <w:tcPr>
            <w:tcW w:w="22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7"/>
        </w:trPr>
        <w:tc>
          <w:tcPr>
            <w:tcW w:w="9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less unamortized discount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513,322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544,299</w:t>
            </w:r>
          </w:p>
        </w:tc>
        <w:tc>
          <w:tcPr>
            <w:tcW w:w="0" w:type="dxa"/>
            <w:vAlign w:val="bottom"/>
          </w:tcPr>
          <w:p>
            <w:pPr>
              <w:spacing w:after="0"/>
              <w:rPr>
                <w:sz w:val="1"/>
                <w:szCs w:val="1"/>
                <w:color w:val="auto"/>
              </w:rPr>
            </w:pPr>
          </w:p>
        </w:tc>
      </w:tr>
      <w:tr>
        <w:trPr>
          <w:trHeight w:val="243"/>
        </w:trPr>
        <w:tc>
          <w:tcPr>
            <w:tcW w:w="9120" w:type="dxa"/>
            <w:vAlign w:val="bottom"/>
          </w:tcPr>
          <w:p>
            <w:pPr>
              <w:ind w:left="340"/>
              <w:spacing w:after="0"/>
              <w:rPr>
                <w:sz w:val="20"/>
                <w:szCs w:val="20"/>
                <w:color w:val="auto"/>
              </w:rPr>
            </w:pPr>
            <w:r>
              <w:rPr>
                <w:rFonts w:ascii="Arial" w:cs="Arial" w:eastAsia="Arial" w:hAnsi="Arial"/>
                <w:sz w:val="18"/>
                <w:szCs w:val="18"/>
                <w:color w:val="auto"/>
              </w:rPr>
              <w:t>Less—current maturities of debt</w:t>
            </w:r>
          </w:p>
        </w:tc>
        <w:tc>
          <w:tcPr>
            <w:tcW w:w="22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9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509,021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542,001</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 summary of unamortized discount and debt issuance costs by debt instrument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r>
      <w:tr>
        <w:trPr>
          <w:trHeight w:val="196"/>
        </w:trPr>
        <w:tc>
          <w:tcPr>
            <w:tcW w:w="9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and Term Loan Facility (collectively, the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7,118</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New York Bonds 2014</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847</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York Bonds 2014R-2</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FAME Bonds 2005R-3</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517</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385"/>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FAME Bonds 2015R-1</w:t>
            </w: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622</w:t>
            </w:r>
          </w:p>
        </w:tc>
      </w:tr>
      <w:tr>
        <w:trPr>
          <w:trHeight w:val="378"/>
        </w:trPr>
        <w:tc>
          <w:tcPr>
            <w:tcW w:w="9120" w:type="dxa"/>
            <w:vAlign w:val="bottom"/>
          </w:tcPr>
          <w:p>
            <w:pPr>
              <w:ind w:left="20"/>
              <w:spacing w:after="0"/>
              <w:rPr>
                <w:sz w:val="20"/>
                <w:szCs w:val="20"/>
                <w:color w:val="auto"/>
              </w:rPr>
            </w:pPr>
            <w:r>
              <w:rPr>
                <w:rFonts w:ascii="Arial" w:cs="Arial" w:eastAsia="Arial" w:hAnsi="Arial"/>
                <w:sz w:val="18"/>
                <w:szCs w:val="18"/>
                <w:color w:val="auto"/>
              </w:rPr>
              <w:t>FAME Bonds 2015R-2</w:t>
            </w:r>
          </w:p>
        </w:tc>
        <w:tc>
          <w:tcPr>
            <w:tcW w:w="240" w:type="dxa"/>
            <w:vAlign w:val="bottom"/>
          </w:tcPr>
          <w:p>
            <w:pPr>
              <w:spacing w:after="0"/>
              <w:rPr>
                <w:sz w:val="24"/>
                <w:szCs w:val="24"/>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493</w:t>
            </w:r>
          </w:p>
        </w:tc>
      </w:tr>
      <w:tr>
        <w:trPr>
          <w:trHeight w:val="27"/>
        </w:trPr>
        <w:tc>
          <w:tcPr>
            <w:tcW w:w="9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Vermont Bonds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595</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New Hampshire Bonds</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308</w:t>
            </w:r>
          </w:p>
        </w:tc>
      </w:tr>
      <w:tr>
        <w:trPr>
          <w:trHeight w:val="27"/>
        </w:trPr>
        <w:tc>
          <w:tcPr>
            <w:tcW w:w="9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9"/>
        </w:trPr>
        <w:tc>
          <w:tcPr>
            <w:tcW w:w="9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10,950</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fiscal year 2018, we entered into a credit agreement ("Credit Agreement"), which provides for a $350,000 aggregate principal amount Term Loan Facility and a $200,000 Revolving Credit Facility. The net proceeds from this transaction were used to repay in full the amounts outstanding of the $350,000 aggregate principal amount term loan B facility ("Term Loan B Facility") and the $160,000 revolving line of credit facility plus accrued and unpaid interest thereon and to pay related transaction expenses. We have the right to request, at our discretion, an increase in the amount of loans under the Credit Facility by an aggregate amount $125,000, subject to the terms and conditions set forth in the Credit Agreement.</w:t>
      </w:r>
    </w:p>
    <w:p>
      <w:pPr>
        <w:spacing w:after="0" w:line="6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Credit Facility has a 5-year term and bears interest at a rate of LIBOR plus 1.75%, which can be reduced to a rate of LIBOR plus 1.25% upon us reaching a consolidated net leverage ratio of less than 2.25x. The Credit Facility is guaranteed jointly and severally, fully and unconditionally by all of our significant wholly-owned subsidiaries and secured by substantially all of our assets. As of December 31, 2019, further advances were available under the Credit Facility in the amount of $148,575. The available amount is net of outstanding irrevocable letters of credit totaling $24,525, at which date no amount had been drawn.</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December 31, 2019,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Financings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In fiscal year 2019, we completed the remarketing of $25,000 aggregate principal amount of New York Bonds 2014. As of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we had outstanding $25,000 aggregate principal amount of New York Bonds 2014 and $15,000 aggregate principal amount of New York Bonds 2014R-2 issued by the New York State Environmental Facilities Corporation under the indenture dated December 1, 2014 (collectively, the “New York Bonds”). The New York Bonds 2014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Maine Bonds. </w:t>
      </w:r>
      <w:r>
        <w:rPr>
          <w:rFonts w:ascii="Arial" w:cs="Arial" w:eastAsia="Arial" w:hAnsi="Arial"/>
          <w:sz w:val="17"/>
          <w:szCs w:val="17"/>
          <w:color w:val="auto"/>
        </w:rPr>
        <w:t>In fiscal year 2018, we completed the issuance of $15,000 aggregate principal amount of FAME Bonds 2015R-2. As of December 31, 2019, we</w:t>
      </w:r>
      <w:r>
        <w:rPr>
          <w:rFonts w:ascii="Arial" w:cs="Arial" w:eastAsia="Arial" w:hAnsi="Arial"/>
          <w:sz w:val="17"/>
          <w:szCs w:val="17"/>
          <w:i w:val="1"/>
          <w:iCs w:val="1"/>
          <w:color w:val="auto"/>
        </w:rPr>
        <w:t xml:space="preserve"> </w:t>
      </w:r>
      <w:r>
        <w:rPr>
          <w:rFonts w:ascii="Arial" w:cs="Arial" w:eastAsia="Arial" w:hAnsi="Arial"/>
          <w:sz w:val="17"/>
          <w:szCs w:val="17"/>
          <w:color w:val="auto"/>
        </w:rPr>
        <w:t>had outstanding $25,000 aggregate principal amount of FAME Bonds 2005R-3, $15,000 aggregate principal amount of FAME Bonds 2015R-1, and $15,000 aggregate principal amount of FAME Bonds 2015R-2 (collectively,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In fiscal year 2018, we completed the remarketing of $16,000 aggregate principal amount of 4.75% fixed rate senior unsecured Vermont</w:t>
      </w:r>
      <w:r>
        <w:rPr>
          <w:rFonts w:ascii="Arial" w:cs="Arial" w:eastAsia="Arial" w:hAnsi="Arial"/>
          <w:sz w:val="18"/>
          <w:szCs w:val="18"/>
          <w:i w:val="1"/>
          <w:iCs w:val="1"/>
          <w:color w:val="auto"/>
        </w:rPr>
        <w:t xml:space="preserve"> </w:t>
      </w:r>
      <w:r>
        <w:rPr>
          <w:rFonts w:ascii="Arial" w:cs="Arial" w:eastAsia="Arial" w:hAnsi="Arial"/>
          <w:sz w:val="18"/>
          <w:szCs w:val="18"/>
          <w:color w:val="auto"/>
        </w:rPr>
        <w:t>Bonds. As of December 31, 2019, we had outstanding $16,000 aggregate principal amount of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New Hampshire Bonds. </w:t>
      </w:r>
      <w:r>
        <w:rPr>
          <w:rFonts w:ascii="Arial" w:cs="Arial" w:eastAsia="Arial" w:hAnsi="Arial"/>
          <w:sz w:val="18"/>
          <w:szCs w:val="18"/>
          <w:color w:val="auto"/>
        </w:rPr>
        <w:t>In fiscal year 2019, we completed the remarketing of $11,000 aggregate principal amount of senior unsecured New Hampshire</w:t>
      </w:r>
      <w:r>
        <w:rPr>
          <w:rFonts w:ascii="Arial" w:cs="Arial" w:eastAsia="Arial" w:hAnsi="Arial"/>
          <w:sz w:val="18"/>
          <w:szCs w:val="18"/>
          <w:i w:val="1"/>
          <w:iCs w:val="1"/>
          <w:color w:val="auto"/>
        </w:rPr>
        <w:t xml:space="preserve"> </w:t>
      </w:r>
      <w:r>
        <w:rPr>
          <w:rFonts w:ascii="Arial" w:cs="Arial" w:eastAsia="Arial" w:hAnsi="Arial"/>
          <w:sz w:val="18"/>
          <w:szCs w:val="18"/>
          <w:color w:val="auto"/>
        </w:rPr>
        <w:t>Bonds. As of December 31, 2019, we had outstanding $11,000 aggregate principal amount of New Hampshire Bonds. The New Hampshire Bonds, which are guaranteed jointly and severally, fully and unconditionally by all of our significant wholly-owned subsidiaries, accrue interest at 2.95% per annum through maturity on April 1, 2029 and interest.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order to lower our borrowing costs and reduce our market risk we completed the following transactions that resulted in a loss on debt extinguishment in fiscal years 2019, 2018 and 2017 of $0, $7,352 and $517, respectively:</w:t>
      </w:r>
    </w:p>
    <w:p>
      <w:pPr>
        <w:spacing w:after="0" w:line="8" w:lineRule="exact"/>
        <w:rPr>
          <w:sz w:val="20"/>
          <w:szCs w:val="20"/>
          <w:color w:val="auto"/>
        </w:rPr>
      </w:pPr>
    </w:p>
    <w:p>
      <w:pPr>
        <w:ind w:left="500" w:right="400" w:hanging="330"/>
        <w:spacing w:after="0" w:line="264" w:lineRule="auto"/>
        <w:tabs>
          <w:tab w:leader="none" w:pos="4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write-off of debt issuance costs and unamortized discount, in the case of our Term Loan B Facility in fiscal year 2018, associated with the refinancing of our previously outstanding senior secured credit facility in fiscal year 2018 and an amendment to our previously outstanding senior secured credit facility in fiscal year 2017: and</w:t>
      </w:r>
    </w:p>
    <w:p>
      <w:pPr>
        <w:spacing w:after="0" w:line="19" w:lineRule="exact"/>
        <w:rPr>
          <w:rFonts w:ascii="Arial" w:cs="Arial" w:eastAsia="Arial" w:hAnsi="Arial"/>
          <w:sz w:val="18"/>
          <w:szCs w:val="18"/>
          <w:color w:val="auto"/>
        </w:rPr>
      </w:pPr>
    </w:p>
    <w:p>
      <w:pPr>
        <w:ind w:left="500" w:right="220" w:hanging="330"/>
        <w:spacing w:after="0" w:line="286" w:lineRule="auto"/>
        <w:tabs>
          <w:tab w:leader="none" w:pos="4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write-off of debt issuance costs in connection with the remarketing of our Vermont Bonds in fiscal year 2018 and the remarketing of our Finance Authority of Maine Solid Waste Disposal Revenue Bonds Series 2005R-1 (“FAME Bonds 2005R-1”) and Finance Authority of Maine Solid Waste Disposal Revenue Bonds Series 2005R-2 (“FAME Bonds 2005R-2”) into the FAME Bonds 2005R-3 in fiscal year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are as follows:</w:t>
      </w:r>
    </w:p>
    <w:p>
      <w:pPr>
        <w:spacing w:after="0" w:line="5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 and finance leases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22,060</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2,692</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 of credit fees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703</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Less: capitalized interest</w:t>
            </w:r>
          </w:p>
        </w:tc>
        <w:tc>
          <w:tcPr>
            <w:tcW w:w="3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(295)</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25,102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26,294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25,160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strategy to reduce exposure to interest rate risk involves entering into interest rate derivative agreements to hedge against adverse movements in interest rates related to the variable rate portion of our long-term debt. We enter into interest rate derivative agreements to manage exposure to fluctuations in interest rates related to variable rate interest payments of our long-term debt. As of both December 31, 2019, and December 31, 2018, our interest rate derivative agreements had a total notional amount of $190,000. We receive interest based on the 1-month LIBOR index, restricted by a floor in certain instances, and pay interest at a weighted average rate of approximately 2.5% as of both December 31, 2019 and December 31, 2018. The agreements mature between February 2021 and May 2023.</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year 2019, we entered into interest rate derivative agreements with a total notional amount of $65,000 that will serve to replace existing interest rate derivative agreements upon their expiration between February 2021 and February 2022. These forward starting interest rate derivative agreements mature between February 2026 and February 2027. We receive interest based on the 1-month LIBOR index, restricted by floor, and pay interest at a weighted average rate of approximately 1.8%.</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designated these derivative instruments as highly effective cash flow hedges, and therefore the change in fair value is recorded in our stockholders’ equity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504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16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 - tax provision</w:t>
            </w:r>
          </w:p>
        </w:tc>
        <w:tc>
          <w:tcPr>
            <w:tcW w:w="516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40" w:type="dxa"/>
            <w:vAlign w:val="bottom"/>
            <w:tcBorders>
              <w:bottom w:val="single" w:sz="8" w:color="CCEEFF"/>
            </w:tcBorders>
            <w:shd w:val="clear" w:color="auto" w:fill="CCEEFF"/>
          </w:tcPr>
          <w:p>
            <w:pPr>
              <w:spacing w:after="0"/>
              <w:rPr>
                <w:sz w:val="24"/>
                <w:szCs w:val="24"/>
                <w:color w:val="auto"/>
              </w:rPr>
            </w:pPr>
          </w:p>
        </w:tc>
        <w:tc>
          <w:tcPr>
            <w:tcW w:w="5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A summary of the amount of gain or (loss) on cash flow hedging relationships related to interest rate swaps reclassified from accumulated other comprehensive loss, net into earnings follows:</w:t>
      </w: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5360" w:type="dxa"/>
            <w:vAlign w:val="bottom"/>
            <w:gridSpan w:val="2"/>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196"/>
        </w:trPr>
        <w:tc>
          <w:tcPr>
            <w:tcW w:w="1840" w:type="dxa"/>
            <w:vAlign w:val="bottom"/>
            <w:tcBorders>
              <w:bottom w:val="single" w:sz="8" w:color="auto"/>
            </w:tcBorders>
          </w:tcPr>
          <w:p>
            <w:pPr>
              <w:spacing w:after="0"/>
              <w:rPr>
                <w:sz w:val="17"/>
                <w:szCs w:val="17"/>
                <w:color w:val="auto"/>
              </w:rPr>
            </w:pPr>
          </w:p>
        </w:tc>
        <w:tc>
          <w:tcPr>
            <w:tcW w:w="52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Statement of Operations Location</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(Expense) Income</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160" w:type="dxa"/>
            <w:vAlign w:val="bottom"/>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(553)</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(363)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(421)</w:t>
            </w:r>
          </w:p>
        </w:tc>
      </w:tr>
      <w:tr>
        <w:trPr>
          <w:trHeight w:val="27"/>
        </w:trPr>
        <w:tc>
          <w:tcPr>
            <w:tcW w:w="184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of December 31, 2019, the fair value of our fixed rate debt, including the FAME Bonds, Vermont Bonds, New York Bonds and New Hampshire Bonds was approximately $131,357 and the carrying value was $122,000. The fair value of the FAME Bonds, Vermont Bonds, New York Bonds and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carrying value of our Term Loan Facility was $350,000 and the carrying value of our Revolving Credit Facility was $26,900.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fair values are based on current borrowing rates for similar types of borrowing arrangements, or Level 2 inputs, and approximate their carrying values.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Although we have determined the estimated fair value amounts of the FAME Bonds, Vermont Bonds, New York Bonds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tcPr>
          <w:p>
            <w:pPr>
              <w:spacing w:after="0"/>
              <w:rPr>
                <w:sz w:val="20"/>
                <w:szCs w:val="20"/>
                <w:color w:val="auto"/>
              </w:rPr>
            </w:pPr>
            <w:r>
              <w:rPr>
                <w:rFonts w:ascii="Arial" w:cs="Arial" w:eastAsia="Arial" w:hAnsi="Arial"/>
                <w:sz w:val="18"/>
                <w:szCs w:val="18"/>
                <w:b w:val="1"/>
                <w:bCs w:val="1"/>
                <w:color w:val="auto"/>
              </w:rPr>
              <w:t>Future Maturities of Debt</w:t>
            </w: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9320" w:type="dxa"/>
            <w:vAlign w:val="bottom"/>
          </w:tcPr>
          <w:p>
            <w:pPr>
              <w:spacing w:after="0"/>
              <w:rPr>
                <w:sz w:val="20"/>
                <w:szCs w:val="20"/>
                <w:color w:val="auto"/>
              </w:rPr>
            </w:pPr>
            <w:r>
              <w:rPr>
                <w:rFonts w:ascii="Arial" w:cs="Arial" w:eastAsia="Arial" w:hAnsi="Arial"/>
                <w:sz w:val="18"/>
                <w:szCs w:val="18"/>
                <w:color w:val="auto"/>
              </w:rPr>
              <w:t>Aggregate principal maturities of debt are as follows: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9320" w:type="dxa"/>
            <w:vAlign w:val="bottom"/>
          </w:tcPr>
          <w:p>
            <w:pPr>
              <w:ind w:left="20"/>
              <w:spacing w:after="0"/>
              <w:rPr>
                <w:sz w:val="20"/>
                <w:szCs w:val="20"/>
                <w:color w:val="auto"/>
              </w:rPr>
            </w:pPr>
            <w:r>
              <w:rPr>
                <w:rFonts w:ascii="Arial" w:cs="Arial" w:eastAsia="Arial" w:hAnsi="Arial"/>
                <w:sz w:val="18"/>
                <w:szCs w:val="18"/>
                <w:b w:val="1"/>
                <w:bCs w:val="1"/>
                <w:color w:val="auto"/>
              </w:rPr>
              <w:t>Estimated Future Payments as of December 31, 2019</w:t>
            </w:r>
          </w:p>
        </w:tc>
        <w:tc>
          <w:tcPr>
            <w:tcW w:w="7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9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2020</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4,300</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Fiscal year ending December 31, 2021</w:t>
            </w:r>
          </w:p>
        </w:tc>
        <w:tc>
          <w:tcPr>
            <w:tcW w:w="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3,593</w:t>
            </w:r>
          </w:p>
        </w:tc>
      </w:tr>
      <w:tr>
        <w:trPr>
          <w:trHeight w:val="27"/>
        </w:trPr>
        <w:tc>
          <w:tcPr>
            <w:tcW w:w="9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5,358</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379,945</w:t>
            </w:r>
          </w:p>
        </w:tc>
      </w:tr>
      <w:tr>
        <w:trPr>
          <w:trHeight w:val="27"/>
        </w:trPr>
        <w:tc>
          <w:tcPr>
            <w:tcW w:w="9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2,893</w:t>
            </w:r>
          </w:p>
        </w:tc>
      </w:tr>
      <w:tr>
        <w:trPr>
          <w:trHeight w:val="243"/>
        </w:trPr>
        <w:tc>
          <w:tcPr>
            <w:tcW w:w="9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126,639</w:t>
            </w:r>
          </w:p>
        </w:tc>
      </w:tr>
      <w:tr>
        <w:trPr>
          <w:trHeight w:val="27"/>
        </w:trPr>
        <w:tc>
          <w:tcPr>
            <w:tcW w:w="93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9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522,728</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11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 We are in active discovery in the Residents case.</w:t>
      </w:r>
    </w:p>
    <w:p>
      <w:pPr>
        <w:spacing w:after="0" w:line="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complete and homeowners are relying on municipal water supply. Remaining aspects of the project are minor and are expected to be completed in early 2020. Bond reimbursement to the Town will commence in the fiscal year ending December 31, 2020.</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recorded an environmental remediation liability related to our obligation associated with installation of the Waterline in other accrued liabilities and other long-term liabilities. We inflate the estimated costs in current dollars to the expected time of payment and discount the total cost to present value using a risk-free interest rate of 1.9%. Our expenditures could be significantly higher if costs exceed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Southbridge Landfill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4"/>
                <w:szCs w:val="14"/>
                <w:b w:val="1"/>
                <w:bCs w:val="1"/>
                <w:color w:val="auto"/>
              </w:rPr>
              <w:t>Fiscal Year Ended December 31,</w:t>
            </w:r>
          </w:p>
        </w:tc>
      </w:tr>
      <w:tr>
        <w:trPr>
          <w:trHeight w:val="196"/>
        </w:trPr>
        <w:tc>
          <w:tcPr>
            <w:tcW w:w="83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5,936</w:t>
            </w:r>
          </w:p>
        </w:tc>
      </w:tr>
      <w:tr>
        <w:trPr>
          <w:trHeight w:val="243"/>
        </w:trPr>
        <w:tc>
          <w:tcPr>
            <w:tcW w:w="836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152</w:t>
            </w: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8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(915)</w:t>
            </w:r>
          </w:p>
        </w:tc>
      </w:tr>
      <w:tr>
        <w:trPr>
          <w:trHeight w:val="27"/>
        </w:trPr>
        <w:tc>
          <w:tcPr>
            <w:tcW w:w="8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4,596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5,173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hanging="310"/>
        <w:spacing w:after="0"/>
        <w:tabs>
          <w:tab w:leader="none" w:pos="480" w:val="left"/>
        </w:tabs>
        <w:numPr>
          <w:ilvl w:val="0"/>
          <w:numId w:val="54"/>
        </w:numPr>
        <w:rPr>
          <w:rFonts w:ascii="Arial" w:cs="Arial" w:eastAsia="Arial" w:hAnsi="Arial"/>
          <w:sz w:val="14"/>
          <w:szCs w:val="14"/>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completed the first phase of landfill capping and closure in fiscal year 2019 at the Southbridge Landfill and are actively seeking approval from MADEP to close and cap the remainder of the landfill.</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was completed in fiscal year 2019. WSI is jointly and severally liable with NiMo, Alcoa and Reynolds for the total cost to remediate.</w:t>
      </w:r>
    </w:p>
    <w:p>
      <w:pPr>
        <w:spacing w:after="0" w:line="7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site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Fiscal Year Ended December 31,</w:t>
            </w:r>
          </w:p>
        </w:tc>
        <w:tc>
          <w:tcPr>
            <w:tcW w:w="680" w:type="dxa"/>
            <w:vAlign w:val="bottom"/>
            <w:tcBorders>
              <w:bottom w:val="single" w:sz="8" w:color="auto"/>
            </w:tcBorders>
          </w:tcPr>
          <w:p>
            <w:pPr>
              <w:spacing w:after="0"/>
              <w:rPr>
                <w:sz w:val="16"/>
                <w:szCs w:val="16"/>
                <w:color w:val="auto"/>
              </w:rPr>
            </w:pPr>
          </w:p>
        </w:tc>
      </w:tr>
      <w:tr>
        <w:trPr>
          <w:trHeight w:val="196"/>
        </w:trPr>
        <w:tc>
          <w:tcPr>
            <w:tcW w:w="75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7"/>
                <w:szCs w:val="17"/>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5,758</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1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Obligations incurred</w:t>
            </w:r>
          </w:p>
        </w:tc>
        <w:tc>
          <w:tcPr>
            <w:tcW w:w="1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60" w:type="dxa"/>
            <w:vAlign w:val="bottom"/>
            <w:tcBorders>
              <w:top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5,614</w:t>
            </w:r>
          </w:p>
        </w:tc>
      </w:tr>
      <w:tr>
        <w:trPr>
          <w:trHeight w:val="27"/>
        </w:trPr>
        <w:tc>
          <w:tcPr>
            <w:tcW w:w="7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hanging="310"/>
        <w:spacing w:after="0"/>
        <w:tabs>
          <w:tab w:leader="none" w:pos="480" w:val="left"/>
        </w:tabs>
        <w:numPr>
          <w:ilvl w:val="0"/>
          <w:numId w:val="55"/>
        </w:numPr>
        <w:rPr>
          <w:rFonts w:ascii="Arial" w:cs="Arial" w:eastAsia="Arial" w:hAnsi="Arial"/>
          <w:sz w:val="14"/>
          <w:szCs w:val="14"/>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total expected environmental remediation payments, in today’s dollars, for each of the five succeeding fiscal years and the aggregate amount thereafter are as follows: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Estimated Future Environmental Remediation Payments as of December 31, 2019</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9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2020</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Fiscal year ending December 31, 2021</w:t>
            </w:r>
          </w:p>
        </w:tc>
        <w:tc>
          <w:tcPr>
            <w:tcW w:w="7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382</w:t>
            </w:r>
          </w:p>
        </w:tc>
      </w:tr>
      <w:tr>
        <w:trPr>
          <w:trHeight w:val="27"/>
        </w:trPr>
        <w:tc>
          <w:tcPr>
            <w:tcW w:w="9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7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367</w:t>
            </w:r>
          </w:p>
        </w:tc>
      </w:tr>
      <w:tr>
        <w:trPr>
          <w:trHeight w:val="27"/>
        </w:trPr>
        <w:tc>
          <w:tcPr>
            <w:tcW w:w="9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w:t>
            </w:r>
          </w:p>
        </w:tc>
      </w:tr>
      <w:tr>
        <w:trPr>
          <w:trHeight w:val="243"/>
        </w:trPr>
        <w:tc>
          <w:tcPr>
            <w:tcW w:w="9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4,630</w:t>
            </w:r>
          </w:p>
        </w:tc>
      </w:tr>
      <w:tr>
        <w:trPr>
          <w:trHeight w:val="27"/>
        </w:trPr>
        <w:tc>
          <w:tcPr>
            <w:tcW w:w="94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6,603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reconciliation of the expected aggregate non-inflated, undiscounted environmental remediation liability to the amount recognized in the statement of financial position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Undiscounted liability</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6,603</w:t>
            </w:r>
          </w:p>
        </w:tc>
      </w:tr>
      <w:tr>
        <w:trPr>
          <w:trHeight w:val="243"/>
        </w:trPr>
        <w:tc>
          <w:tcPr>
            <w:tcW w:w="9360" w:type="dxa"/>
            <w:vAlign w:val="bottom"/>
          </w:tcPr>
          <w:p>
            <w:pPr>
              <w:ind w:left="20"/>
              <w:spacing w:after="0"/>
              <w:rPr>
                <w:sz w:val="20"/>
                <w:szCs w:val="20"/>
                <w:color w:val="auto"/>
              </w:rPr>
            </w:pPr>
            <w:r>
              <w:rPr>
                <w:rFonts w:ascii="Arial" w:cs="Arial" w:eastAsia="Arial" w:hAnsi="Arial"/>
                <w:sz w:val="18"/>
                <w:szCs w:val="18"/>
                <w:color w:val="auto"/>
              </w:rPr>
              <w:t>Less discount, net</w:t>
            </w:r>
          </w:p>
        </w:tc>
        <w:tc>
          <w:tcPr>
            <w:tcW w:w="7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(856)</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balance - December 31, 2019</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5,747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substantial liability incurred by us arising from environmental damage could have a material adverse effect on our business, financial condition and results of operations. We are not presently aware of any other situations that would have a material adverse impact on our business, financial condition, results of operations 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("NCES Landfill").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determining that the circumstances described are sufficient for SCOTUS to hear such cases. Our motion for a stay was granted in the New Hampshire Litigation, and SCOTUS is expected to hear and rule on such cases this calendar year. In any event, we intend to continue to vigorously defend against the New Hampshire Litigation, which we believe is without merit.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Ontario County Landfill, which is operated by us pursuant to a long-term Operation, Maintenance and Lease Agreement with Ontario County. The New York Litigation was served on us on October 14, 2019. We are reviewing the New York Litigation and intend to present a vigorous defense.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January 9, 2019, NCES filed an application for a 1.2 million (cy) expansion of the capacity of the NCES Landfill with the New Hampshire Department of Environmental Services (“NHDES”) (“Stage VI Expansion”). The Stage VI Expansion would provide NCES with over five (5) years of additional capacity beyond the capacity of Stage V.</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2020, NHDES informed NCES and us that NHDES had concerns regarding the short-term public benefit need for the Stage VI expansion, and also in respect of certain technical concerns regarding the Stage VI expansion. Given the fact the NHDES decided to review our permit application for the Stage VI Expansion with respect to public benefit determination using a different regulatory framework than used in any of our previous permitting activities at NCES, we informed the NHDES on February 11, 2020, that while we vigorously disagreed with NHDES’ review of our application and the context for the NHDES’ concerns, we would withdraw our application with the expectation of refiling the application with the NHDES as soon as possible. While the refiling of the application for the Stage VI Expansion could be rejected by the NHDES, and while delay of the Stage VI Expansion will surely occur, we remain confident that we will receive a permit for the Stage VI Expansion. We believe that a loss of $1,195 is reasonably possible, but not probable.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entered into employment contracts with five of our executive officers. The contracts are dated June 18, 2001, March 31, 2006, July 6, 2010, September 1, 2012 and March 1, 2016. Each contract had an initial term between one and three years and a covenant not-to-compete ranging from one to two years from the date of termination. These contracts automatically extend for a one year period at the end of the initial term and any renewal period. Total annual commitments for salaries under these contracts are $1,937. In the event of a change in control of us, or in the event of involuntary termination without cause, the employment contracts provide for a payment ranging from one to three years of salary and bonuses. We also have other employment contracts or arrangements with employees who are not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Class A Common Stock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year 2019, we completed a public offering of 3,565 shares of our Class A common stock at a public offering price of $29.50 per share. The offering resulted in net proceeds to us of $100,446, after deducting underwriting discounts and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7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fiscal year 2019, we completed the unregistered sale of 59 shares of our Class A common stock at a price of $44.15 per share. The sale resulted in net proceeds to us of $2,619. The shares were previously held in escrow according to the terms of our acquisition of WSI and released to us for liquidation to offset costs associated with the environmental remediation of the WSI's Potsdam, New York site. We recorded a $2,619 reduction of goodwill in line with business combination standards in place at the time the shares held in escrow were issued. See Note 12, Commitments and Contingencies for additional disclosure.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holders of the Class A common stock are entitled to one vote for each share held. The holders of the Class B common stock are entitled to ten votes for each share held, except for the election of one director, who is elected by the holders of the Class A common stock exclusively. The Class B common stock is convertible into Class A common stock on a share-for-share basis at the option of the shareholder.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authorized to issue up to 944 shares of preferred stock in one or more series. As of December 31, 2019 and December 31, 2018, we had no shares issued.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2006 Stock Incentive Plan. </w:t>
      </w:r>
      <w:r>
        <w:rPr>
          <w:rFonts w:ascii="Arial" w:cs="Arial" w:eastAsia="Arial" w:hAnsi="Arial"/>
          <w:sz w:val="18"/>
          <w:szCs w:val="18"/>
          <w:color w:val="auto"/>
        </w:rPr>
        <w:t>In the fiscal year ended April 30, 2007, we adopted the 2006 Stock Incentive Plan (“2006 Plan”). The 2006 Plan was amended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 ended April 30, 2010. The 2006 Plan terminated as of October 9, 2016 and as a result no additional awards may be made pursuant to the 2006 Plan. Outstanding shares which are not actually issued under the 2006 Plan because such awards expire or otherwise result in shares not being issued are reserved for issuance under the 2016 Plan.</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2016 Incentive Plan. </w:t>
      </w:r>
      <w:r>
        <w:rPr>
          <w:rFonts w:ascii="Arial" w:cs="Arial" w:eastAsia="Arial" w:hAnsi="Arial"/>
          <w:sz w:val="17"/>
          <w:szCs w:val="17"/>
          <w:color w:val="auto"/>
        </w:rPr>
        <w:t>In fiscal year 2016, we adopted the 2016 Incentive Plan (“2016 Plan”). Under the 2016 Plan, we may grant awards up to an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Plan immediately prior to the expiration of the 2006 Plan and the number of shares of Class A common stock subject to awards granted under the 2006 Plan that expire or otherwise result in shares not being issued.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2019, there were 1,361 Class A common stock equivalents available for future grant under the 2016 Plan, inclusive of additional Class A common stock equivalents that were previously issued under terminated plans and have become available for grant because such awards expired or otherwise resulted in shares not being issued.</w:t>
      </w:r>
    </w:p>
    <w:p>
      <w:pPr>
        <w:spacing w:after="0" w:line="7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Our equity awards granted consist of stock options, including market-based performance stock options, restricted stock, restricted stock units and performance stock units, including market-based performance stock units.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of our Class A common stock as compared to the Russell 2000 Index over the requisite service period.</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Restricted stock, restricted stock units and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Restricted stock granted to non-employee directors vest incrementally over a three year period beginning on the first anniversary of the date of grant. Restricted stock units granted to non-employee directors vest in full on the first anniversary of the grant date. Restricted stock units vest incrementally over an identified service period beginning on the grant date based on continued employment. Performance stock units and market-based performance stock units vest at a future date following the grant date and are based on the attainment of performance targets and market achievements.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center"/>
              <w:ind w:left="376"/>
              <w:spacing w:after="0"/>
              <w:rPr>
                <w:sz w:val="20"/>
                <w:szCs w:val="20"/>
                <w:color w:val="auto"/>
              </w:rPr>
            </w:pPr>
            <w:r>
              <w:rPr>
                <w:rFonts w:ascii="Arial" w:cs="Arial" w:eastAsia="Arial" w:hAnsi="Arial"/>
                <w:sz w:val="14"/>
                <w:szCs w:val="14"/>
                <w:b w:val="1"/>
                <w:bCs w:val="1"/>
                <w:color w:val="auto"/>
                <w:w w:val="95"/>
              </w:rPr>
              <w:t>Weighted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Stock Options</w:t>
            </w:r>
          </w:p>
        </w:tc>
        <w:tc>
          <w:tcPr>
            <w:tcW w:w="1060" w:type="dxa"/>
            <w:vAlign w:val="bottom"/>
          </w:tcPr>
          <w:p>
            <w:pPr>
              <w:jc w:val="center"/>
              <w:ind w:left="396"/>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Exercise Price</w:t>
            </w: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Term (years)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5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9.20</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December 31, 2019</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vMerge w:val="continue"/>
          </w:tcPr>
          <w:p>
            <w:pPr>
              <w:spacing w:after="0"/>
              <w:rPr>
                <w:sz w:val="18"/>
                <w:szCs w:val="18"/>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9.20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9"/>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2019, 2018 and 2017, stock-based compensation expense for stock options was $0, $473 and 644,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years 2019, 2018 and 2017, the aggregate intrinsic value of stock options exercised was $19,475, $1,916 and $4,664,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was no remaining unrecognized stock-based compensation expense related to outstanding stock options.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calculation of stock-based compensation expense associated with stock options granted, with the exception of market-based performance stock option grants which are valued using a Monte Carlo option-pricing model, was made using the Black-Scholes valuation model. We did not grant any new stock options in fiscal years 2019, 2018 or 2017.</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Expected life is calculated based on the weighted average historical life of the vested stock options, giving consideration to vesting schedules and historical exercise patterns. Risk-free interest rate is based on the U.S. Treasury yield curve for the period of the expected life of the stock option. Expected volatility is calculated using the weekly historical volatility of our Class A common stock over the expected life, except in the case of market-based performance stock option where the daily historical volatility of our Class A common stock over the expected life is used.</w:t>
      </w:r>
    </w:p>
    <w:p>
      <w:pPr>
        <w:spacing w:after="0" w:line="6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Black-Scholes valuation model and the Monte Carlo option-pricing model each require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360" w:type="dxa"/>
            <w:vAlign w:val="bottom"/>
            <w:vMerge w:val="restart"/>
          </w:tcPr>
          <w:p>
            <w:pPr>
              <w:jc w:val="center"/>
              <w:ind w:left="496"/>
              <w:spacing w:after="0"/>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3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w:t>
            </w:r>
          </w:p>
        </w:tc>
        <w:tc>
          <w:tcPr>
            <w:tcW w:w="1360" w:type="dxa"/>
            <w:vAlign w:val="bottom"/>
          </w:tcPr>
          <w:p>
            <w:pPr>
              <w:jc w:val="center"/>
              <w:ind w:left="496"/>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Units (1)</w:t>
            </w:r>
          </w:p>
        </w:tc>
        <w:tc>
          <w:tcPr>
            <w:tcW w:w="1360" w:type="dxa"/>
            <w:vAlign w:val="bottom"/>
          </w:tcPr>
          <w:p>
            <w:pPr>
              <w:jc w:val="center"/>
              <w:ind w:left="496"/>
              <w:spacing w:after="0"/>
              <w:rPr>
                <w:sz w:val="20"/>
                <w:szCs w:val="20"/>
                <w:color w:val="auto"/>
              </w:rPr>
            </w:pPr>
            <w:r>
              <w:rPr>
                <w:rFonts w:ascii="Arial" w:cs="Arial" w:eastAsia="Arial" w:hAnsi="Arial"/>
                <w:sz w:val="14"/>
                <w:szCs w:val="14"/>
                <w:b w:val="1"/>
                <w:bCs w:val="1"/>
                <w:color w:val="auto"/>
                <w:w w:val="97"/>
              </w:rPr>
              <w:t>Grant Price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ind w:right="6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9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ind w:right="57"/>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360" w:type="dxa"/>
            <w:vAlign w:val="bottom"/>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37.24</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vested</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Forfeited or canceled</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60" w:type="dxa"/>
            <w:vAlign w:val="bottom"/>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23.41</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28.23</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December 31, 2019</w:t>
            </w: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vMerge w:val="continue"/>
          </w:tcPr>
          <w:p>
            <w:pPr>
              <w:spacing w:after="0"/>
              <w:rPr>
                <w:sz w:val="18"/>
                <w:szCs w:val="18"/>
                <w:color w:val="auto"/>
              </w:rPr>
            </w:pPr>
          </w:p>
        </w:tc>
        <w:tc>
          <w:tcPr>
            <w:tcW w:w="1920" w:type="dxa"/>
            <w:vAlign w:val="bottom"/>
          </w:tcPr>
          <w:p>
            <w:pPr>
              <w:jc w:val="right"/>
              <w:ind w:right="57"/>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1360" w:type="dxa"/>
            <w:vAlign w:val="bottom"/>
          </w:tcPr>
          <w:p>
            <w:pPr>
              <w:jc w:val="right"/>
              <w:ind w:right="11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29.69</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9"/>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330"/>
        <w:spacing w:after="0" w:line="286" w:lineRule="auto"/>
        <w:tabs>
          <w:tab w:leader="none" w:pos="4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100%. Attainment of maximum performance targets and market achievements would result in the issuance of an additional 186 shares of Class A common stock currently included in unvested. The market-based performance stock unit grants that vested in fiscal year 2019 resulted in the issuance of 178 additional shares of Class A common stock.</w:t>
      </w:r>
    </w:p>
    <w:p>
      <w:pPr>
        <w:spacing w:after="0" w:line="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years 2019, 2018 and 2017, stock-based compensation expense related to restricted stock, restricted stock units and performance stock units was $7,036, $7,821 and $5,652,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years 2019, 2018 and 2017, the total fair value of other stock awards vested was $8,177, $10,529 and $5,706, respectively.</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December 31, 2019, total unrecognized stock-based compensation expense related to restricted stock units was $3,156, which will be recognized over a weighted average period of 1.2 years. Total unrecognized stock-based compensation expense related to performance stock units, assuming the attainment of maximum performance targets, was $6,051, which will be recognized over a weighted average period of 1.5 years.</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fair value of market-based performance stock units granted during fiscal year 2019 was $38.74 per award, which was calculated using a Monte Carlo pricing model assuming a risk free interest rate of 2.28% and an expected volatility of 30.9%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also recorded $186, $150 and $136 of stock-based compensation expense related to our Amended and Restated 1997 Employee Stock Purchase Plan during fiscal years 2019, 2018 and 2017, respectively.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Tax (benefits) provisions for income taxes associated with stock-based compensation during fiscal years 2019, 2018 and 2017 of $(291), $(23) and $117,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Accumulated other comprehensive income (loss) is a component of stockholders' equity (deficit) included in the accompanying consolidated balance sheets and includes, as applicable, the effective portion of changes in the fair value of our cash flow hedges and the changes in fair value of our marketable securities.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balances of each component of accumulated other comprehensive income (loss)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 Rate</w:t>
            </w:r>
          </w:p>
        </w:tc>
        <w:tc>
          <w:tcPr>
            <w:tcW w:w="280" w:type="dxa"/>
            <w:vAlign w:val="bottom"/>
          </w:tcPr>
          <w:p>
            <w:pPr>
              <w:spacing w:after="0"/>
              <w:rPr>
                <w:sz w:val="14"/>
                <w:szCs w:val="14"/>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Swaps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ind w:left="472"/>
              <w:spacing w:after="0"/>
              <w:rPr>
                <w:sz w:val="20"/>
                <w:szCs w:val="20"/>
                <w:color w:val="auto"/>
              </w:rPr>
            </w:pPr>
            <w:r>
              <w:rPr>
                <w:rFonts w:ascii="Arial" w:cs="Arial" w:eastAsia="Arial" w:hAnsi="Arial"/>
                <w:sz w:val="18"/>
                <w:szCs w:val="18"/>
                <w:color w:val="auto"/>
                <w:w w:val="93"/>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7420" w:type="dxa"/>
            <w:vAlign w:val="bottom"/>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7420" w:type="dxa"/>
            <w:vAlign w:val="bottom"/>
          </w:tcPr>
          <w:p>
            <w:pPr>
              <w:ind w:left="420"/>
              <w:spacing w:after="0"/>
              <w:rPr>
                <w:sz w:val="20"/>
                <w:szCs w:val="20"/>
                <w:color w:val="auto"/>
              </w:rPr>
            </w:pPr>
            <w:r>
              <w:rPr>
                <w:rFonts w:ascii="Arial" w:cs="Arial" w:eastAsia="Arial" w:hAnsi="Arial"/>
                <w:sz w:val="18"/>
                <w:szCs w:val="18"/>
                <w:color w:val="auto"/>
              </w:rPr>
              <w:t>Income tax expense related to items in other comprehensive income (loss)</w:t>
            </w:r>
          </w:p>
        </w:tc>
        <w:tc>
          <w:tcPr>
            <w:tcW w:w="200" w:type="dxa"/>
            <w:vAlign w:val="bottom"/>
          </w:tcPr>
          <w:p>
            <w:pPr>
              <w:spacing w:after="0"/>
              <w:rPr>
                <w:sz w:val="21"/>
                <w:szCs w:val="21"/>
                <w:color w:val="auto"/>
              </w:rPr>
            </w:pPr>
          </w:p>
        </w:tc>
        <w:tc>
          <w:tcPr>
            <w:tcW w:w="1060" w:type="dxa"/>
            <w:vAlign w:val="bottom"/>
          </w:tcPr>
          <w:p>
            <w:pPr>
              <w:jc w:val="center"/>
              <w:ind w:left="472"/>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net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Cumulative effect of new accounting principle</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472"/>
              <w:spacing w:after="0"/>
              <w:rPr>
                <w:sz w:val="20"/>
                <w:szCs w:val="20"/>
                <w:color w:val="auto"/>
              </w:rPr>
            </w:pPr>
            <w:r>
              <w:rPr>
                <w:rFonts w:ascii="Arial" w:cs="Arial" w:eastAsia="Arial" w:hAnsi="Arial"/>
                <w:sz w:val="18"/>
                <w:szCs w:val="18"/>
                <w:color w:val="auto"/>
                <w:w w:val="93"/>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7420" w:type="dxa"/>
            <w:vAlign w:val="bottom"/>
          </w:tcPr>
          <w:p>
            <w:pPr>
              <w:ind w:left="46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7420" w:type="dxa"/>
            <w:vAlign w:val="bottom"/>
          </w:tcPr>
          <w:p>
            <w:pPr>
              <w:ind w:left="22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7"/>
        </w:trPr>
        <w:tc>
          <w:tcPr>
            <w:tcW w:w="7420" w:type="dxa"/>
            <w:vAlign w:val="bottom"/>
          </w:tcPr>
          <w:p>
            <w:pPr>
              <w:ind w:left="46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(5,286)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7"/>
        </w:trPr>
        <w:tc>
          <w:tcPr>
            <w:tcW w:w="7420" w:type="dxa"/>
            <w:vAlign w:val="bottom"/>
          </w:tcPr>
          <w:p>
            <w:pPr>
              <w:ind w:left="22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center"/>
              <w:ind w:left="4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income (loss) for fiscal years 2019, 2018 and 2017 is as follows:</w:t>
      </w:r>
    </w:p>
    <w:p>
      <w:pPr>
        <w:spacing w:after="0" w:line="5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13335</wp:posOffset>
            </wp:positionV>
            <wp:extent cx="25812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700" w:type="dxa"/>
            <w:vAlign w:val="bottom"/>
          </w:tcPr>
          <w:p>
            <w:pPr>
              <w:spacing w:after="0"/>
              <w:rPr>
                <w:sz w:val="16"/>
                <w:szCs w:val="16"/>
                <w:color w:val="auto"/>
              </w:rPr>
            </w:pPr>
          </w:p>
        </w:tc>
      </w:tr>
      <w:tr>
        <w:trPr>
          <w:trHeight w:val="153"/>
        </w:trPr>
        <w:tc>
          <w:tcPr>
            <w:tcW w:w="35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w:t>
            </w:r>
          </w:p>
        </w:tc>
        <w:tc>
          <w:tcPr>
            <w:tcW w:w="4080" w:type="dxa"/>
            <w:vAlign w:val="bottom"/>
            <w:gridSpan w:val="8"/>
          </w:tcPr>
          <w:p>
            <w:pPr>
              <w:ind w:left="40"/>
              <w:spacing w:after="0" w:line="153" w:lineRule="exact"/>
              <w:rPr>
                <w:sz w:val="20"/>
                <w:szCs w:val="20"/>
                <w:color w:val="auto"/>
              </w:rPr>
            </w:pPr>
            <w:r>
              <w:rPr>
                <w:rFonts w:ascii="Arial" w:cs="Arial" w:eastAsia="Arial" w:hAnsi="Arial"/>
                <w:sz w:val="14"/>
                <w:szCs w:val="14"/>
                <w:b w:val="1"/>
                <w:bCs w:val="1"/>
                <w:color w:val="auto"/>
                <w:w w:val="92"/>
              </w:rPr>
              <w:t>Amounts Reclassified Out of Accumulated Other Comprehensive</w:t>
            </w:r>
          </w:p>
        </w:tc>
        <w:tc>
          <w:tcPr>
            <w:tcW w:w="3700" w:type="dxa"/>
            <w:vAlign w:val="bottom"/>
          </w:tcPr>
          <w:p>
            <w:pPr>
              <w:ind w:left="700"/>
              <w:spacing w:after="0" w:line="153"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2"/>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Income (Loss) Components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 (Loss)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00" w:type="dxa"/>
            <w:vAlign w:val="bottom"/>
          </w:tcPr>
          <w:p>
            <w:pPr>
              <w:ind w:left="1120"/>
              <w:spacing w:after="0"/>
              <w:rPr>
                <w:sz w:val="20"/>
                <w:szCs w:val="20"/>
                <w:color w:val="auto"/>
              </w:rPr>
            </w:pPr>
            <w:r>
              <w:rPr>
                <w:rFonts w:ascii="Arial" w:cs="Arial" w:eastAsia="Arial" w:hAnsi="Arial"/>
                <w:sz w:val="14"/>
                <w:szCs w:val="14"/>
                <w:b w:val="1"/>
                <w:bCs w:val="1"/>
                <w:color w:val="auto"/>
              </w:rPr>
              <w:t>Statements of Operations</w:t>
            </w:r>
          </w:p>
        </w:tc>
      </w:tr>
      <w:tr>
        <w:trPr>
          <w:trHeight w:val="276"/>
        </w:trPr>
        <w:tc>
          <w:tcPr>
            <w:tcW w:w="3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rate swaps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421</w:t>
            </w:r>
          </w:p>
        </w:tc>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37"/>
        </w:trPr>
        <w:tc>
          <w:tcPr>
            <w:tcW w:w="3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421</w:t>
            </w:r>
          </w:p>
        </w:tc>
        <w:tc>
          <w:tcPr>
            <w:tcW w:w="3700" w:type="dxa"/>
            <w:vAlign w:val="bottom"/>
          </w:tcPr>
          <w:p>
            <w:pPr>
              <w:ind w:left="120"/>
              <w:spacing w:after="0"/>
              <w:rPr>
                <w:sz w:val="20"/>
                <w:szCs w:val="20"/>
                <w:color w:val="auto"/>
              </w:rPr>
            </w:pPr>
            <w:r>
              <w:rPr>
                <w:rFonts w:ascii="Arial" w:cs="Arial" w:eastAsia="Arial" w:hAnsi="Arial"/>
                <w:sz w:val="18"/>
                <w:szCs w:val="18"/>
                <w:color w:val="auto"/>
              </w:rPr>
              <w:t>Income (loss) before income taxes</w:t>
            </w:r>
          </w:p>
        </w:tc>
      </w:tr>
      <w:tr>
        <w:trPr>
          <w:trHeight w:val="27"/>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 for income taxes</w:t>
            </w:r>
          </w:p>
        </w:tc>
      </w:tr>
      <w:tr>
        <w:trPr>
          <w:trHeight w:val="264"/>
        </w:trPr>
        <w:tc>
          <w:tcPr>
            <w:tcW w:w="358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421</w:t>
            </w:r>
          </w:p>
        </w:tc>
        <w:tc>
          <w:tcPr>
            <w:tcW w:w="3700" w:type="dxa"/>
            <w:vAlign w:val="bottom"/>
          </w:tcPr>
          <w:p>
            <w:pPr>
              <w:ind w:left="120"/>
              <w:spacing w:after="0"/>
              <w:rPr>
                <w:sz w:val="20"/>
                <w:szCs w:val="20"/>
                <w:color w:val="auto"/>
              </w:rPr>
            </w:pPr>
            <w:r>
              <w:rPr>
                <w:rFonts w:ascii="Arial" w:cs="Arial" w:eastAsia="Arial" w:hAnsi="Arial"/>
                <w:sz w:val="18"/>
                <w:szCs w:val="18"/>
                <w:color w:val="auto"/>
              </w:rPr>
              <w:t>Net income (loss)</w:t>
            </w:r>
          </w:p>
        </w:tc>
      </w:tr>
      <w:tr>
        <w:trPr>
          <w:trHeight w:val="21"/>
        </w:trPr>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INSTRUMENTS</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 on a Recurring Basis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interest rate derivatives included in the Level 2 tier below is calculated using discounted cash flow valuation methodologies based upon the one month LIBOR yield curves that are observable at commonly quoted intervals for the full term of the swaps. We recognize all derivatives accounted for on the balance sheet at fair value. See Note 11, D</w:t>
      </w:r>
      <w:r>
        <w:rPr>
          <w:rFonts w:ascii="Arial" w:cs="Arial" w:eastAsia="Arial" w:hAnsi="Arial"/>
          <w:sz w:val="17"/>
          <w:szCs w:val="17"/>
          <w:i w:val="1"/>
          <w:iCs w:val="1"/>
          <w:color w:val="auto"/>
        </w:rPr>
        <w:t>ebt</w:t>
      </w:r>
      <w:r>
        <w:rPr>
          <w:rFonts w:ascii="Arial" w:cs="Arial" w:eastAsia="Arial" w:hAnsi="Arial"/>
          <w:sz w:val="17"/>
          <w:szCs w:val="17"/>
          <w:color w:val="auto"/>
        </w:rPr>
        <w:t xml:space="preserve"> for disclosure over the fair value of debt.</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940" w:type="dxa"/>
            <w:vAlign w:val="bottom"/>
            <w:tcBorders>
              <w:bottom w:val="single" w:sz="8" w:color="auto"/>
            </w:tcBorders>
            <w:gridSpan w:val="11"/>
          </w:tcPr>
          <w:p>
            <w:pPr>
              <w:jc w:val="center"/>
              <w:ind w:right="179"/>
              <w:spacing w:after="0"/>
              <w:rPr>
                <w:sz w:val="20"/>
                <w:szCs w:val="20"/>
                <w:color w:val="auto"/>
              </w:rPr>
            </w:pPr>
            <w:r>
              <w:rPr>
                <w:rFonts w:ascii="Arial" w:cs="Arial" w:eastAsia="Arial" w:hAnsi="Arial"/>
                <w:sz w:val="14"/>
                <w:szCs w:val="14"/>
                <w:b w:val="1"/>
                <w:bCs w:val="1"/>
                <w:color w:val="auto"/>
                <w:w w:val="93"/>
              </w:rPr>
              <w:t>Fair Value Measurement at December 31, 2019 Using: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Restricted investment securities - landfill closure</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61"/>
              <w:spacing w:after="0"/>
              <w:rPr>
                <w:sz w:val="20"/>
                <w:szCs w:val="20"/>
                <w:color w:val="auto"/>
              </w:rPr>
            </w:pPr>
            <w:r>
              <w:rPr>
                <w:rFonts w:ascii="Arial" w:cs="Arial" w:eastAsia="Arial" w:hAnsi="Arial"/>
                <w:sz w:val="18"/>
                <w:szCs w:val="18"/>
                <w:color w:val="auto"/>
              </w:rPr>
              <w:t>1,586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0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9"/>
              <w:spacing w:after="0"/>
              <w:rPr>
                <w:sz w:val="20"/>
                <w:szCs w:val="20"/>
                <w:color w:val="auto"/>
              </w:rPr>
            </w:pPr>
            <w:r>
              <w:rPr>
                <w:rFonts w:ascii="Arial" w:cs="Arial" w:eastAsia="Arial" w:hAnsi="Arial"/>
                <w:sz w:val="18"/>
                <w:szCs w:val="18"/>
                <w:color w:val="auto"/>
              </w:rPr>
              <w:t>5,427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Pr>
          <w:p>
            <w:pPr>
              <w:ind w:left="1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11"/>
          </w:tcPr>
          <w:p>
            <w:pPr>
              <w:jc w:val="center"/>
              <w:ind w:right="139"/>
              <w:spacing w:after="0"/>
              <w:rPr>
                <w:sz w:val="20"/>
                <w:szCs w:val="20"/>
                <w:color w:val="auto"/>
              </w:rPr>
            </w:pPr>
            <w:r>
              <w:rPr>
                <w:rFonts w:ascii="Arial" w:cs="Arial" w:eastAsia="Arial" w:hAnsi="Arial"/>
                <w:sz w:val="14"/>
                <w:szCs w:val="14"/>
                <w:b w:val="1"/>
                <w:bCs w:val="1"/>
                <w:color w:val="auto"/>
                <w:w w:val="93"/>
              </w:rPr>
              <w:t>Fair Value Measurement at December 31, 2018 Using:</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4"/>
              </w:rPr>
              <w:t>Significant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Restricted investment securities - landfill closure</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1"/>
              <w:spacing w:after="0"/>
              <w:rPr>
                <w:sz w:val="20"/>
                <w:szCs w:val="20"/>
                <w:color w:val="auto"/>
              </w:rPr>
            </w:pPr>
            <w:r>
              <w:rPr>
                <w:rFonts w:ascii="Arial" w:cs="Arial" w:eastAsia="Arial" w:hAnsi="Arial"/>
                <w:sz w:val="18"/>
                <w:szCs w:val="18"/>
                <w:color w:val="auto"/>
              </w:rPr>
              <w:t>1,248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rate swaps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820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1,248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820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9"/>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580" w:firstLine="8"/>
        <w:spacing w:after="0" w:line="378" w:lineRule="auto"/>
        <w:tabs>
          <w:tab w:leader="none" w:pos="31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Contribution Plan</w:t>
      </w:r>
    </w:p>
    <w:p>
      <w:pPr>
        <w:ind w:right="140"/>
        <w:spacing w:after="0" w:line="257" w:lineRule="auto"/>
        <w:rPr>
          <w:sz w:val="20"/>
          <w:szCs w:val="20"/>
          <w:color w:val="auto"/>
        </w:rPr>
      </w:pPr>
      <w:r>
        <w:rPr>
          <w:rFonts w:ascii="Arial" w:cs="Arial" w:eastAsia="Arial" w:hAnsi="Arial"/>
          <w:sz w:val="18"/>
          <w:szCs w:val="18"/>
          <w:color w:val="auto"/>
        </w:rPr>
        <w:t>We offer our eligible employees the opportunity to contribute to a 401(k) plan (“401(k) Plan”). Under the provisions of the 401(k) Plan participants may direct us to defer a portion of their compensation to the 401(k) Plan, subject to Internal Revenue Code limitations. We provide an employer matching contribution equal to fifty cents for every dollar an employee invests in the 401(k) Plan up to our maximum match of one thousand dollars per employee per calendar year, subject to revision. Participants vest in employer contributions ratable over a three year period. Employer contributions for fiscal years 2019, 2018 and 2017 amounted to $1,608, $1,319 and $1,817,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offer our eligible employees the opportunity to participate in an employee stock purchase plan. Under this plan, qualified employees may purchase shares of Class A common stock by payroll deduction at a 15% discount from the market price. During fiscal years 2019, 2018 and 2017, 23, 26 and 41 shares, respectively, of Class A common stock were issued under this plan. As of December 31, 2019, 94 shares of Class A common stock were available for distribution under this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Pension Plan provides retirement benefits to participants based on their service to contributing employers. We do not administer the Pension Plan. The risks of participating in a multiemployer pension plan are different from a single-employer pension plan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October 2019, we reached an agreement to withdraw from the Pension Plan by entering into Withdrawal and Re-entry Agreements with the Pension Plan. In accordance with FASB ASC 450 - Contingencies, because of our withdrawal from the Pension Plan, we recorded an obligation of $3,194 as of September 30, 2019 and a charge of $3,591 as pension withdrawal expense, offset by a $397 retroactive contribution credit recorded as cost of operations, in fiscal year 2019. While the withdrawal generates a fixed yearly contingent liability for us for a period of approximately seventeen (17) years, it caps our gross payments at $4,224 significantly reducing our cash exposure from the potential $18,511 withdrawal liability as determined based on a complete withdrawal. As per the Re-entry Agreements and upon withdrawal, we re-entered the Pension Plan with certainty from a liability perspective. We have not, however, changed the terms of our CBA with Local 170, which remains in effect until June 30, 2020. As of December 31, 2019, we had a remaining obligation of $1,838 associated with our withdrawal.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status of the Pension Plan:</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Funding</w:t>
            </w:r>
          </w:p>
        </w:tc>
        <w:tc>
          <w:tcPr>
            <w:tcW w:w="1900" w:type="dxa"/>
            <w:vAlign w:val="bottom"/>
            <w:tcBorders>
              <w:bottom w:val="single" w:sz="8" w:color="auto"/>
            </w:tcBorders>
            <w:gridSpan w:val="6"/>
          </w:tcPr>
          <w:p>
            <w:pPr>
              <w:jc w:val="center"/>
              <w:ind w:left="442"/>
              <w:spacing w:after="0"/>
              <w:rPr>
                <w:sz w:val="20"/>
                <w:szCs w:val="20"/>
                <w:color w:val="auto"/>
              </w:rPr>
            </w:pPr>
            <w:r>
              <w:rPr>
                <w:rFonts w:ascii="Arial" w:cs="Arial" w:eastAsia="Arial" w:hAnsi="Arial"/>
                <w:sz w:val="14"/>
                <w:szCs w:val="14"/>
                <w:b w:val="1"/>
                <w:bCs w:val="1"/>
                <w:color w:val="auto"/>
                <w:w w:val="94"/>
              </w:rPr>
              <w:t>Contributions to Plan</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80" w:type="dxa"/>
            <w:vAlign w:val="bottom"/>
            <w:gridSpan w:val="5"/>
            <w:vMerge w:val="restart"/>
          </w:tcPr>
          <w:p>
            <w:pPr>
              <w:jc w:val="center"/>
              <w:ind w:right="30"/>
              <w:spacing w:after="0" w:line="153" w:lineRule="exact"/>
              <w:rPr>
                <w:sz w:val="20"/>
                <w:szCs w:val="20"/>
                <w:color w:val="auto"/>
              </w:rPr>
            </w:pPr>
            <w:r>
              <w:rPr>
                <w:rFonts w:ascii="Arial" w:cs="Arial" w:eastAsia="Arial" w:hAnsi="Arial"/>
                <w:sz w:val="14"/>
                <w:szCs w:val="14"/>
                <w:b w:val="1"/>
                <w:bCs w:val="1"/>
                <w:color w:val="auto"/>
                <w:w w:val="92"/>
              </w:rPr>
              <w:t>Fiscal Year Ended</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Improvement or</w:t>
            </w:r>
          </w:p>
        </w:tc>
        <w:tc>
          <w:tcPr>
            <w:tcW w:w="620" w:type="dxa"/>
            <w:vAlign w:val="bottom"/>
          </w:tcPr>
          <w:p>
            <w:pPr>
              <w:spacing w:after="0"/>
              <w:rPr>
                <w:sz w:val="7"/>
                <w:szCs w:val="7"/>
                <w:color w:val="auto"/>
              </w:rPr>
            </w:pPr>
          </w:p>
        </w:tc>
        <w:tc>
          <w:tcPr>
            <w:tcW w:w="1280" w:type="dxa"/>
            <w:vAlign w:val="bottom"/>
            <w:gridSpan w:val="5"/>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Pension Protection Act Zone Status</w:t>
            </w:r>
          </w:p>
        </w:tc>
        <w:tc>
          <w:tcPr>
            <w:tcW w:w="1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EIN/Pension</w:t>
            </w:r>
          </w:p>
        </w:tc>
        <w:tc>
          <w:tcPr>
            <w:tcW w:w="2680" w:type="dxa"/>
            <w:vAlign w:val="bottom"/>
            <w:gridSpan w:val="3"/>
            <w:vMerge w:val="continue"/>
          </w:tcPr>
          <w:p>
            <w:pPr>
              <w:spacing w:after="0"/>
              <w:rPr>
                <w:sz w:val="10"/>
                <w:szCs w:val="10"/>
                <w:color w:val="auto"/>
              </w:rPr>
            </w:pPr>
          </w:p>
        </w:tc>
        <w:tc>
          <w:tcPr>
            <w:tcW w:w="148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5"/>
              </w:rPr>
              <w:t>Rehabilitation Plan</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Expiration Date of</w:t>
            </w:r>
          </w:p>
        </w:tc>
        <w:tc>
          <w:tcPr>
            <w:tcW w:w="0" w:type="dxa"/>
            <w:vAlign w:val="bottom"/>
          </w:tcPr>
          <w:p>
            <w:pPr>
              <w:spacing w:after="0"/>
              <w:rPr>
                <w:sz w:val="1"/>
                <w:szCs w:val="1"/>
                <w:color w:val="auto"/>
              </w:rPr>
            </w:pPr>
          </w:p>
        </w:tc>
      </w:tr>
      <w:tr>
        <w:trPr>
          <w:trHeight w:val="197"/>
        </w:trPr>
        <w:tc>
          <w:tcPr>
            <w:tcW w:w="18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Plan Number</w:t>
            </w: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CBA</w:t>
            </w:r>
          </w:p>
        </w:tc>
        <w:tc>
          <w:tcPr>
            <w:tcW w:w="0" w:type="dxa"/>
            <w:vAlign w:val="bottom"/>
          </w:tcPr>
          <w:p>
            <w:pPr>
              <w:spacing w:after="0"/>
              <w:rPr>
                <w:sz w:val="1"/>
                <w:szCs w:val="1"/>
                <w:color w:val="auto"/>
              </w:rPr>
            </w:pPr>
          </w:p>
        </w:tc>
      </w:tr>
      <w:tr>
        <w:trPr>
          <w:trHeight w:val="228"/>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New England Teamsters</w:t>
            </w:r>
          </w:p>
        </w:tc>
        <w:tc>
          <w:tcPr>
            <w:tcW w:w="1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Trucking Industry</w:t>
            </w:r>
          </w:p>
        </w:tc>
        <w:tc>
          <w:tcPr>
            <w:tcW w:w="11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Critical and</w:t>
            </w:r>
          </w:p>
        </w:tc>
        <w:tc>
          <w:tcPr>
            <w:tcW w:w="13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Critical and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Fund</w:t>
            </w:r>
          </w:p>
        </w:tc>
        <w:tc>
          <w:tcPr>
            <w:tcW w:w="118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89"/>
              </w:rPr>
              <w:t>04-6372430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declining</w:t>
            </w:r>
          </w:p>
        </w:tc>
        <w:tc>
          <w:tcPr>
            <w:tcW w:w="13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declining</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Implemented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409</w:t>
            </w:r>
          </w:p>
        </w:tc>
        <w:tc>
          <w:tcPr>
            <w:tcW w:w="9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726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June 30, 2020</w:t>
            </w:r>
          </w:p>
        </w:tc>
        <w:tc>
          <w:tcPr>
            <w:tcW w:w="0" w:type="dxa"/>
            <w:vAlign w:val="bottom"/>
          </w:tcPr>
          <w:p>
            <w:pPr>
              <w:spacing w:after="0"/>
              <w:rPr>
                <w:sz w:val="1"/>
                <w:szCs w:val="1"/>
                <w:color w:val="auto"/>
              </w:rPr>
            </w:pPr>
          </w:p>
        </w:tc>
      </w:tr>
      <w:tr>
        <w:trPr>
          <w:trHeight w:val="27"/>
        </w:trPr>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status is based on the latest plan information for the plan year ended September 30, 2019 that we received from the Pension Plan and is certified by the Pension Plans’ actuary. Plans with a “critical and declining” status are funded at less than 65%, have a projected funding deficiency in the current or next four plan years and have a projected insolvency date which is less than the 20-year minimum statutory requirement. Our contributions to the Pension Plan represent less than 5% of total contributions to such plan for the plan year ended September 30, 2018 and a rehabilitation plan has been implemented with no surcharge imposed. Under current law regarding multiemployer benefit plans, a plan’s termination, our voluntary withdrawal, or the withdrawal of all contributing employers from any under-funded multiemployer pension plan would require us to make payments to the plan for our proportionate share of the multiemployer plan’s unfunded vested liabilities. We could have adjustments to estimates for these matters in the near term that could have a material effect on its consolidated financial position, results of operations or cash flows. At the date these financial statements were issued, a Form 5500 was not available for the plan year ended September 30,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benefit for income taxes is as follows:</w:t>
      </w:r>
    </w:p>
    <w:p>
      <w:pPr>
        <w:spacing w:after="0" w:line="5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340"/>
              <w:spacing w:after="0"/>
              <w:rPr>
                <w:sz w:val="20"/>
                <w:szCs w:val="20"/>
                <w:color w:val="auto"/>
              </w:rPr>
            </w:pPr>
            <w:r>
              <w:rPr>
                <w:rFonts w:ascii="Arial" w:cs="Arial" w:eastAsia="Arial" w:hAnsi="Arial"/>
                <w:sz w:val="18"/>
                <w:szCs w:val="18"/>
                <w:color w:val="auto"/>
              </w:rPr>
              <w:t>Current</w:t>
            </w:r>
          </w:p>
        </w:tc>
        <w:tc>
          <w:tcPr>
            <w:tcW w:w="32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29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29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340"/>
              <w:spacing w:after="0"/>
              <w:rPr>
                <w:sz w:val="20"/>
                <w:szCs w:val="20"/>
                <w:color w:val="auto"/>
              </w:rPr>
            </w:pPr>
            <w:r>
              <w:rPr>
                <w:rFonts w:ascii="Arial" w:cs="Arial" w:eastAsia="Arial" w:hAnsi="Arial"/>
                <w:sz w:val="18"/>
                <w:szCs w:val="18"/>
                <w:color w:val="auto"/>
              </w:rPr>
              <w:t>Current</w:t>
            </w:r>
          </w:p>
        </w:tc>
        <w:tc>
          <w:tcPr>
            <w:tcW w:w="2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benefit of loss carryforwards</w:t>
            </w:r>
          </w:p>
        </w:tc>
        <w:tc>
          <w:tcPr>
            <w:tcW w:w="2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340"/>
              <w:spacing w:after="0"/>
              <w:rPr>
                <w:sz w:val="20"/>
                <w:szCs w:val="20"/>
                <w:color w:val="auto"/>
              </w:rPr>
            </w:pPr>
            <w:r>
              <w:rPr>
                <w:rFonts w:ascii="Arial" w:cs="Arial" w:eastAsia="Arial" w:hAnsi="Arial"/>
                <w:sz w:val="18"/>
                <w:szCs w:val="18"/>
                <w:color w:val="auto"/>
              </w:rPr>
              <w:t>Deferred</w:t>
            </w:r>
          </w:p>
        </w:tc>
        <w:tc>
          <w:tcPr>
            <w:tcW w:w="2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29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00" w:type="dxa"/>
            <w:vAlign w:val="bottom"/>
            <w:vMerge w:val="restart"/>
          </w:tcPr>
          <w:p>
            <w:pPr>
              <w:jc w:val="right"/>
              <w:ind w:right="1270"/>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43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fiscal years 2019 and 2018, we recognized a $(2,385) and $(937) deferred tax benefit, respectively, due to a reduction of the valuation allowance on acquisitions.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$2,385 and $937 deferred tax liability recorded through goodwill on the acquisition of a company in May 2019 and the acquisition of two companies in January 2018, respectively. The deferred tax liabilities related to the acquisitions were based on the impact of temporary differences between the amounts of assets and liabilities recognized for financial reporting purposes and such amounts recognized for income tax purposes. The valuation allowance was reduced by $(2,137) and $(1,635) in the quarters ended June 30, 2019 and March 31, 2018, respectively, with the offsetting increase in the goodwill, based on initial estimates of the acquired temporary differences. The valuation allowance was decreased by $(248) in the quarter ended December 31, 2019 and increased by $698 in subsequent quarters of fiscal year 2018, with an offsetting adjustment to goodwill, based on the availability of better estimates upon the filing of the prior year returns by the sellers.</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2019, we recognized a $(297) deferred tax benefit due to a reduction of the deferred tax liability related to indefinite lived assets. The financial statement value of indefinite lived goodwill was reduced as a result of a settlement of an acquisition contingency that pre-dated the effective date of ASC 805, which resulted in a reduction of the related deferred tax liability.</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Tax Cuts and Jobs Act was enacted. The Tax Cuts and Jobs Act, which is also commonly referred to as “U.S. tax reform,” significantly changes United States corporate income tax laws by, among other things, reducing the US corporate income tax rate from 35% to 21% starting in 2018. Under the Tax Cuts and Jobs Act, federal net operating loss carryforwards generated as of the end of 2017 continue to be carried forward for 20 years and are generally available to fully offset taxable income earned in a tax year. Federal net operating losses generated after 2017 will be carried forward indefinitely, but generally may only offset up to 80% of taxable income earned in future tax years. In fiscal year 2017, we revalued our deferred taxes due to these changes, including (a) revaluing our federal net deferred taxes before valuation allowance using the 21% tax rate resulting in an increased net federal deferred tax provision of $33,700; (b) revaluing our federal valuation allowance using the 21% tax rate, including the impact of tax planning strategies, resulting in a federal deferred tax benefit to continuing operations of $(36,556); and (c) recognizing a federal deferred tax benefit of $(12,758) for 80% of indefinite lived deferred tax liabilities, which are anticipated to be available as a source of taxable income upon reversal of deferred tax assets that would also have indefinite lives.</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differences in the benefit for income taxes and the amounts determined by applying the Federal statutory rate to income before provision for income taxes are as follows:</w:t>
      </w:r>
    </w:p>
    <w:p>
      <w:pPr>
        <w:ind w:left="86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710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Tax at statutory rate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6,254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(12,968)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(1,959)</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w w:val="90"/>
              </w:rPr>
              <w:t>Decrease in net federal deferred tax assets before valuation allowance change due to federal rate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33,700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Decrease in valuation allowance by 80% of indefinite lived deferred liabilities due to US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reform</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(12,758)</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w w:val="98"/>
              </w:rPr>
              <w:t>Other changes in valuation allowance, including the federal rate change in fiscal year 2017</w:t>
            </w: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(18,848)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Deductible stock awards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(1,825)</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542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officer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(1,000)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(15,253)</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Deferred income taxes reflect the impact of temporary differences between the amounts of assets and liabilities recognized for financial reporting purposes and such amounts recognized for income tax purposes. A summary of deferred tax assets and liabilities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196"/>
        </w:trPr>
        <w:tc>
          <w:tcPr>
            <w:tcW w:w="83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45,900</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31,241</w:t>
            </w:r>
          </w:p>
        </w:tc>
      </w:tr>
      <w:tr>
        <w:trPr>
          <w:trHeight w:val="27"/>
        </w:trPr>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 and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36,342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34,647</w:t>
            </w: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General business tax credit carryforwards</w:t>
            </w:r>
          </w:p>
        </w:tc>
        <w:tc>
          <w:tcPr>
            <w:tcW w:w="3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6,273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6,192</w:t>
            </w:r>
          </w:p>
        </w:tc>
      </w:tr>
      <w:tr>
        <w:trPr>
          <w:trHeight w:val="27"/>
        </w:trPr>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 over tax depreciation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19,048</w:t>
            </w: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Unrealized loss on hedges and swaps</w:t>
            </w:r>
          </w:p>
        </w:tc>
        <w:tc>
          <w:tcPr>
            <w:tcW w:w="3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awards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2,310</w:t>
            </w: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Alternative minimum tax credit carryforwards</w:t>
            </w:r>
          </w:p>
        </w:tc>
        <w:tc>
          <w:tcPr>
            <w:tcW w:w="3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1,902</w:t>
            </w:r>
          </w:p>
        </w:tc>
      </w:tr>
      <w:tr>
        <w:trPr>
          <w:trHeight w:val="27"/>
        </w:trPr>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3,023</w:t>
            </w:r>
          </w:p>
        </w:tc>
      </w:tr>
      <w:tr>
        <w:trPr>
          <w:trHeight w:val="237"/>
        </w:trPr>
        <w:tc>
          <w:tcPr>
            <w:tcW w:w="8300" w:type="dxa"/>
            <w:vAlign w:val="bottom"/>
          </w:tcPr>
          <w:p>
            <w:pPr>
              <w:ind w:left="6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98,438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98,363</w:t>
            </w:r>
          </w:p>
        </w:tc>
      </w:tr>
      <w:tr>
        <w:trPr>
          <w:trHeight w:val="27"/>
        </w:trPr>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(69,402)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(69,189)</w:t>
            </w:r>
          </w:p>
        </w:tc>
      </w:tr>
      <w:tr>
        <w:trPr>
          <w:trHeight w:val="237"/>
        </w:trPr>
        <w:tc>
          <w:tcPr>
            <w:tcW w:w="8300" w:type="dxa"/>
            <w:vAlign w:val="bottom"/>
          </w:tcPr>
          <w:p>
            <w:pPr>
              <w:ind w:left="660"/>
              <w:spacing w:after="0"/>
              <w:rPr>
                <w:sz w:val="20"/>
                <w:szCs w:val="20"/>
                <w:color w:val="auto"/>
              </w:rPr>
            </w:pPr>
            <w:r>
              <w:rPr>
                <w:rFonts w:ascii="Arial" w:cs="Arial" w:eastAsia="Arial" w:hAnsi="Arial"/>
                <w:sz w:val="18"/>
                <w:szCs w:val="18"/>
                <w:color w:val="auto"/>
              </w:rPr>
              <w:t>Total deferred tax assets after valuation allowance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29,036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29,174</w:t>
            </w:r>
          </w:p>
        </w:tc>
      </w:tr>
      <w:tr>
        <w:trPr>
          <w:trHeight w:val="27"/>
        </w:trPr>
        <w:tc>
          <w:tcPr>
            <w:tcW w:w="8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(22,910)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(22,026)</w:t>
            </w:r>
          </w:p>
        </w:tc>
      </w:tr>
      <w:tr>
        <w:trPr>
          <w:trHeight w:val="27"/>
        </w:trPr>
        <w:tc>
          <w:tcPr>
            <w:tcW w:w="8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8300" w:type="dxa"/>
            <w:vAlign w:val="bottom"/>
          </w:tcPr>
          <w:p>
            <w:pPr>
              <w:ind w:left="6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(23,102)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(22,099)</w:t>
            </w:r>
          </w:p>
        </w:tc>
      </w:tr>
      <w:tr>
        <w:trPr>
          <w:trHeight w:val="27"/>
        </w:trPr>
        <w:tc>
          <w:tcPr>
            <w:tcW w:w="8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5,934</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7,075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net deferred tax asset at December 31, 2019 is reflected on the balance sheet as a long-term deferred federal tax asset of $8,577 and a long-term deferred state tax liability of $(2,643).</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2019, we have, for federal income tax purposes, net operating loss carryforwards of approximately $110,587 that expire in the fiscal years ending December 31, 2031 through 2037 and $67,399, which do not expire. We have state net operating loss carryforwards of approximately $101,628 that expire in the fiscal years ending December 31, 2020 through 2039. In addition, we have $951 minimum tax credit carryforwards which are fully refundable for tax years 2020 through 2021, if not otherwise used to offset tax liabilities. We also have $6,273 general business credit carryforwards which expire in the fiscal years ending December 31, 2022 through 2039. Sections 382 and 383 of the Internal Revenue Code can limit the amount of net operating loss and credit carryforwards which may be used in a tax year in the event of certain stock ownership changes. With the exception of $1,756 federal net operating losses we acquired through acquisitions, we are not currently subject to these limitations but could become subject to them if there were significant changes in the ownership of our stock.</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assessing the realizability of carryforwards and other deferred tax assets, management considers whether it is more likely than not that some portion or all of the deferred tax assets will not be realized. We adjust the valuation allowance in the period management determines it is more likely than not that deferred tax assets will or will not be realized. The change in the valuation allowance was an increase of $213 and $834 from fiscal years 2019 and 2018, respectively. In determining the need for a valuation allowance, we have assessed the available means of recovering deferred tax assets, including the ability to carryback net operating losses, the existence of reversing temporary differences, and available sources of future taxable income. We have also considered the ability to implement certain strategies, such as a potential sale of assets that would, if necessary, be implemented to accelerate taxable income and use expiring deferred tax assets.</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net deferred tax assets include deferred tax liabilities related to amortizable goodwill, which are anticipated to reverse in an indefinite future period and to generate future taxable income upon reversal. Prior to the Tax Cuts and Jobs Act, federal net operating losses, including potential losses from the reversal of deferred tax assets, could only be carried forward for 20 years. The reversal of the indefinite lived goodwill was not available as a source of future taxable income since it was uncertain whether the income generated would be available in the same tax periods in which losses from the reversal of deferred tax assets could be utilized. As such, prior to the Tax Cuts and Jobs Act we did not treat the reversal of amortizable goodwill as an available source of taxable income in determining the valuation allowance.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Beginning in 2018 under the Tax Cuts and Jobs Act, future federal net operating losses generated may be carried forward indefinitely and generally may offset up to 80% of taxable income earned in a tax year. Because potential losses from the reversal of deferred tax assets in future years may be carried forward indefinitely, we consider it more likely than not that 80% of the reversal of deferred tax liabilities for amortizable goodwill will be available as a source of taxable income.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fourth quarter of 2017, we revalued our net federal deferred tax assets using the 21% tax rate as enacted under the Tax Cuts and Jobs Act. The valuation allowance was also adjusted in this quarter due to the federal tax rate change and to recognize a $(12,758) federal deferred tax benefit for 80% of deferred tax liabilities for amortizable goodwill. Due to the Tax Cuts and Jobs Act, we recognized a $(15,614) federal deferred tax benefit in 2017 and decreased our total valuation allowance by $(29,234). We believe we are able to support the deferred tax assets recognized as of the end of fiscal years 2019 and 2018 based on all of the available evidence.</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provisions of FASB ASC 740-10-25-5 prescribe the minimum recognition threshold that a tax position is required to meet before being recognized in the financial statements. Additionally, FASB ASC 740-10-25-5 provides guidance on de-recognition, measurement, classification, interest and penalties, accounting in interim periods, disclosure and transition. Under FASB ASC 740-10-25-5, an entity may only recognize or continue to recognize tax positions that meet a “more likely than not” threshold.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Fiscal Year Ended December 31,</w:t>
            </w:r>
          </w:p>
        </w:tc>
      </w:tr>
      <w:tr>
        <w:trPr>
          <w:trHeight w:val="196"/>
        </w:trPr>
        <w:tc>
          <w:tcPr>
            <w:tcW w:w="83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period</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1,941</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Reductions resulting from lapse of statute of limitations</w:t>
            </w:r>
          </w:p>
        </w:tc>
        <w:tc>
          <w:tcPr>
            <w:tcW w:w="10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(1,939)</w:t>
            </w:r>
          </w:p>
        </w:tc>
      </w:tr>
      <w:tr>
        <w:trPr>
          <w:trHeight w:val="27"/>
        </w:trPr>
        <w:tc>
          <w:tcPr>
            <w:tcW w:w="8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end of period</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fiscal year 2018 reductions resulting from a lapse of the statute of limitations primarily related to unrecognized benefits which had reduced net operating loss carryforwards. The tax positions primarily related to fiscal years 2007 and prior and, based on administrative practice of the tax authorities, we have reduced the unrecognized tax benefits.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balances at December 31, 2019 and December 31, 2018 are $1 and $2, respectively, of unrecognized tax benefits (net of the federal benefit on state issues) that, if recognized, would favorably affect the effective income tax rate in future periods. We anticipate $0 of unrecognized tax benefits to reverse within the next 12 months due to the expiration of the applicable statute of limitations.</w:t>
      </w:r>
    </w:p>
    <w:p>
      <w:pPr>
        <w:spacing w:after="0" w:line="7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Our continuing practice is to recognize interest and penalties related to income tax matters in income tax expense. Related to uncertain tax positions during fiscal years 2019, 2018 and 2017, we have accrued interest of $1, $2 and $3 and penalties of $1, $1 and $2, respectively. We accrued $(1), $(2) and $(3) for interest and penalties in income tax expense related to uncertain tax positions during fiscal years 2019, 2018 and 2017, respectively.</w:t>
      </w:r>
    </w:p>
    <w:p>
      <w:pPr>
        <w:spacing w:after="0" w:line="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 the extent interest and penalties are not assessed with respect to uncertain tax positions, amounts accrued will be reduced and reflected as a reduction of the overall income tax provision.</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Due to Federal and state net operating loss carryforwards, income tax returns from years ending in 1998 through 2019 remain open for examination, with limited exceptions.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180" w:firstLine="8"/>
        <w:spacing w:after="0" w:line="425" w:lineRule="auto"/>
        <w:tabs>
          <w:tab w:leader="none" w:pos="31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OTHER ITEMS AND CHARGES Southbridge Landfill Closure Charge, Net</w:t>
      </w:r>
    </w:p>
    <w:p>
      <w:pPr>
        <w:spacing w:after="0" w:line="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June 2017, we initiated the plan to cease operations of our Southbridge Landfill and later closed it in November 2018 when Southbridge Landfill reached its final capacity</w:t>
      </w:r>
      <w:r>
        <w:rPr>
          <w:rFonts w:ascii="Arial" w:cs="Arial" w:eastAsia="Arial" w:hAnsi="Arial"/>
          <w:sz w:val="16"/>
          <w:szCs w:val="16"/>
          <w:i w:val="1"/>
          <w:iCs w:val="1"/>
          <w:color w:val="auto"/>
        </w:rPr>
        <w:t>.</w:t>
      </w:r>
      <w:r>
        <w:rPr>
          <w:rFonts w:ascii="Arial" w:cs="Arial" w:eastAsia="Arial" w:hAnsi="Arial"/>
          <w:sz w:val="16"/>
          <w:szCs w:val="16"/>
          <w:color w:val="auto"/>
        </w:rPr>
        <w:t xml:space="preserve"> Accordingly, in fiscal years 2019, 2018 and 2017, we recorded charges associated with the closure of our Southbridge Landfill as follows:</w:t>
      </w:r>
    </w:p>
    <w:p>
      <w:pPr>
        <w:spacing w:after="0" w:line="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673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Asset impairment charge </w:t>
            </w:r>
            <w:r>
              <w:rPr>
                <w:rFonts w:ascii="Arial" w:cs="Arial" w:eastAsia="Arial" w:hAnsi="Arial"/>
                <w:sz w:val="14"/>
                <w:szCs w:val="14"/>
                <w:color w:val="auto"/>
              </w:rPr>
              <w:t>(1)</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47,999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Project development charge </w:t>
            </w:r>
            <w:r>
              <w:rPr>
                <w:rFonts w:ascii="Arial" w:cs="Arial" w:eastAsia="Arial" w:hAnsi="Arial"/>
                <w:sz w:val="14"/>
                <w:szCs w:val="14"/>
                <w:color w:val="auto"/>
              </w:rPr>
              <w:t>(2)</w:t>
            </w:r>
          </w:p>
        </w:tc>
        <w:tc>
          <w:tcPr>
            <w:tcW w:w="92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9,149</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Environmental remediation charge </w:t>
            </w:r>
            <w:r>
              <w:rPr>
                <w:rFonts w:ascii="Arial" w:cs="Arial" w:eastAsia="Arial" w:hAnsi="Arial"/>
                <w:sz w:val="14"/>
                <w:szCs w:val="14"/>
                <w:color w:val="auto"/>
              </w:rPr>
              <w:t>(3)</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6,379</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Contract settlement charge </w:t>
            </w:r>
            <w:r>
              <w:rPr>
                <w:rFonts w:ascii="Arial" w:cs="Arial" w:eastAsia="Arial" w:hAnsi="Arial"/>
                <w:sz w:val="14"/>
                <w:szCs w:val="14"/>
                <w:color w:val="auto"/>
              </w:rPr>
              <w:t>(4)</w:t>
            </w:r>
          </w:p>
        </w:tc>
        <w:tc>
          <w:tcPr>
            <w:tcW w:w="92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Landfill closure project charge </w:t>
            </w:r>
            <w:r>
              <w:rPr>
                <w:rFonts w:ascii="Arial" w:cs="Arial" w:eastAsia="Arial" w:hAnsi="Arial"/>
                <w:sz w:val="14"/>
                <w:szCs w:val="14"/>
                <w:color w:val="auto"/>
              </w:rPr>
              <w:t>(5)</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Charlton settlement charge </w:t>
            </w:r>
            <w:r>
              <w:rPr>
                <w:rFonts w:ascii="Arial" w:cs="Arial" w:eastAsia="Arial" w:hAnsi="Arial"/>
                <w:sz w:val="14"/>
                <w:szCs w:val="14"/>
                <w:color w:val="auto"/>
              </w:rPr>
              <w:t>(6)</w:t>
            </w:r>
          </w:p>
        </w:tc>
        <w:tc>
          <w:tcPr>
            <w:tcW w:w="92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Legal and transaction costs </w:t>
            </w:r>
            <w:r>
              <w:rPr>
                <w:rFonts w:ascii="Arial" w:cs="Arial" w:eastAsia="Arial" w:hAnsi="Arial"/>
                <w:sz w:val="14"/>
                <w:szCs w:val="14"/>
                <w:color w:val="auto"/>
              </w:rPr>
              <w:t>(7)</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2,709</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1,656</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Recovery on insurance settlement </w:t>
            </w:r>
            <w:r>
              <w:rPr>
                <w:rFonts w:ascii="Arial" w:cs="Arial" w:eastAsia="Arial" w:hAnsi="Arial"/>
                <w:sz w:val="14"/>
                <w:szCs w:val="14"/>
                <w:color w:val="auto"/>
              </w:rPr>
              <w:t>(8)</w:t>
            </w:r>
          </w:p>
        </w:tc>
        <w:tc>
          <w:tcPr>
            <w:tcW w:w="92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Southbridge Landfill closure charge, net</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2,709</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8,054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65,183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00" w:right="100" w:hanging="330"/>
        <w:spacing w:after="0" w:line="264" w:lineRule="auto"/>
        <w:tabs>
          <w:tab w:leader="none" w:pos="49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performed a test of recoverability under FASB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19" w:lineRule="exact"/>
        <w:rPr>
          <w:rFonts w:ascii="Arial" w:cs="Arial" w:eastAsia="Arial" w:hAnsi="Arial"/>
          <w:sz w:val="18"/>
          <w:szCs w:val="18"/>
          <w:color w:val="auto"/>
        </w:rPr>
      </w:pPr>
    </w:p>
    <w:p>
      <w:pPr>
        <w:ind w:left="480" w:hanging="310"/>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installation of a municipal waterline.</w:t>
      </w:r>
    </w:p>
    <w:p>
      <w:pPr>
        <w:spacing w:after="0" w:line="63" w:lineRule="exact"/>
        <w:rPr>
          <w:rFonts w:ascii="Arial" w:cs="Arial" w:eastAsia="Arial" w:hAnsi="Arial"/>
          <w:sz w:val="18"/>
          <w:szCs w:val="18"/>
          <w:color w:val="auto"/>
        </w:rPr>
      </w:pPr>
    </w:p>
    <w:p>
      <w:pPr>
        <w:ind w:left="500" w:right="180" w:hanging="330"/>
        <w:spacing w:after="0" w:line="277" w:lineRule="auto"/>
        <w:tabs>
          <w:tab w:leader="none" w:pos="49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recorded a contract settlement charge associated with the closure of Southbridge Landfill and the remaining future obligations due to the Town of Southbridge under the landfill operating agreement with the Town of Southbridge.</w:t>
      </w:r>
    </w:p>
    <w:p>
      <w:pPr>
        <w:spacing w:after="0" w:line="8" w:lineRule="exact"/>
        <w:rPr>
          <w:rFonts w:ascii="Arial" w:cs="Arial" w:eastAsia="Arial" w:hAnsi="Arial"/>
          <w:sz w:val="18"/>
          <w:szCs w:val="18"/>
          <w:color w:val="auto"/>
        </w:rPr>
      </w:pPr>
    </w:p>
    <w:p>
      <w:pPr>
        <w:ind w:left="480" w:hanging="310"/>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recorded a landfill closure project charge associated with increased costs under the revised closure plan at our Southbridge Landfill.</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established a reserve associated with settlement of the Town of Charlton's claim against us.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incurred legal costs as well as other costs associated with various matters as part of the Southbridge Landfill closure.</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recorded a recovery on an environmental insurance settlement associated with the Southbridge Landfill closure.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fiscal year 2019, we recorded a charge of $2,687 associated primarily with acquisition activities. In fiscal year 2018, we recorded a charge of $1,872 associated with acquisition activities and the write-off of deferred costs related to the expiration of our shelf registration statement, and in fiscal year 2017, we recorded a charge of $176 associated with acquisition activities. See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 disclosure over acquisition activity.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fiscal year 2018, we recorded contract settlement charges of $2,100 associated with the termination and discounted buy-out of a commodities marketing and brokerage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fiscal year 2018, we recorded a development project charge of $311 associated with previously deferred costs that were written off as a result of the negative vote in a public referendum relating to the NCES Landfill.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is as follows:</w:t>
      </w:r>
    </w:p>
    <w:p>
      <w:pPr>
        <w:spacing w:after="0" w:line="5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13335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31,653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46,803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41,944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41,298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Shares to be issued - acquisition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Effect of weighted average shares outstanding</w:t>
            </w: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47,226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42,688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stock awards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47,966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44,168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41,846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100" w:firstLine="8"/>
        <w:spacing w:after="0" w:line="378" w:lineRule="auto"/>
        <w:tabs>
          <w:tab w:leader="none" w:pos="31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Services</w:t>
      </w:r>
    </w:p>
    <w:p>
      <w:pPr>
        <w:spacing w:after="0" w:line="257" w:lineRule="auto"/>
        <w:rPr>
          <w:sz w:val="20"/>
          <w:szCs w:val="20"/>
          <w:color w:val="auto"/>
        </w:rPr>
      </w:pPr>
      <w:r>
        <w:rPr>
          <w:rFonts w:ascii="Arial" w:cs="Arial" w:eastAsia="Arial" w:hAnsi="Arial"/>
          <w:sz w:val="18"/>
          <w:szCs w:val="18"/>
          <w:color w:val="auto"/>
        </w:rPr>
        <w:t>During fiscal years 2019, 2018 and 2017, we retained the services of Casella Construction, Inc. ("CCI"), a company substantially owned by sons of John Casella, our Chairman and Chief Executive Officer, and Douglas Casella, a member of our Board of Directors, as a contractor in developing or closing certain landfills owned by us as well as providing transportation services. Total purchased services charged to operations or capitalized to landfills for fiscal years 2019, 2018 and 2017 were $7,990, $3,442 and $3,398, respectively, of which $851 and $32 were outstanding and included in either accounts payable or other current liabilities as of December 31, 2019 and December 31, 2018, respectively.</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total purchased services, we provided various waste collection and disposal services to CCI. Total revenues recorded for fiscal years 2019, 2018 and 2017 were $132, $156 and $237,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fiscal year ended April 30, 1994, we entered into two leases for operating facilities with a partnership of which John Casella, our Chairman and Chief Executive Officer, and Douglas Casella, a member of our Board of Directors, are the general partners. The leases have since been extended through August 2023. The terms of the lease agreements require monthly payments of approximately $29. Total expense charged to operations for fiscal years 2019, 2018 and 2017 under these agreements was $339, $349 and $360,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Landfill Post-closure</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agreed to pay the cost of post-closure on a landfill owned by John Casella, our Chairman and Chief Executive Officer, and Douglas Casella, a member of our Board of Directors. We paid the cost of closing this landfill in 1992, and the post-closure maintenance obligations are expected to last until the fiscal year ending December 31, 2024. In fiscal years 2019, 2018 and 2017, we paid $9, $14 and $27, respectively, pursuant to this agreement. As of December 31, 2019 and December 31, 2018, we have accrued $37 and $48, respectively, for costs associated with its post-closure obligations.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REPORTING</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spacing w:after="0" w:line="252" w:lineRule="auto"/>
        <w:rPr>
          <w:sz w:val="20"/>
          <w:szCs w:val="20"/>
          <w:color w:val="auto"/>
        </w:rPr>
      </w:pPr>
      <w:r>
        <w:rPr>
          <w:rFonts w:ascii="Arial" w:cs="Arial" w:eastAsia="Arial" w:hAnsi="Arial"/>
          <w:sz w:val="18"/>
          <w:szCs w:val="18"/>
          <w:color w:val="auto"/>
        </w:rPr>
        <w:t>Our revenues in the Recycling segment are derived from municipalities and customers in the form of processing fees, tipping fees and commodity sales. Organics services, ancillary operations, along with major account and industrial services, are included in our Other segment. Effective January 1, 2020, we reorganized our operating segments as follows: we aligned our organics services and our major account and industrial services, with our Recycling segment to form the Resource Solutions segment, thus creating a single resource renewal-focused segment. We also moved our ancillary transportation services, which were previously included in our Other segment, into our Western region. Accordingly, as of January 1, 2020, our operating segments consist of the Eastern and Western regions and Resource Solutions.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Inter-company</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income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4"/>
                <w:szCs w:val="14"/>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1"/>
              </w:rPr>
              <w:t>Total assets</w:t>
            </w: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expenditures</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219,475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207,060</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343,399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97,339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47,666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41,883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63,540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141,054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598,910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56,688</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137,596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24,294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69,524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(163,920)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3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743,290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79,790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53,075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24,735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103,165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185,819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932,182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3840" w:type="dxa"/>
            <w:vAlign w:val="bottom"/>
            <w:gridSpan w:val="7"/>
          </w:tcPr>
          <w:p>
            <w:pPr>
              <w:spacing w:after="0"/>
              <w:rPr>
                <w:sz w:val="20"/>
                <w:szCs w:val="20"/>
                <w:color w:val="auto"/>
              </w:rPr>
            </w:pPr>
            <w:r>
              <w:rPr>
                <w:rFonts w:ascii="Arial" w:cs="Arial" w:eastAsia="Arial" w:hAnsi="Arial"/>
                <w:sz w:val="18"/>
                <w:szCs w:val="18"/>
                <w:b w:val="1"/>
                <w:bCs w:val="1"/>
                <w:color w:val="auto"/>
              </w:rPr>
              <w:t>Fiscal Year Ended December 31, 2018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Inter-company</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income</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5"/>
                <w:szCs w:val="15"/>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1"/>
              </w:rPr>
              <w:t>Total assets</w:t>
            </w: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expenditures</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206,473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23,393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184,679</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286,262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81,515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35,843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41,529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41,850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120,536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428,934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48,629</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125,734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26,017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70,168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(142,789)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3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660,660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70,508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39,733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26,021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73,232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162,734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732,410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3840" w:type="dxa"/>
            <w:vAlign w:val="bottom"/>
            <w:gridSpan w:val="7"/>
          </w:tcPr>
          <w:p>
            <w:pPr>
              <w:spacing w:after="0"/>
              <w:rPr>
                <w:sz w:val="20"/>
                <w:szCs w:val="20"/>
                <w:color w:val="auto"/>
              </w:rPr>
            </w:pPr>
            <w:r>
              <w:rPr>
                <w:rFonts w:ascii="Arial" w:cs="Arial" w:eastAsia="Arial" w:hAnsi="Arial"/>
                <w:sz w:val="18"/>
                <w:szCs w:val="18"/>
                <w:b w:val="1"/>
                <w:bCs w:val="1"/>
                <w:color w:val="auto"/>
              </w:rPr>
              <w:t>Fiscal Year Ended December 31, 2017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3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Outside</w:t>
            </w:r>
          </w:p>
        </w:tc>
        <w:tc>
          <w:tcPr>
            <w:tcW w:w="1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Inter-company</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Depreciation and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income</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5"/>
                <w:szCs w:val="15"/>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Pr>
          <w:p>
            <w:pPr>
              <w:spacing w:after="0"/>
              <w:rPr>
                <w:sz w:val="15"/>
                <w:szCs w:val="15"/>
                <w:color w:val="auto"/>
              </w:rPr>
            </w:pP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1"/>
              </w:rPr>
              <w:t>Total assets</w:t>
            </w: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26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 net</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expenditures</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181,170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50,335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157,248</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Western</w:t>
            </w: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250,771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71,510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30,766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35,035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42,082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89,369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344,324</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105,061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24,961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64,765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(123,972)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3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599,309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62,102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24,887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64,862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122,605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614,949</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Amount of our total revenue attributable to services provided are as follows:</w:t>
      </w:r>
    </w:p>
    <w:p>
      <w:pPr>
        <w:spacing w:after="0" w:line="55"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13335</wp:posOffset>
            </wp:positionV>
            <wp:extent cx="48882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372,041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50.1 %</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303,418</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Disposal</w:t>
            </w:r>
          </w:p>
        </w:tc>
        <w:tc>
          <w:tcPr>
            <w:tcW w:w="4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w w:val="89"/>
              </w:rPr>
              <w:t>181,895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181,110</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27.4 %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4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7,175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7,174</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564,687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496,831</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Organics</w:t>
            </w:r>
          </w:p>
        </w:tc>
        <w:tc>
          <w:tcPr>
            <w:tcW w:w="4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56,326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54,174</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solutions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67,464</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Recycling</w:t>
            </w:r>
          </w:p>
        </w:tc>
        <w:tc>
          <w:tcPr>
            <w:tcW w:w="4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42,820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42,191</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743,290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660,660</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599,309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340" w:type="dxa"/>
            <w:vAlign w:val="bottom"/>
            <w:gridSpan w:val="5"/>
          </w:tcPr>
          <w:p>
            <w:pPr>
              <w:spacing w:after="0"/>
              <w:rPr>
                <w:sz w:val="20"/>
                <w:szCs w:val="20"/>
                <w:color w:val="auto"/>
              </w:rPr>
            </w:pPr>
            <w:r>
              <w:rPr>
                <w:rFonts w:ascii="Arial" w:cs="Arial" w:eastAsia="Arial" w:hAnsi="Arial"/>
                <w:sz w:val="18"/>
                <w:szCs w:val="18"/>
                <w:b w:val="1"/>
                <w:bCs w:val="1"/>
                <w:color w:val="auto"/>
              </w:rPr>
              <w:t>21. QUARTERLY FINANCIAL INFORMATION (UNAUDITED)</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40" w:type="dxa"/>
            <w:vAlign w:val="bottom"/>
            <w:gridSpan w:val="11"/>
          </w:tcPr>
          <w:p>
            <w:pPr>
              <w:spacing w:after="0"/>
              <w:rPr>
                <w:sz w:val="20"/>
                <w:szCs w:val="20"/>
                <w:color w:val="auto"/>
              </w:rPr>
            </w:pPr>
            <w:r>
              <w:rPr>
                <w:rFonts w:ascii="Arial" w:cs="Arial" w:eastAsia="Arial" w:hAnsi="Arial"/>
                <w:sz w:val="18"/>
                <w:szCs w:val="18"/>
                <w:color w:val="auto"/>
                <w:w w:val="91"/>
              </w:rPr>
              <w:t>The following is a summary of certain items in the consolidated statements of operations by quarter: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 2019</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293"/>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163,664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187,459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198,547</w:t>
            </w:r>
          </w:p>
        </w:tc>
        <w:tc>
          <w:tcPr>
            <w:tcW w:w="4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193,619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15,544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18,485</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14,604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11,915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12,386</w:t>
            </w:r>
          </w:p>
        </w:tc>
        <w:tc>
          <w:tcPr>
            <w:tcW w:w="4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9,066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Basic weighted average common shares outstanding</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45,913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47,464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47,690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47,811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0.26</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Diluted weighted average common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42,913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48,221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48,361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48,583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0.26</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6"/>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 2018</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center"/>
              <w:ind w:right="293"/>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Quarter</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147,455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165,649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172,832</w:t>
            </w:r>
          </w:p>
        </w:tc>
        <w:tc>
          <w:tcPr>
            <w:tcW w:w="4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174,724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15,149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28,884</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22,302</w:t>
            </w:r>
          </w:p>
        </w:tc>
        <w:tc>
          <w:tcPr>
            <w:tcW w:w="42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88"/>
              </w:rPr>
              <w:t>Basic weighted average common shares outstanding</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42,370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42,661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0.52</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Diluted weighted average common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42,370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43,916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44,175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0.50</w:t>
            </w:r>
          </w:p>
        </w:tc>
        <w:tc>
          <w:tcPr>
            <w:tcW w:w="4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transfer and disposal revenues historically have been lower from the months of November through March. This seasonality reflects the lower volume of waste during the late fall, winter and early spring months. Since certain of our operating and fixed costs remain constant throughout fiscal year, operating income is impacted by a similar seasonality. In addition, particularly harsh weather conditions typically result in increased operating costs.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Our recycling business experiences increased volumes of newspaper in November and December due to increased retail activity during the holiday season.</w:t>
      </w:r>
    </w:p>
    <w:p>
      <w:pPr>
        <w:spacing w:after="0" w:line="244" w:lineRule="exact"/>
        <w:rPr>
          <w:sz w:val="20"/>
          <w:szCs w:val="20"/>
          <w:color w:val="auto"/>
        </w:rPr>
      </w:pPr>
    </w:p>
    <w:p>
      <w:pPr>
        <w:ind w:right="1180"/>
        <w:spacing w:after="0" w:line="47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ectPr>
          <w:pgSz w:w="11900" w:h="16838" w:orient="portrait"/>
          <w:cols w:equalWidth="0" w:num="1">
            <w:col w:w="11400"/>
          </w:cols>
          <w:pgMar w:left="240" w:top="118" w:right="2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2019. The term “disclosure controls and procedures,” as defined in Rules 13a-15(e) and 15d-15(e) under the Securities Exchange Act of 1934, as amended, means controls and other procedures of a company that are designed to ensure that information required to be disclosed by a company in the reports that it files or submits under the Securities Exchange Act of 1934, as amended,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of 1934, as amended,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as amended.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2019. In making this assessment, our management used the criteria set forth by the Committee of Sponsoring Organizations of the Treadway Commission in Internal Control-Integrated Framework in 2013. Based on its assessment, management concluded that, as of December 31, 2019, our internal control over financial reporting is effective based on those criteria. The effectiveness of our internal control over financial reporting as of December 31, 2019 has been audited by RSM US LLP, an independent registered public accounting firm. RSM US LLP has issued an attestation report on our internal control over financial reporting, which is included herein.</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completed the acquisitions of TAM, Inc., TAM Recycling, LLC, TAM Organics, LLC., North Rd. LLC, 171 Church Street, LLC (collectively, "TAM") on June 1, 2019; Allied Waste Services of North America, LLC, Browning-Ferris Industries of New York, Inc., Allied Waste Services of Massachusetts, LLC, and Menands Environmental Solutions, LLC (collectively, "Republic") on September 3, 2019; PSI Disposal Inc. ("PSI") on October 1, 2019; Trash Away, LLC ("Trash Away") on September 13, 2019; and LT Disposal Inc., River Road Transfer Station Inc., Center Point Transfer Station, Inc. (collectively, "Center Point") on September 13, 2019. Since we have not yet fully incorporated the internal controls and procedures of TAM, Republic, PSI, Trash Away and Center Point into our internal control over financial reporting, management excluded TAM, Republic, PSI, Trash Away and Center Point from its assessment of the effectiveness of the Company’s internal control over financial reporting as of December 31, 2019. Collectively, TAM, Republic, PSI, Trash Away and Center Point constituted approximately 7.1% of our total assets as of December 31, 2019 and 2.0% of our total revenues for the year ended December 31,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the fiscal quarter ended December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required by this Item (except for information required with respect to our executive officers which is set forth under “Information about our Executive Officers” in Item 1 of Part I of this Annual Report on Form 10-K and with respect to equity compensation plan information which is set forth under the section captioned “Equity Compensation Plan Information” below) has been omitted from this Annual Report on Form 10-K, and is incorporated herein by reference from our definitive proxy statement for the 2020 Annual Meeting of Stockholders that we intend to file with the Securities and Exchange Commission within 120 days after the end of our fiscal year ended December 31, 2019 (the "Proxy Statement"), under the sections captioned "Board of Directors", "Corporate Governance" and "Ownership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sections captioned "Executive and Director Compensation and Related Matters" and "Corporate Governance".</w:t>
      </w:r>
    </w:p>
    <w:p>
      <w:pPr>
        <w:spacing w:after="0" w:line="16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information required by this Item (except for the information required with respect to equity compensation plan information, which is set forth under “Equity Compensation Plan Information” below) is incorporated herein by reference from the Proxy Statement under the section captioned “Ownership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about the securities authorized for issuance under our equity compensation plans as of December 31,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Weighted-average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 (1)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9"/>
              </w:rPr>
              <w:t>and rights (2)</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column (a) (3))</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490,825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1,455,075</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tcPr>
          <w:p>
            <w:pPr>
              <w:jc w:val="right"/>
              <w:ind w:right="8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8"/>
                <w:szCs w:val="18"/>
                <w:color w:val="auto"/>
              </w:rPr>
              <w:t>490,825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1,455,075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right="720" w:hanging="330"/>
        <w:spacing w:after="0" w:line="317" w:lineRule="auto"/>
        <w:tabs>
          <w:tab w:leader="none" w:pos="4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Performance stock units, including market-based performance stock units are included at the 100% attainment level. Attainment of maximum performance targets and market achievements could result in the issuance of an additional 186,122 shares of Class A common stock.</w:t>
      </w:r>
    </w:p>
    <w:p>
      <w:pPr>
        <w:ind w:left="500" w:right="180" w:hanging="330"/>
        <w:spacing w:after="0" w:line="277" w:lineRule="auto"/>
        <w:tabs>
          <w:tab w:leader="none" w:pos="4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restricted stock units and other equity-based awards that do not have an exercise price.</w:t>
      </w:r>
    </w:p>
    <w:p>
      <w:pPr>
        <w:spacing w:after="0" w:line="8" w:lineRule="exact"/>
        <w:rPr>
          <w:rFonts w:ascii="Arial" w:cs="Arial" w:eastAsia="Arial" w:hAnsi="Arial"/>
          <w:sz w:val="18"/>
          <w:szCs w:val="18"/>
          <w:color w:val="auto"/>
        </w:rPr>
      </w:pPr>
    </w:p>
    <w:p>
      <w:pPr>
        <w:ind w:left="500" w:right="480" w:hanging="330"/>
        <w:spacing w:after="0" w:line="277" w:lineRule="auto"/>
        <w:tabs>
          <w:tab w:leader="none" w:pos="4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1,360,819 shares of our Class A common stock issuable under our 2016 Incentive Plan and 94,256 shares of our Class A common stock issuable under our Amended and Restated 1997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herein by reference from the Proxy Statement under the section captioned "Corporate Governance".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the Proxy Statement under the section captioned "Proposal 3 - Ratification of the Appointment of Independent Auditors".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ectPr>
          <w:pgSz w:w="11900" w:h="16838" w:orient="portrait"/>
          <w:cols w:equalWidth="0" w:num="1">
            <w:col w:w="11360"/>
          </w:cols>
          <w:pgMar w:left="240" w:top="118" w:right="29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(a)(3)</w:t>
      </w:r>
    </w:p>
    <w:p>
      <w:pPr>
        <w:spacing w:after="0" w:line="325" w:lineRule="exact"/>
        <w:rPr>
          <w:sz w:val="20"/>
          <w:szCs w:val="20"/>
          <w:color w:val="auto"/>
        </w:rPr>
      </w:pPr>
    </w:p>
    <w:p>
      <w:pPr>
        <w:jc w:val="center"/>
        <w:ind w:left="2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51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4.3 +</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under Item 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 RSM US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2019 and December 31,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for fiscal years 2019, 2018 and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 for fiscal years 2019, 2018 and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Stockholders’ Equity (Deficit) for fiscal years 2019, 2018 and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fiscal years 2019, 2018 and 2017.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II – Valuation and Qualifying Accounts.</w:t>
      </w:r>
    </w:p>
    <w:p>
      <w:pPr>
        <w:spacing w:after="0" w:line="3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consolidated financial statements or notes thereto, or is 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7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59861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70" w:lineRule="exact"/>
        <w:rPr>
          <w:sz w:val="20"/>
          <w:szCs w:val="20"/>
          <w:color w:val="auto"/>
        </w:rPr>
      </w:pPr>
    </w:p>
    <w:p>
      <w:pPr>
        <w:ind w:left="40"/>
        <w:spacing w:after="0" w:line="238" w:lineRule="auto"/>
        <w:rPr>
          <w:rFonts w:ascii="Arial" w:cs="Arial" w:eastAsia="Arial" w:hAnsi="Arial"/>
          <w:sz w:val="17"/>
          <w:szCs w:val="17"/>
          <w:u w:val="single" w:color="auto"/>
          <w:color w:val="0000FF"/>
        </w:rPr>
      </w:pPr>
      <w:hyperlink r:id="rId153">
        <w:r>
          <w:rPr>
            <w:rFonts w:ascii="Arial" w:cs="Arial" w:eastAsia="Arial" w:hAnsi="Arial"/>
            <w:sz w:val="17"/>
            <w:szCs w:val="17"/>
            <w:u w:val="single" w:color="auto"/>
            <w:color w:val="0000FF"/>
          </w:rPr>
          <w:t>Agreement and Plan of Merger dated as of January 12, 1999 and as amended by Amendments No. 1, 2 and 3 thereto, among</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Casella Waste Systems, Inc. (“Casella”), KTI, Inc. (“KTI”) and Rutland Acquisition Sub, Inc. (incorporated herein by reference to</w:t>
        </w:r>
      </w:hyperlink>
      <w:r>
        <w:rPr>
          <w:rFonts w:ascii="Arial" w:cs="Arial" w:eastAsia="Arial" w:hAnsi="Arial"/>
          <w:sz w:val="17"/>
          <w:szCs w:val="17"/>
          <w:u w:val="single" w:color="auto"/>
          <w:color w:val="0000FF"/>
        </w:rPr>
        <w:t xml:space="preserve"> </w:t>
      </w:r>
      <w:hyperlink r:id="rId153">
        <w:r>
          <w:rPr>
            <w:rFonts w:ascii="Arial" w:cs="Arial" w:eastAsia="Arial" w:hAnsi="Arial"/>
            <w:sz w:val="17"/>
            <w:szCs w:val="17"/>
            <w:u w:val="single" w:color="auto"/>
            <w:color w:val="0000FF"/>
          </w:rPr>
          <w:t>Annex A to the registration statement on Form S-4 of Casella as filed November 12, 1999(file no. 333-90913)).</w:t>
        </w:r>
      </w:hyperlink>
    </w:p>
    <w:p>
      <w:pPr>
        <w:spacing w:after="0" w:line="53" w:lineRule="exact"/>
        <w:rPr>
          <w:rFonts w:ascii="Arial" w:cs="Arial" w:eastAsia="Arial" w:hAnsi="Arial"/>
          <w:sz w:val="17"/>
          <w:szCs w:val="17"/>
          <w:u w:val="single" w:color="auto"/>
          <w:color w:val="0000FF"/>
        </w:rPr>
      </w:pPr>
    </w:p>
    <w:p>
      <w:pPr>
        <w:ind w:left="40" w:right="20"/>
        <w:spacing w:after="0" w:line="224"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Purchase and Sale Agreement dated as of January 23, 2011 among Casella, KTI, CE Holdings II, LLC and CE Holding Company,</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LLC (incorporated herein by reference to Exhibit 2.1 to the quarterly report on Form 10-Q of Casella as filed on March 3, 2011</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(file no. 000-23211)).</w:t>
        </w:r>
      </w:hyperlink>
    </w:p>
    <w:p>
      <w:pPr>
        <w:spacing w:after="0" w:line="55" w:lineRule="exact"/>
        <w:rPr>
          <w:rFonts w:ascii="Arial" w:cs="Arial" w:eastAsia="Arial" w:hAnsi="Arial"/>
          <w:sz w:val="18"/>
          <w:szCs w:val="18"/>
          <w:u w:val="single" w:color="auto"/>
          <w:color w:val="0000FF"/>
        </w:rPr>
      </w:pPr>
    </w:p>
    <w:p>
      <w:pPr>
        <w:ind w:left="40" w:right="20"/>
        <w:spacing w:after="0" w:line="219"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Stock Purchase Agreement dated as of December 6, 2012 among Casella, Blow Bros., the stockholders of Blow Bros. named</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therein, Arthur E. St. Hilaire (solely in his capacity as the Representative), and Trash Lady, LLC and Trash Lady NH, LLC</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(incorporated herein by reference to Exhibit 10.1 to the current report on Form 8-K of Casella as filed on December 10, 2012 (file</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ind w:left="40" w:right="220"/>
        <w:spacing w:after="0" w:line="224"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Membership Interest Purchase Agreement dated December 5, 2013, by and among Casella Waste Systems, Inc. and the other</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parties named therein (incorporated herein by reference to Exhibit 10.1 to the current report on Form 8-K of Casella as filed on</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December 5, 2013 (file no. 000-23211)).</w:t>
        </w:r>
      </w:hyperlink>
    </w:p>
    <w:p>
      <w:pPr>
        <w:spacing w:after="0" w:line="55" w:lineRule="exact"/>
        <w:rPr>
          <w:rFonts w:ascii="Arial" w:cs="Arial" w:eastAsia="Arial" w:hAnsi="Arial"/>
          <w:sz w:val="18"/>
          <w:szCs w:val="18"/>
          <w:u w:val="single" w:color="auto"/>
          <w:color w:val="0000FF"/>
        </w:rPr>
      </w:pPr>
    </w:p>
    <w:p>
      <w:pPr>
        <w:ind w:left="40" w:right="180"/>
        <w:spacing w:after="0" w:line="289"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Second Amended and Restated Certificate of Incorporation of Casella Waste Systems, Inc., as amended (incorporated herein by</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reference to Exhibit 3.1 to the quarterly report on Form 10-Q of Casella as filed on December 7, 2007(file no. 000-23211)).</w:t>
        </w:r>
      </w:hyperlink>
    </w:p>
    <w:p>
      <w:pPr>
        <w:spacing w:after="0" w:line="16" w:lineRule="exact"/>
        <w:rPr>
          <w:sz w:val="20"/>
          <w:szCs w:val="20"/>
          <w:color w:val="auto"/>
        </w:rPr>
      </w:pPr>
    </w:p>
    <w:p>
      <w:pPr>
        <w:ind w:left="40" w:right="160"/>
        <w:spacing w:after="0" w:line="258" w:lineRule="auto"/>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Third Amended and Restated By-Laws of Casella Waste Systems, Inc., as amended (incorporated herein by reference to Exhibit</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3.1 to the current report on Form 8-K of Casella as filed on February 27, 2009 (file no. 000-23211)).</w:t>
        </w:r>
      </w:hyperlink>
    </w:p>
    <w:p>
      <w:pPr>
        <w:spacing w:after="0" w:line="39" w:lineRule="exact"/>
        <w:rPr>
          <w:sz w:val="20"/>
          <w:szCs w:val="20"/>
          <w:color w:val="auto"/>
        </w:rPr>
      </w:pPr>
    </w:p>
    <w:p>
      <w:pPr>
        <w:ind w:left="40" w:right="20"/>
        <w:spacing w:after="0" w:line="258" w:lineRule="auto"/>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Form of stock certificate of Casella Class A common stock (incorporated herein by reference to Exhibit 4 to Amendment No. 2 to</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the registration statement on Form S-1 of Casella as filed on October 9, 1997 (file no. 333-33135)).</w:t>
        </w:r>
      </w:hyperlink>
    </w:p>
    <w:p>
      <w:pPr>
        <w:spacing w:after="0" w:line="39" w:lineRule="exact"/>
        <w:rPr>
          <w:sz w:val="20"/>
          <w:szCs w:val="20"/>
          <w:color w:val="auto"/>
        </w:rPr>
      </w:pPr>
    </w:p>
    <w:p>
      <w:pPr>
        <w:ind w:left="40" w:right="220"/>
        <w:spacing w:after="0" w:line="235"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Certificate of Designation creating Series A Convertible Preferred Stock (incorporated herein by reference to Exhibit 4.1 to the</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current report on Form 8-K of Casella as filed on August 18, 2000 (file no. 000-23211)).</w:t>
        </w:r>
      </w:hyperlink>
    </w:p>
    <w:p>
      <w:pPr>
        <w:spacing w:after="0" w:line="54" w:lineRule="exact"/>
        <w:rPr>
          <w:sz w:val="20"/>
          <w:szCs w:val="20"/>
          <w:color w:val="auto"/>
        </w:rPr>
      </w:pPr>
    </w:p>
    <w:p>
      <w:pPr>
        <w:ind w:left="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Description of Securities Registered Under Section 12 of the Exchange Act</w:t>
        </w:r>
      </w:hyperlink>
    </w:p>
    <w:p>
      <w:pPr>
        <w:spacing w:after="0" w:line="117" w:lineRule="exact"/>
        <w:rPr>
          <w:sz w:val="20"/>
          <w:szCs w:val="20"/>
          <w:color w:val="auto"/>
        </w:rPr>
      </w:pPr>
    </w:p>
    <w:p>
      <w:pPr>
        <w:ind w:left="40" w:right="80"/>
        <w:spacing w:after="0" w:line="289" w:lineRule="auto"/>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FAME Financing Agreement, dated as of August 1, 2015, between Casella and the Finance Authority of Maine (incorporated</w:t>
        </w:r>
      </w:hyperlink>
      <w:r>
        <w:rPr>
          <w:rFonts w:ascii="Arial" w:cs="Arial" w:eastAsia="Arial" w:hAnsi="Arial"/>
          <w:sz w:val="16"/>
          <w:szCs w:val="16"/>
          <w:u w:val="single" w:color="auto"/>
          <w:color w:val="0000FF"/>
        </w:rPr>
        <w:t xml:space="preserve"> </w:t>
      </w:r>
      <w:hyperlink r:id="rId161">
        <w:r>
          <w:rPr>
            <w:rFonts w:ascii="Arial" w:cs="Arial" w:eastAsia="Arial" w:hAnsi="Arial"/>
            <w:sz w:val="16"/>
            <w:szCs w:val="16"/>
            <w:u w:val="single" w:color="auto"/>
            <w:color w:val="0000FF"/>
          </w:rPr>
          <w:t>herein by reference to Exhibit 4.1 to the current report on Form 8-K of Casella as filed on August 27, 2015 (file no. 000-23211)).</w:t>
        </w:r>
      </w:hyperlink>
    </w:p>
    <w:p>
      <w:pPr>
        <w:spacing w:after="0" w:line="200" w:lineRule="exact"/>
        <w:rPr>
          <w:sz w:val="20"/>
          <w:szCs w:val="20"/>
          <w:color w:val="auto"/>
        </w:rPr>
      </w:pPr>
    </w:p>
    <w:p>
      <w:pPr>
        <w:sectPr>
          <w:pgSz w:w="11900" w:h="16838" w:orient="portrait"/>
          <w:cols w:equalWidth="0" w:num="2">
            <w:col w:w="1220" w:space="720"/>
            <w:col w:w="9420"/>
          </w:cols>
          <w:pgMar w:left="240" w:top="118" w:right="29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112" w:name="page113"/>
    <w:bookmarkEnd w:id="11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51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4.10</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4.14</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4.15</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59861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70" w:lineRule="exact"/>
        <w:rPr>
          <w:sz w:val="20"/>
          <w:szCs w:val="20"/>
          <w:color w:val="auto"/>
        </w:rPr>
      </w:pPr>
    </w:p>
    <w:p>
      <w:pPr>
        <w:jc w:val="both"/>
        <w:ind w:right="200"/>
        <w:spacing w:after="0" w:line="224"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FAME Guaranty Agreement, dated as of August 1, 2015, by and between the guarantors named therein and U.S. Bank National</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Association, as trustee (incorporated herein by reference to Exhibit 4.2 to the current report on Form 8-K of Casella as filed on</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August 27, 2015 (file no. 000-23211)).</w:t>
        </w:r>
      </w:hyperlink>
    </w:p>
    <w:p>
      <w:pPr>
        <w:spacing w:after="0" w:line="55" w:lineRule="exact"/>
        <w:rPr>
          <w:rFonts w:ascii="Arial" w:cs="Arial" w:eastAsia="Arial" w:hAnsi="Arial"/>
          <w:sz w:val="18"/>
          <w:szCs w:val="18"/>
          <w:u w:val="single" w:color="auto"/>
          <w:color w:val="0000FF"/>
        </w:rPr>
      </w:pPr>
    </w:p>
    <w:p>
      <w:pPr>
        <w:ind w:right="100"/>
        <w:spacing w:after="0" w:line="224"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Loan Agreement, dated as of December 1, 2014, between New York State Environmental Facilities Corporation and Casella</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(incorporated herein by reference to Exhibit 4.1 to the current report on Form 8-K of Casella as filed on December 18, 2014 (file</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NYSEFC Amended and Restated Guaranty Agreement, dated as of June 1, 2016, by and between the guarantors named therein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and U.S. Bank National Association, as Trustee (incorporated herein by reference to Exhibit 4.1 to the current report on Form 8-K</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of Casella as filed on June 2, 2016 (file no. 000-23211)).</w:t>
        </w:r>
      </w:hyperlink>
    </w:p>
    <w:p>
      <w:pPr>
        <w:spacing w:after="0" w:line="55" w:lineRule="exact"/>
        <w:rPr>
          <w:rFonts w:ascii="Arial" w:cs="Arial" w:eastAsia="Arial" w:hAnsi="Arial"/>
          <w:sz w:val="18"/>
          <w:szCs w:val="18"/>
          <w:u w:val="single" w:color="auto"/>
          <w:color w:val="0000FF"/>
        </w:rPr>
      </w:pPr>
    </w:p>
    <w:p>
      <w:pPr>
        <w:ind w:right="340"/>
        <w:spacing w:after="0" w:line="224"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BFA Guaranty Agreement, dated as of October 1, 2014, by and among U.S. Bank National Association, as Trustee, and the</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guarantors identified therein (incorporated herein by reference to Exhibit 10.1 to the current report on Form 8-K of Casella as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filed on October 16, 2014 (file no. 000-23211)).</w:t>
        </w:r>
      </w:hyperlink>
    </w:p>
    <w:p>
      <w:pPr>
        <w:spacing w:after="0" w:line="55" w:lineRule="exact"/>
        <w:rPr>
          <w:rFonts w:ascii="Arial" w:cs="Arial" w:eastAsia="Arial" w:hAnsi="Arial"/>
          <w:sz w:val="18"/>
          <w:szCs w:val="18"/>
          <w:u w:val="single" w:color="auto"/>
          <w:color w:val="0000FF"/>
        </w:rPr>
      </w:pPr>
    </w:p>
    <w:p>
      <w:pPr>
        <w:jc w:val="both"/>
        <w:ind w:right="80"/>
        <w:spacing w:after="0" w:line="238" w:lineRule="auto"/>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Financing Agreement dated as of March 1, 2013 between Casella and the Vermont Economic Development Authority, relating to</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issuance of Vermont Economic Development Authority Solid Waste Disposal Revenue Bonds (incorporated herein by reference</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to Exhibit 10.1 to the current report on Form 8-K of Casella as filed April 5, 2013 (file no. 000-23211)).</w:t>
        </w:r>
      </w:hyperlink>
    </w:p>
    <w:p>
      <w:pPr>
        <w:spacing w:after="0" w:line="53" w:lineRule="exact"/>
        <w:rPr>
          <w:rFonts w:ascii="Arial" w:cs="Arial" w:eastAsia="Arial" w:hAnsi="Arial"/>
          <w:sz w:val="17"/>
          <w:szCs w:val="17"/>
          <w:u w:val="single" w:color="auto"/>
          <w:color w:val="0000FF"/>
        </w:rPr>
      </w:pPr>
    </w:p>
    <w:p>
      <w:pPr>
        <w:spacing w:after="0" w:line="224" w:lineRule="auto"/>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VEDA Guaranty Agreement, dated as of March 1, 2013, by and among U.S. Bank National Association, as Trustee, and the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guarantors identified therein (incorporated herein by reference to Exhibit 4.8 to the annual report on Form 10-K of Casella as filed</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on June 27, 2014 (file no. 000-23211)).</w:t>
        </w:r>
      </w:hyperlink>
    </w:p>
    <w:p>
      <w:pPr>
        <w:spacing w:after="0" w:line="55" w:lineRule="exact"/>
        <w:rPr>
          <w:rFonts w:ascii="Arial" w:cs="Arial" w:eastAsia="Arial" w:hAnsi="Arial"/>
          <w:sz w:val="18"/>
          <w:szCs w:val="18"/>
          <w:u w:val="single" w:color="auto"/>
          <w:color w:val="0000FF"/>
        </w:rPr>
      </w:pPr>
    </w:p>
    <w:p>
      <w:pPr>
        <w:ind w:right="300"/>
        <w:spacing w:after="0" w:line="219" w:lineRule="auto"/>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Financing Agreement dated as of March 1, 2013 between Casella and the Business Finance Authority of the State of New</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Hampshire, relating to issuance of Business Finance Authority of the State of New Hampshire Solid Waste Disposal Revenue</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Bonds (incorporated herein by reference to Exhibit 10.2 to the current report on Form 8-K of Casella as filed on April 5, 2013</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(file no. 000-23211)).</w:t>
        </w:r>
      </w:hyperlink>
    </w:p>
    <w:p>
      <w:pPr>
        <w:spacing w:after="0" w:line="55" w:lineRule="exact"/>
        <w:rPr>
          <w:rFonts w:ascii="Arial" w:cs="Arial" w:eastAsia="Arial" w:hAnsi="Arial"/>
          <w:sz w:val="18"/>
          <w:szCs w:val="18"/>
          <w:u w:val="single" w:color="auto"/>
          <w:color w:val="0000FF"/>
        </w:rPr>
      </w:pPr>
    </w:p>
    <w:p>
      <w:pPr>
        <w:ind w:right="280"/>
        <w:spacing w:after="0" w:line="219"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Financing Agreement between Casella and Finance Authority of Maine, dated as of December 1, 2005, relating to issuance of</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Finance Authority of Maine Solid Waste Disposal Revenue Bonds (Casella Waste Services, Inc. Project) Series 2005</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(incorporated herein by reference to Exhibit 10.1 to the current report on Form 8-K of Casella as filed on January 4, 2006 (file</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ind w:right="100"/>
        <w:spacing w:after="0" w:line="219"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First Amendment dated as of February 1, 2012 to Financing Agreement dated as of December 1, 2005, by and among Finance</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Authority of Maine, U.S. Bank National Association, as Trustee, Bank of America, as Credit Provider, and Casella (incorporated</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herein by reference to Exhibit 10.1 to the quarterly report on Form 10-Q of Casella as filed on March 2, 2012 (file no. 000-</w:t>
        </w:r>
      </w:hyperlink>
      <w:hyperlink r:id="rId173">
        <w:r>
          <w:rPr>
            <w:rFonts w:ascii="Arial" w:cs="Arial" w:eastAsia="Arial" w:hAnsi="Arial"/>
            <w:sz w:val="18"/>
            <w:szCs w:val="18"/>
            <w:u w:val="single" w:color="auto"/>
            <w:color w:val="0000FF"/>
          </w:rPr>
          <w:t>23211)).</w:t>
        </w:r>
      </w:hyperlink>
    </w:p>
    <w:p>
      <w:pPr>
        <w:spacing w:after="0" w:line="55" w:lineRule="exact"/>
        <w:rPr>
          <w:rFonts w:ascii="Arial" w:cs="Arial" w:eastAsia="Arial" w:hAnsi="Arial"/>
          <w:sz w:val="18"/>
          <w:szCs w:val="18"/>
          <w:u w:val="single" w:color="auto"/>
          <w:color w:val="0000FF"/>
        </w:rPr>
      </w:pPr>
    </w:p>
    <w:p>
      <w:pPr>
        <w:jc w:val="both"/>
        <w:ind w:right="100"/>
        <w:spacing w:after="0" w:line="259" w:lineRule="auto"/>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Second Amendment dated as of February 1, 2017 to Financing Agreement dated as of December 1, 2005, by and among Finance</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Authority of Maine, U.S. Bank National Association, as Trustee, Bank of America, as Credit Provider, and Casella (incorporated</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herein by reference to Exhibit 4.2 to the current report on Form 8-K as filed on February 7, 2017 (file no. 000-23211)).</w:t>
        </w:r>
      </w:hyperlink>
    </w:p>
    <w:p>
      <w:pPr>
        <w:spacing w:after="0" w:line="39" w:lineRule="exact"/>
        <w:rPr>
          <w:rFonts w:ascii="Arial" w:cs="Arial" w:eastAsia="Arial" w:hAnsi="Arial"/>
          <w:sz w:val="16"/>
          <w:szCs w:val="16"/>
          <w:u w:val="single" w:color="auto"/>
          <w:color w:val="0000FF"/>
        </w:rPr>
      </w:pPr>
    </w:p>
    <w:p>
      <w:pPr>
        <w:ind w:right="60"/>
        <w:spacing w:after="0" w:line="224"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FAME Amended and Restated Guaranty Agreement, dated as of February 1, 2017, by and among U.S. Bank National</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Association, as Trustee, and the guarantors identified therein (incorporated herein by reference to Exhibit 4.1 to the current report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on Form 8-K of Casella as filed on February 7, 2017 (file no. 000-23211)).</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Lease Agreement, as Amended, between Casella Associates and Casella Waste Management, Inc., dated August 1, 1993 (Rutland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lease) (incorporated herein by reference to Exhibit 10.17 to the registration statement on Form S-1 of Casella as filed on August</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7, 1997 (file no. 333-33135)).</w:t>
        </w:r>
      </w:hyperlink>
    </w:p>
    <w:p>
      <w:pPr>
        <w:spacing w:after="0" w:line="55" w:lineRule="exact"/>
        <w:rPr>
          <w:rFonts w:ascii="Arial" w:cs="Arial" w:eastAsia="Arial" w:hAnsi="Arial"/>
          <w:sz w:val="18"/>
          <w:szCs w:val="18"/>
          <w:u w:val="single" w:color="auto"/>
          <w:color w:val="0000FF"/>
        </w:rPr>
      </w:pPr>
    </w:p>
    <w:p>
      <w:pPr>
        <w:ind w:right="100"/>
        <w:spacing w:after="0" w:line="224" w:lineRule="auto"/>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Second Amendment to Lease Agreement, by and between Casella Associates and Casella Waste Management, Inc., dated as of</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November 20, 1997 (Rutland lease). (incorporated herein by reference to Exhibit 10.25 to the registration statement on Form S-1</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of Casella as filed on June 25, 1998 (file no. 333-57745)).</w:t>
        </w:r>
      </w:hyperlink>
    </w:p>
    <w:p>
      <w:pPr>
        <w:spacing w:after="0" w:line="55" w:lineRule="exact"/>
        <w:rPr>
          <w:rFonts w:ascii="Arial" w:cs="Arial" w:eastAsia="Arial" w:hAnsi="Arial"/>
          <w:sz w:val="18"/>
          <w:szCs w:val="18"/>
          <w:u w:val="single" w:color="auto"/>
          <w:color w:val="0000FF"/>
        </w:rPr>
      </w:pPr>
    </w:p>
    <w:p>
      <w:pPr>
        <w:ind w:right="380"/>
        <w:spacing w:after="0" w:line="238" w:lineRule="auto"/>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Amendment to Lease Agreement dated as of March 13, 2008, between Casella Associates and Casella, amending Lease</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Agreement dated August 1, 1993, as amended (Rutland lease) (incorporated herein by reference to Exhibit 10.7 to the annual</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report on Form 10-K of Casella as filed on June 27, 2014 (file no. 000-23211)).</w:t>
        </w:r>
      </w:hyperlink>
    </w:p>
    <w:p>
      <w:pPr>
        <w:spacing w:after="0" w:line="53" w:lineRule="exact"/>
        <w:rPr>
          <w:rFonts w:ascii="Arial" w:cs="Arial" w:eastAsia="Arial" w:hAnsi="Arial"/>
          <w:sz w:val="17"/>
          <w:szCs w:val="17"/>
          <w:u w:val="single" w:color="auto"/>
          <w:color w:val="0000FF"/>
        </w:rPr>
      </w:pPr>
    </w:p>
    <w:p>
      <w:pPr>
        <w:ind w:right="40"/>
        <w:spacing w:after="0" w:line="224"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Lease Agreement, as Amended, between Casella Associates and Casella Waste Management, Inc., dated August 1, 1993</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(Montpelier lease) (incorporated herein by reference to Exhibit 10.18 to the registration statement on Form S-1 of Casella as filed</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on August 7, 1997 (file no. 333-33135)).</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3" w:lineRule="exact"/>
        <w:rPr>
          <w:rFonts w:ascii="Arial" w:cs="Arial" w:eastAsia="Arial" w:hAnsi="Arial"/>
          <w:sz w:val="18"/>
          <w:szCs w:val="18"/>
          <w:u w:val="single" w:color="auto"/>
          <w:color w:val="0000FF"/>
        </w:rPr>
      </w:pPr>
    </w:p>
    <w:p>
      <w:pPr>
        <w:ind w:left="3600"/>
        <w:spacing w:after="0"/>
        <w:rPr>
          <w:sz w:val="20"/>
          <w:szCs w:val="20"/>
          <w:color w:val="auto"/>
        </w:rPr>
      </w:pPr>
      <w:r>
        <w:rPr>
          <w:rFonts w:ascii="Arial" w:cs="Arial" w:eastAsia="Arial" w:hAnsi="Arial"/>
          <w:sz w:val="18"/>
          <w:szCs w:val="18"/>
          <w:color w:val="auto"/>
        </w:rPr>
        <w:t>113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-1264285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260" w:space="720"/>
            <w:col w:w="9380"/>
          </w:cols>
          <w:pgMar w:left="240" w:top="118" w:right="29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51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10.9*</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10.19*</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10.20*</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5986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70" w:lineRule="exact"/>
        <w:rPr>
          <w:sz w:val="20"/>
          <w:szCs w:val="20"/>
          <w:color w:val="auto"/>
        </w:rPr>
      </w:pPr>
    </w:p>
    <w:p>
      <w:pPr>
        <w:ind w:right="140"/>
        <w:spacing w:after="0" w:line="224"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Amendment to Lease Agreement dated as of March 13, 2008, between Casella Associates and Casella, amending Lease</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Agreement dated August 1, 1993, as amended (Montpelier lease) (incorporated herein by reference to Exhibit 10.9 to the annual</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report on Form 10-K of Casella as filed on June 27, 2014 (file no. 000-23211)).</w:t>
        </w:r>
      </w:hyperlink>
    </w:p>
    <w:p>
      <w:pPr>
        <w:spacing w:after="0" w:line="55"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Lease, Operations and Maintenance Agreement between CV Landfill, Inc. and Casella Waste Systems, Inc. dated June 30, 1994</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(incorporated herein by reference to Exhibit 10.20 to the registration statement on Form S-1 of Casella as filed on August 7, 1997</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(file no. 333-33135)).</w:t>
        </w:r>
      </w:hyperlink>
    </w:p>
    <w:p>
      <w:pPr>
        <w:spacing w:after="0" w:line="55" w:lineRule="exact"/>
        <w:rPr>
          <w:rFonts w:ascii="Arial" w:cs="Arial" w:eastAsia="Arial" w:hAnsi="Arial"/>
          <w:sz w:val="18"/>
          <w:szCs w:val="18"/>
          <w:u w:val="single" w:color="auto"/>
          <w:color w:val="0000FF"/>
        </w:rPr>
      </w:pPr>
    </w:p>
    <w:p>
      <w:pPr>
        <w:ind w:right="440"/>
        <w:spacing w:after="0" w:line="289" w:lineRule="auto"/>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Employment Agreement between Casella and John W. Casella dated December 8, 1999 (incorporated herein by reference to</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Exhibit 10.43 to the annual report on Form 10-K of Casella as filed on August 4, 2000 (file no. 000-23211)).</w:t>
        </w:r>
      </w:hyperlink>
    </w:p>
    <w:p>
      <w:pPr>
        <w:spacing w:after="0" w:line="16" w:lineRule="exact"/>
        <w:rPr>
          <w:sz w:val="20"/>
          <w:szCs w:val="20"/>
          <w:color w:val="auto"/>
        </w:rPr>
      </w:pPr>
    </w:p>
    <w:p>
      <w:pPr>
        <w:ind w:right="140"/>
        <w:spacing w:after="0" w:line="224"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Amendment to Employment Agreement by and between Casella and John W. Casella dated as of December 30, 2008</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(incorporated herein by reference to Exhibit 10.3 to the quarterly report on Form 10-Q of Casella as filed on March 6, 2009 (file</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ind w:right="160"/>
        <w:spacing w:after="0" w:line="235"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2006 Stock Incentive Plan, as amended (incorporated herein by reference to Exhibit 10.13 to the annual report on Form 10-K of</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Casella as filed on March 2, 2016 (file no. 000-023211)).</w:t>
        </w:r>
      </w:hyperlink>
    </w:p>
    <w:p>
      <w:pPr>
        <w:spacing w:after="0" w:line="54"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Form of Incentive Stock Option Agreement granted under 2006 Stock Incentive Plan (incorporated herein by reference to Exhibit</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10.14 to the annual report on Form 10-K of Casella as filed on June 27, 2014 (file no. 000-23211)).</w:t>
        </w:r>
      </w:hyperlink>
    </w:p>
    <w:p>
      <w:pPr>
        <w:spacing w:after="0" w:line="39"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Form of Restricted Stock Agreement granted under 2006 Stock Incentive Plan (incorporated herein by reference to Exhibit 10.15</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to the annual report on Form 10-K of Casella as filed on June 27, 2014 (file no. 000-23211)).</w:t>
        </w:r>
      </w:hyperlink>
    </w:p>
    <w:p>
      <w:pPr>
        <w:spacing w:after="0" w:line="54" w:lineRule="exact"/>
        <w:rPr>
          <w:sz w:val="20"/>
          <w:szCs w:val="20"/>
          <w:color w:val="auto"/>
        </w:rPr>
      </w:pPr>
    </w:p>
    <w:p>
      <w:pPr>
        <w:spacing w:after="0" w:line="224"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Form of Restricted Share Unit Agreement granted under 2006 Stock Incentive Plan (employee with employment contract)</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(incorporated herein by reference to Exhibit 10.16 to the annual report on Form 10-K of Casella as filed on June 27, 2014 (file no.</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000-23211)).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Form of Restricted Share Unit Agreement granted under 2006 Stock Incentive Plan (employee with no employment contract)</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(incorporated herein by reference to Exhibit 10.17 to the annual report on Form 10-K of Casella as filed on June 27, 2014 (file no.</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000-23211)).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Form of Restricted Stock Unit Agreement granted under 2006 Stock Incentive Plan (employee with employment contract)</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(incorporated herein by reference to Exhibit 10.18 to the annual report on Form 10-K of Casella as filed on June 27, 2014 (file no.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000-23211)).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Form of Restricted Stock Unit Agreement granted under 2006 Stock Incentive Plan (employee with no employment contract)</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(incorporated herein by reference to Exhibit 10.19 to the annual report on Form 10-K of Casella as filed on June 27, 2014 (file no.</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000-23211)).</w:t>
        </w:r>
      </w:hyperlink>
    </w:p>
    <w:p>
      <w:pPr>
        <w:spacing w:after="0" w:line="55" w:lineRule="exact"/>
        <w:rPr>
          <w:rFonts w:ascii="Arial" w:cs="Arial" w:eastAsia="Arial" w:hAnsi="Arial"/>
          <w:sz w:val="18"/>
          <w:szCs w:val="18"/>
          <w:u w:val="single" w:color="auto"/>
          <w:color w:val="0000FF"/>
        </w:rPr>
      </w:pPr>
    </w:p>
    <w:p>
      <w:pPr>
        <w:ind w:right="540"/>
        <w:spacing w:after="0" w:line="289" w:lineRule="auto"/>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Form of Performance Share Unit Agreement granted under 2006 Stock Incentive Plan (incorporated herein by reference to</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Exhibit 10.2 to the quarterly report on Form 10-Q of Casella as filed on September 4, 2008 (file no. 000-23211)).</w:t>
        </w:r>
      </w:hyperlink>
    </w:p>
    <w:p>
      <w:pPr>
        <w:spacing w:after="0" w:line="16" w:lineRule="exact"/>
        <w:rPr>
          <w:sz w:val="20"/>
          <w:szCs w:val="20"/>
          <w:color w:val="auto"/>
        </w:rPr>
      </w:pPr>
    </w:p>
    <w:p>
      <w:pPr>
        <w:ind w:right="200"/>
        <w:spacing w:after="0" w:line="224"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Form of Restricted Stock Unit Agreement granted under 2006 Stock Incentive Plan (adopted March 1, 2016) (employee with</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employment contract) (incorporated herein by reference to Exhibit 10.2 to the current report on Form 8-K of Casella as filed on</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March 7, 2016 (file no. 000-23211)).</w:t>
        </w:r>
      </w:hyperlink>
    </w:p>
    <w:p>
      <w:pPr>
        <w:spacing w:after="0" w:line="55" w:lineRule="exact"/>
        <w:rPr>
          <w:rFonts w:ascii="Arial" w:cs="Arial" w:eastAsia="Arial" w:hAnsi="Arial"/>
          <w:sz w:val="18"/>
          <w:szCs w:val="18"/>
          <w:u w:val="single" w:color="auto"/>
          <w:color w:val="0000FF"/>
        </w:rPr>
      </w:pPr>
    </w:p>
    <w:p>
      <w:pPr>
        <w:jc w:val="both"/>
        <w:ind w:right="140"/>
        <w:spacing w:after="0" w:line="224"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Form of Restricted Stock Unit Agreement granted under 2006 Stock Incentive Plan (adopted March 1, 2016) (employee with no</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employment contract) (incorporated herein by reference to Exhibit 10.3 to the current report on Form 8-K of Casella as filed on</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March 7, 2016 (file no. 000-23211)).</w:t>
        </w:r>
      </w:hyperlink>
    </w:p>
    <w:p>
      <w:pPr>
        <w:spacing w:after="0" w:line="55" w:lineRule="exact"/>
        <w:rPr>
          <w:rFonts w:ascii="Arial" w:cs="Arial" w:eastAsia="Arial" w:hAnsi="Arial"/>
          <w:sz w:val="18"/>
          <w:szCs w:val="18"/>
          <w:u w:val="single" w:color="auto"/>
          <w:color w:val="0000FF"/>
        </w:rPr>
      </w:pPr>
    </w:p>
    <w:p>
      <w:pPr>
        <w:ind w:right="320"/>
        <w:spacing w:after="0" w:line="289" w:lineRule="auto"/>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Employment Agreement between Casella and Edwin D. Johnson dated as of July 6, 2010 (incorporated herein by reference to</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Exhibit 10.1 to the quarterly report on Form 10-Q of Casella as filed on September 3, 2010 (file no. 000-23211)).</w:t>
        </w:r>
      </w:hyperlink>
    </w:p>
    <w:p>
      <w:pPr>
        <w:spacing w:after="0" w:line="16" w:lineRule="exact"/>
        <w:rPr>
          <w:sz w:val="20"/>
          <w:szCs w:val="20"/>
          <w:color w:val="auto"/>
        </w:rPr>
      </w:pPr>
    </w:p>
    <w:p>
      <w:pPr>
        <w:ind w:right="380"/>
        <w:spacing w:after="0" w:line="258" w:lineRule="auto"/>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Letter Agreement between Casella and Edwin D. Johnson dated as of February 12, 2013 (incorporated herein by reference to</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Exhibit 10.26 to the annual report on Form 10-K of Casella as filed on June 27, 2014 (file no. 000-23211)).</w:t>
        </w:r>
      </w:hyperlink>
    </w:p>
    <w:p>
      <w:pPr>
        <w:spacing w:after="0" w:line="39" w:lineRule="exact"/>
        <w:rPr>
          <w:sz w:val="20"/>
          <w:szCs w:val="20"/>
          <w:color w:val="auto"/>
        </w:rPr>
      </w:pPr>
    </w:p>
    <w:p>
      <w:pPr>
        <w:ind w:right="240"/>
        <w:spacing w:after="0" w:line="289" w:lineRule="auto"/>
        <w:rPr>
          <w:rFonts w:ascii="Arial" w:cs="Arial" w:eastAsia="Arial" w:hAnsi="Arial"/>
          <w:sz w:val="16"/>
          <w:szCs w:val="16"/>
          <w:u w:val="single" w:color="auto"/>
          <w:color w:val="0000FF"/>
        </w:rPr>
      </w:pPr>
      <w:hyperlink r:id="rId197">
        <w:r>
          <w:rPr>
            <w:rFonts w:ascii="Arial" w:cs="Arial" w:eastAsia="Arial" w:hAnsi="Arial"/>
            <w:sz w:val="16"/>
            <w:szCs w:val="16"/>
            <w:u w:val="single" w:color="auto"/>
            <w:color w:val="0000FF"/>
          </w:rPr>
          <w:t>Employment Agreement between Casella and David L. Schmitt dated as of May 31, 2006, as amended (incorporated herein by</w:t>
        </w:r>
      </w:hyperlink>
      <w:r>
        <w:rPr>
          <w:rFonts w:ascii="Arial" w:cs="Arial" w:eastAsia="Arial" w:hAnsi="Arial"/>
          <w:sz w:val="16"/>
          <w:szCs w:val="16"/>
          <w:u w:val="single" w:color="auto"/>
          <w:color w:val="0000FF"/>
        </w:rPr>
        <w:t xml:space="preserve"> </w:t>
      </w:r>
      <w:hyperlink r:id="rId197">
        <w:r>
          <w:rPr>
            <w:rFonts w:ascii="Arial" w:cs="Arial" w:eastAsia="Arial" w:hAnsi="Arial"/>
            <w:sz w:val="16"/>
            <w:szCs w:val="16"/>
            <w:u w:val="single" w:color="auto"/>
            <w:color w:val="0000FF"/>
          </w:rPr>
          <w:t>reference to Exhibit 10.27 to the annual report on Form 10-K of Casella as filed on June 27, 2014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260" w:space="720"/>
            <w:col w:w="9380"/>
          </w:cols>
          <w:pgMar w:left="240" w:top="118" w:right="29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51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10.22*</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10.23*</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10.25*</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10.26*</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10.27*</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10.28*</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10.30*</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10.31*</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10.32*</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10.33*</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10.35*</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10.36*</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10.37*</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59861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70" w:lineRule="exact"/>
        <w:rPr>
          <w:sz w:val="20"/>
          <w:szCs w:val="20"/>
          <w:color w:val="auto"/>
        </w:rPr>
      </w:pPr>
    </w:p>
    <w:p>
      <w:pPr>
        <w:spacing w:after="0" w:line="258" w:lineRule="auto"/>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Employment Agreement between Casella and Edmond Coletta dated as of September 1, 2012 (incorporated herein by reference to</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Exhibit 10.28 to the annual report on Form 10-K of Casella as filed on June 27, 2014 (file no. 000-23211)).</w:t>
        </w:r>
      </w:hyperlink>
    </w:p>
    <w:p>
      <w:pPr>
        <w:spacing w:after="0" w:line="39" w:lineRule="exact"/>
        <w:rPr>
          <w:sz w:val="20"/>
          <w:szCs w:val="20"/>
          <w:color w:val="auto"/>
        </w:rPr>
      </w:pPr>
    </w:p>
    <w:p>
      <w:pPr>
        <w:ind w:right="120"/>
        <w:spacing w:after="0" w:line="258" w:lineRule="auto"/>
        <w:rPr>
          <w:rFonts w:ascii="Arial" w:cs="Arial" w:eastAsia="Arial" w:hAnsi="Arial"/>
          <w:sz w:val="17"/>
          <w:szCs w:val="17"/>
          <w:u w:val="single" w:color="auto"/>
          <w:color w:val="0000FF"/>
        </w:rPr>
      </w:pPr>
      <w:hyperlink r:id="rId202">
        <w:r>
          <w:rPr>
            <w:rFonts w:ascii="Arial" w:cs="Arial" w:eastAsia="Arial" w:hAnsi="Arial"/>
            <w:sz w:val="17"/>
            <w:szCs w:val="17"/>
            <w:u w:val="single" w:color="auto"/>
            <w:color w:val="0000FF"/>
          </w:rPr>
          <w:t>Employment Agreement between Casella and Christopher B. Heald dated as of March 1, 2016 (incorporated herein by reference</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to Exhibit 10.4 to the current report on Form 8-K of Casella as filed on March 7, 2016 (file no. 000-23211)).</w:t>
        </w:r>
      </w:hyperlink>
    </w:p>
    <w:p>
      <w:pPr>
        <w:spacing w:after="0" w:line="39" w:lineRule="exact"/>
        <w:rPr>
          <w:sz w:val="20"/>
          <w:szCs w:val="20"/>
          <w:color w:val="auto"/>
        </w:rPr>
      </w:pPr>
    </w:p>
    <w:p>
      <w:pPr>
        <w:ind w:right="160"/>
        <w:spacing w:after="0" w:line="219"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Extension of Lease Agreements dated as of April 23, 2013, between Casella Associates and Casella, amending (i) Lease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Agreement dated August 1, 1993, as amended (Montpelier lease) and (ii) Lease Agreement dated August 1, 1993, as amended</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(Rutland lease) (incorporated herein by reference to Exhibit 10.29 to the annual report on Form 10-K of Casella as filed on June</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27, 2014 (file no. 000-23211)).</w:t>
        </w:r>
      </w:hyperlink>
    </w:p>
    <w:p>
      <w:pPr>
        <w:spacing w:after="0" w:line="55" w:lineRule="exact"/>
        <w:rPr>
          <w:rFonts w:ascii="Arial" w:cs="Arial" w:eastAsia="Arial" w:hAnsi="Arial"/>
          <w:sz w:val="18"/>
          <w:szCs w:val="18"/>
          <w:u w:val="single" w:color="auto"/>
          <w:color w:val="0000FF"/>
        </w:rPr>
      </w:pPr>
    </w:p>
    <w:p>
      <w:pPr>
        <w:ind w:right="100"/>
        <w:spacing w:after="0" w:line="235"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Casella Waste Systems, Inc. Non-Equity Incentive Plan (incorporated herein by reference to Exhibit 10.1 of the current report on</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Form 8-K of Casella as filed on March 7, 2016 (file no. 000-23211)).</w:t>
        </w:r>
      </w:hyperlink>
    </w:p>
    <w:p>
      <w:pPr>
        <w:spacing w:after="0" w:line="54"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Casella Waste Systems, Inc. 2016 Incentive Plan (incorporated herein by reference to Exhibit 99.1 to the Registration Statement</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on Form S-8 of Casella as filed on November 17, 2016 (file No. 333-214683)).</w:t>
        </w:r>
      </w:hyperlink>
    </w:p>
    <w:p>
      <w:pPr>
        <w:spacing w:after="0" w:line="54" w:lineRule="exact"/>
        <w:rPr>
          <w:sz w:val="20"/>
          <w:szCs w:val="20"/>
          <w:color w:val="auto"/>
        </w:rPr>
      </w:pPr>
    </w:p>
    <w:p>
      <w:pPr>
        <w:ind w:right="100"/>
        <w:spacing w:after="0" w:line="289" w:lineRule="auto"/>
        <w:rPr>
          <w:rFonts w:ascii="Arial" w:cs="Arial" w:eastAsia="Arial" w:hAnsi="Arial"/>
          <w:sz w:val="16"/>
          <w:szCs w:val="16"/>
          <w:u w:val="single" w:color="auto"/>
          <w:color w:val="0000FF"/>
        </w:rPr>
      </w:pPr>
      <w:hyperlink r:id="rId206">
        <w:r>
          <w:rPr>
            <w:rFonts w:ascii="Arial" w:cs="Arial" w:eastAsia="Arial" w:hAnsi="Arial"/>
            <w:sz w:val="16"/>
            <w:szCs w:val="16"/>
            <w:u w:val="single" w:color="auto"/>
            <w:color w:val="0000FF"/>
          </w:rPr>
          <w:t>Form of Restricted Stock Unit Agreement under 2016 Incentive Plan (employee with employment contract) (incorporated herein</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by reference to Exhibit 10.1 to the current report on Form 8-K of Casella as filed on November 22, 2016 (file No. 000-23211)).</w:t>
        </w:r>
      </w:hyperlink>
    </w:p>
    <w:p>
      <w:pPr>
        <w:spacing w:after="0" w:line="16" w:lineRule="exact"/>
        <w:rPr>
          <w:sz w:val="20"/>
          <w:szCs w:val="20"/>
          <w:color w:val="auto"/>
        </w:rPr>
      </w:pPr>
    </w:p>
    <w:p>
      <w:pPr>
        <w:jc w:val="both"/>
        <w:ind w:right="320"/>
        <w:spacing w:after="0" w:line="224"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Form of Restricted Stock Unit Agreement under 2016 Incentive Plan (employee with no employment contract) (incorporated</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herein by reference to Exhibit 10.2 to the current report on Form 8-K of Casella as filed on November 22, 2016 (file No. 000-</w:t>
        </w:r>
      </w:hyperlink>
      <w:hyperlink r:id="rId207">
        <w:r>
          <w:rPr>
            <w:rFonts w:ascii="Arial" w:cs="Arial" w:eastAsia="Arial" w:hAnsi="Arial"/>
            <w:sz w:val="18"/>
            <w:szCs w:val="18"/>
            <w:u w:val="single" w:color="auto"/>
            <w:color w:val="0000FF"/>
          </w:rPr>
          <w:t>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Form of Performance-Based Stock Unit Agreement under 2016 Incentive Plan (employee with employment contract)</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(incorporated herein by reference to Exhibit 10.3 to the current report on Form 8-K of Casella as filed on November 22, 2016 (file</w:t>
        </w:r>
      </w:hyperlink>
      <w:r>
        <w:rPr>
          <w:rFonts w:ascii="Arial" w:cs="Arial" w:eastAsia="Arial" w:hAnsi="Arial"/>
          <w:sz w:val="18"/>
          <w:szCs w:val="18"/>
          <w:u w:val="single" w:color="auto"/>
          <w:color w:val="0000FF"/>
        </w:rPr>
        <w:t xml:space="preserve"> </w:t>
      </w:r>
      <w:hyperlink r:id="rId208">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Form of Performance-Based Stock Unit Agreement under 2016 Incentive Plan (employee with no employment contract)</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(incorporated herein by reference to Exhibit 10.4 to the current report on Form 8-K of Casella as filed on November 22, 2016 (file</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ind w:right="200"/>
        <w:spacing w:after="0" w:line="235" w:lineRule="auto"/>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Form of Restricted Stock Agreement under 2016 Incentive Plan (incorporated herein by reference to Exhibit 10.5 to the current</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report on Form 8-K of Casella as filed on November 22, 2016 (file No. 000-23211)).</w:t>
        </w:r>
      </w:hyperlink>
    </w:p>
    <w:p>
      <w:pPr>
        <w:spacing w:after="0" w:line="54" w:lineRule="exact"/>
        <w:rPr>
          <w:sz w:val="20"/>
          <w:szCs w:val="20"/>
          <w:color w:val="auto"/>
        </w:rPr>
      </w:pPr>
    </w:p>
    <w:p>
      <w:pPr>
        <w:ind w:right="320"/>
        <w:spacing w:after="0" w:line="224"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Form of Incentive Stock Option Agreement under 2016 Incentive Plan (employee with employment contract) (incorporated</w:t>
        </w:r>
      </w:hyperlink>
      <w:r>
        <w:rPr>
          <w:rFonts w:ascii="Arial" w:cs="Arial" w:eastAsia="Arial" w:hAnsi="Arial"/>
          <w:sz w:val="18"/>
          <w:szCs w:val="18"/>
          <w:u w:val="single" w:color="auto"/>
          <w:color w:val="0000FF"/>
        </w:rPr>
        <w:t xml:space="preserve"> </w:t>
      </w:r>
      <w:hyperlink r:id="rId211">
        <w:r>
          <w:rPr>
            <w:rFonts w:ascii="Arial" w:cs="Arial" w:eastAsia="Arial" w:hAnsi="Arial"/>
            <w:sz w:val="18"/>
            <w:szCs w:val="18"/>
            <w:u w:val="single" w:color="auto"/>
            <w:color w:val="0000FF"/>
          </w:rPr>
          <w:t>herein by reference to Exhibit 10.6 to the current report on Form 8-K of Casella as filed on November 22, 2016 (file No. 000-</w:t>
        </w:r>
      </w:hyperlink>
      <w:hyperlink r:id="rId211">
        <w:r>
          <w:rPr>
            <w:rFonts w:ascii="Arial" w:cs="Arial" w:eastAsia="Arial" w:hAnsi="Arial"/>
            <w:sz w:val="18"/>
            <w:szCs w:val="18"/>
            <w:u w:val="single" w:color="auto"/>
            <w:color w:val="0000FF"/>
          </w:rPr>
          <w:t>23211)).</w:t>
        </w:r>
      </w:hyperlink>
    </w:p>
    <w:p>
      <w:pPr>
        <w:spacing w:after="0" w:line="55" w:lineRule="exact"/>
        <w:rPr>
          <w:rFonts w:ascii="Arial" w:cs="Arial" w:eastAsia="Arial" w:hAnsi="Arial"/>
          <w:sz w:val="18"/>
          <w:szCs w:val="18"/>
          <w:u w:val="single" w:color="auto"/>
          <w:color w:val="0000FF"/>
        </w:rPr>
      </w:pPr>
    </w:p>
    <w:p>
      <w:pPr>
        <w:ind w:right="200"/>
        <w:spacing w:after="0" w:line="224"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Form of Nonstatutory Stock Option Agreement under 2016 Incentive Plan (employee with employment contract) (incorporated</w:t>
        </w:r>
      </w:hyperlink>
      <w:r>
        <w:rPr>
          <w:rFonts w:ascii="Arial" w:cs="Arial" w:eastAsia="Arial" w:hAnsi="Arial"/>
          <w:sz w:val="18"/>
          <w:szCs w:val="18"/>
          <w:u w:val="single" w:color="auto"/>
          <w:color w:val="0000FF"/>
        </w:rPr>
        <w:t xml:space="preserve"> </w:t>
      </w:r>
      <w:hyperlink r:id="rId212">
        <w:r>
          <w:rPr>
            <w:rFonts w:ascii="Arial" w:cs="Arial" w:eastAsia="Arial" w:hAnsi="Arial"/>
            <w:sz w:val="18"/>
            <w:szCs w:val="18"/>
            <w:u w:val="single" w:color="auto"/>
            <w:color w:val="0000FF"/>
          </w:rPr>
          <w:t>herein by reference to Exhibit 10.7 to the current report on Form 8-K of Casella as filed on November 22, 2016 (file No. 000-</w:t>
        </w:r>
      </w:hyperlink>
      <w:hyperlink r:id="rId212">
        <w:r>
          <w:rPr>
            <w:rFonts w:ascii="Arial" w:cs="Arial" w:eastAsia="Arial" w:hAnsi="Arial"/>
            <w:sz w:val="18"/>
            <w:szCs w:val="18"/>
            <w:u w:val="single" w:color="auto"/>
            <w:color w:val="0000FF"/>
          </w:rPr>
          <w:t>23211)).</w:t>
        </w:r>
      </w:hyperlink>
    </w:p>
    <w:p>
      <w:pPr>
        <w:spacing w:after="0" w:line="55" w:lineRule="exact"/>
        <w:rPr>
          <w:rFonts w:ascii="Arial" w:cs="Arial" w:eastAsia="Arial" w:hAnsi="Arial"/>
          <w:sz w:val="18"/>
          <w:szCs w:val="18"/>
          <w:u w:val="single" w:color="auto"/>
          <w:color w:val="0000FF"/>
        </w:rPr>
      </w:pPr>
    </w:p>
    <w:p>
      <w:pPr>
        <w:jc w:val="both"/>
        <w:ind w:right="260"/>
        <w:spacing w:after="0" w:line="224"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Form of Incentive Stock Option Agreement under 2016 Incentive Plan (employee with no employment contract) (incorporated</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herein by reference to Exhibit 10.8 to the current report on Form 8-K of Casella as filed on November 22, 2016 (file No. 000-</w:t>
        </w:r>
      </w:hyperlink>
      <w:hyperlink r:id="rId213">
        <w:r>
          <w:rPr>
            <w:rFonts w:ascii="Arial" w:cs="Arial" w:eastAsia="Arial" w:hAnsi="Arial"/>
            <w:sz w:val="18"/>
            <w:szCs w:val="18"/>
            <w:u w:val="single" w:color="auto"/>
            <w:color w:val="0000FF"/>
          </w:rPr>
          <w:t>23211)).</w:t>
        </w:r>
      </w:hyperlink>
    </w:p>
    <w:p>
      <w:pPr>
        <w:spacing w:after="0" w:line="55"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Form of Nonstatutory Stock Option Agreement under 2016 Incentive Plan (employee with no employment contract)</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(incorporated herein by reference to Exhibit 10.9 to the current report on Form 8-K of Casella as filed on November 22, 2016 (file</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No. 000-23211)).</w:t>
        </w:r>
      </w:hyperlink>
    </w:p>
    <w:p>
      <w:pPr>
        <w:spacing w:after="0" w:line="55" w:lineRule="exact"/>
        <w:rPr>
          <w:rFonts w:ascii="Arial" w:cs="Arial" w:eastAsia="Arial" w:hAnsi="Arial"/>
          <w:sz w:val="18"/>
          <w:szCs w:val="18"/>
          <w:u w:val="single" w:color="auto"/>
          <w:color w:val="0000FF"/>
        </w:rPr>
      </w:pPr>
    </w:p>
    <w:p>
      <w:pPr>
        <w:ind w:right="260"/>
        <w:spacing w:after="0" w:line="224"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Form of Performance-Based Stock Option Agreement under 2016 Incentive Plan (employee with employment contract)</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(incorporated herein by reference to Exhibit 10.10 to the current report on Form 8-K of Casella as filed on November 22, 2016</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(file No. 000-23211)).</w:t>
        </w:r>
      </w:hyperlink>
    </w:p>
    <w:p>
      <w:pPr>
        <w:spacing w:after="0" w:line="55" w:lineRule="exact"/>
        <w:rPr>
          <w:rFonts w:ascii="Arial" w:cs="Arial" w:eastAsia="Arial" w:hAnsi="Arial"/>
          <w:sz w:val="18"/>
          <w:szCs w:val="18"/>
          <w:u w:val="single" w:color="auto"/>
          <w:color w:val="0000FF"/>
        </w:rPr>
      </w:pPr>
    </w:p>
    <w:p>
      <w:pPr>
        <w:ind w:right="260"/>
        <w:spacing w:after="0" w:line="224"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Form of Performance-Based Stock Option Agreement under 2016 Incentive Plan (employee with no employment contract)</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(incorporated herein by reference to Exhibit 10.11 to the current report on Form 8-K of Casella as filed on November 22, 2016</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(file No. 000-23211)).</w:t>
        </w:r>
      </w:hyperlink>
    </w:p>
    <w:p>
      <w:pPr>
        <w:spacing w:after="0" w:line="55" w:lineRule="exact"/>
        <w:rPr>
          <w:rFonts w:ascii="Arial" w:cs="Arial" w:eastAsia="Arial" w:hAnsi="Arial"/>
          <w:sz w:val="18"/>
          <w:szCs w:val="18"/>
          <w:u w:val="single" w:color="auto"/>
          <w:color w:val="0000FF"/>
        </w:rPr>
      </w:pPr>
    </w:p>
    <w:p>
      <w:pPr>
        <w:ind w:right="160"/>
        <w:spacing w:after="0" w:line="289" w:lineRule="auto"/>
        <w:rPr>
          <w:rFonts w:ascii="Arial" w:cs="Arial" w:eastAsia="Arial" w:hAnsi="Arial"/>
          <w:sz w:val="16"/>
          <w:szCs w:val="16"/>
          <w:u w:val="single" w:color="auto"/>
          <w:color w:val="0000FF"/>
        </w:rPr>
      </w:pPr>
      <w:hyperlink r:id="rId217">
        <w:r>
          <w:rPr>
            <w:rFonts w:ascii="Arial" w:cs="Arial" w:eastAsia="Arial" w:hAnsi="Arial"/>
            <w:sz w:val="16"/>
            <w:szCs w:val="16"/>
            <w:u w:val="single" w:color="auto"/>
            <w:color w:val="0000FF"/>
          </w:rPr>
          <w:t>Form of Restricted Stock Unit Agreement under 2016 Incentive Plan (non-employee director) (incorporated herein by reference</w:t>
        </w:r>
      </w:hyperlink>
      <w:r>
        <w:rPr>
          <w:rFonts w:ascii="Arial" w:cs="Arial" w:eastAsia="Arial" w:hAnsi="Arial"/>
          <w:sz w:val="16"/>
          <w:szCs w:val="16"/>
          <w:u w:val="single" w:color="auto"/>
          <w:color w:val="0000FF"/>
        </w:rPr>
        <w:t xml:space="preserve"> </w:t>
      </w:r>
      <w:hyperlink r:id="rId217">
        <w:r>
          <w:rPr>
            <w:rFonts w:ascii="Arial" w:cs="Arial" w:eastAsia="Arial" w:hAnsi="Arial"/>
            <w:sz w:val="16"/>
            <w:szCs w:val="16"/>
            <w:u w:val="single" w:color="auto"/>
            <w:color w:val="0000FF"/>
          </w:rPr>
          <w:t>to Exhibit 10.1 to the quarterly report on Form 10-Q of Casella as filed on November 2, 2017 (file No. 000-23211)).</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260" w:space="720"/>
            <w:col w:w="9380"/>
          </w:cols>
          <w:pgMar w:left="240" w:top="118" w:right="29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51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10.39</w:t>
      </w:r>
    </w:p>
    <w:p>
      <w:pPr>
        <w:spacing w:after="0" w:line="200" w:lineRule="exact"/>
        <w:rPr>
          <w:sz w:val="20"/>
          <w:szCs w:val="20"/>
          <w:color w:val="auto"/>
        </w:rPr>
      </w:pPr>
    </w:p>
    <w:p>
      <w:pPr>
        <w:spacing w:after="0" w:line="390" w:lineRule="exact"/>
        <w:rPr>
          <w:sz w:val="20"/>
          <w:szCs w:val="20"/>
          <w:color w:val="auto"/>
        </w:rPr>
      </w:pPr>
    </w:p>
    <w:p>
      <w:pPr>
        <w:ind w:left="22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21.1 +</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23.1 +</w:t>
        </w:r>
      </w:hyperlink>
    </w:p>
    <w:p>
      <w:pPr>
        <w:spacing w:after="0" w:line="117" w:lineRule="exact"/>
        <w:rPr>
          <w:sz w:val="20"/>
          <w:szCs w:val="20"/>
          <w:color w:val="auto"/>
        </w:rPr>
      </w:pPr>
    </w:p>
    <w:p>
      <w:pPr>
        <w:ind w:left="220"/>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31.1 +</w:t>
        </w:r>
      </w:hyperlink>
    </w:p>
    <w:p>
      <w:pPr>
        <w:spacing w:after="0" w:line="333" w:lineRule="exact"/>
        <w:rPr>
          <w:sz w:val="20"/>
          <w:szCs w:val="20"/>
          <w:color w:val="auto"/>
        </w:rPr>
      </w:pPr>
    </w:p>
    <w:p>
      <w:pPr>
        <w:ind w:left="220"/>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31.2 +</w:t>
        </w:r>
      </w:hyperlink>
    </w:p>
    <w:p>
      <w:pPr>
        <w:spacing w:after="0" w:line="333" w:lineRule="exact"/>
        <w:rPr>
          <w:sz w:val="20"/>
          <w:szCs w:val="20"/>
          <w:color w:val="auto"/>
        </w:rPr>
      </w:pPr>
    </w:p>
    <w:p>
      <w:pPr>
        <w:ind w:left="220"/>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32.1 +</w:t>
        </w:r>
      </w:hyperlink>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5986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70" w:lineRule="exact"/>
        <w:rPr>
          <w:sz w:val="20"/>
          <w:szCs w:val="20"/>
          <w:color w:val="auto"/>
        </w:rPr>
      </w:pPr>
    </w:p>
    <w:p>
      <w:pPr>
        <w:ind w:right="20"/>
        <w:spacing w:after="0" w:line="232" w:lineRule="auto"/>
        <w:rPr>
          <w:rFonts w:ascii="Arial" w:cs="Arial" w:eastAsia="Arial" w:hAnsi="Arial"/>
          <w:sz w:val="17"/>
          <w:szCs w:val="17"/>
          <w:u w:val="single" w:color="auto"/>
          <w:color w:val="0000FF"/>
        </w:rPr>
      </w:pPr>
      <w:hyperlink r:id="rId221">
        <w:r>
          <w:rPr>
            <w:rFonts w:ascii="Arial" w:cs="Arial" w:eastAsia="Arial" w:hAnsi="Arial"/>
            <w:sz w:val="17"/>
            <w:szCs w:val="17"/>
            <w:u w:val="single" w:color="auto"/>
            <w:color w:val="0000FF"/>
          </w:rPr>
          <w:t>Credit Agreement, dated as of May 14, 2018, among Casella, the subsidiaries of Casella identified therein, Bank of America,</w:t>
        </w:r>
      </w:hyperlink>
      <w:r>
        <w:rPr>
          <w:rFonts w:ascii="Arial" w:cs="Arial" w:eastAsia="Arial" w:hAnsi="Arial"/>
          <w:sz w:val="17"/>
          <w:szCs w:val="17"/>
          <w:u w:val="single" w:color="auto"/>
          <w:color w:val="0000FF"/>
        </w:rPr>
        <w:t xml:space="preserve"> </w:t>
      </w:r>
      <w:hyperlink r:id="rId221">
        <w:r>
          <w:rPr>
            <w:rFonts w:ascii="Arial" w:cs="Arial" w:eastAsia="Arial" w:hAnsi="Arial"/>
            <w:sz w:val="17"/>
            <w:szCs w:val="17"/>
            <w:u w:val="single" w:color="auto"/>
            <w:color w:val="0000FF"/>
          </w:rPr>
          <w:t>N.A., as administrative agent, Merrill Lynch,Pierce Fenner &amp; Smith Incorporated, Citizens Bank, N.A., JPMorgan Chase Bank,</w:t>
        </w:r>
      </w:hyperlink>
      <w:r>
        <w:rPr>
          <w:rFonts w:ascii="Arial" w:cs="Arial" w:eastAsia="Arial" w:hAnsi="Arial"/>
          <w:sz w:val="17"/>
          <w:szCs w:val="17"/>
          <w:u w:val="single" w:color="auto"/>
          <w:color w:val="0000FF"/>
        </w:rPr>
        <w:t xml:space="preserve"> </w:t>
      </w:r>
      <w:hyperlink r:id="rId221">
        <w:r>
          <w:rPr>
            <w:rFonts w:ascii="Arial" w:cs="Arial" w:eastAsia="Arial" w:hAnsi="Arial"/>
            <w:sz w:val="17"/>
            <w:szCs w:val="17"/>
            <w:u w:val="single" w:color="auto"/>
            <w:color w:val="0000FF"/>
          </w:rPr>
          <w:t>N.A. and Comerica Bank as joint lead arrangers, and the lenders party thereto (incorporated herein by reference to Exhibit 10.1 to</w:t>
        </w:r>
      </w:hyperlink>
      <w:r>
        <w:rPr>
          <w:rFonts w:ascii="Arial" w:cs="Arial" w:eastAsia="Arial" w:hAnsi="Arial"/>
          <w:sz w:val="17"/>
          <w:szCs w:val="17"/>
          <w:u w:val="single" w:color="auto"/>
          <w:color w:val="0000FF"/>
        </w:rPr>
        <w:t xml:space="preserve"> </w:t>
      </w:r>
      <w:hyperlink r:id="rId221">
        <w:r>
          <w:rPr>
            <w:rFonts w:ascii="Arial" w:cs="Arial" w:eastAsia="Arial" w:hAnsi="Arial"/>
            <w:sz w:val="17"/>
            <w:szCs w:val="17"/>
            <w:u w:val="single" w:color="auto"/>
            <w:color w:val="0000FF"/>
          </w:rPr>
          <w:t>the current report on Form 9-K of Casella as filed on May 15, 2018 (file No. 000-23211).</w:t>
        </w:r>
      </w:hyperlink>
    </w:p>
    <w:p>
      <w:pPr>
        <w:spacing w:after="0" w:line="68"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Subsidiaries of Casella Waste Systems, Inc.</w:t>
      </w:r>
    </w:p>
    <w:p>
      <w:pPr>
        <w:spacing w:after="0" w:line="117"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Consent of RSM US LLP</w:t>
      </w:r>
    </w:p>
    <w:p>
      <w:pPr>
        <w:spacing w:after="0" w:line="117" w:lineRule="exact"/>
        <w:rPr>
          <w:rFonts w:ascii="Arial" w:cs="Arial" w:eastAsia="Arial" w:hAnsi="Arial"/>
          <w:sz w:val="17"/>
          <w:szCs w:val="17"/>
          <w:u w:val="single" w:color="auto"/>
          <w:color w:val="0000FF"/>
        </w:rPr>
      </w:pPr>
    </w:p>
    <w:p>
      <w:pPr>
        <w:spacing w:after="0" w:line="277" w:lineRule="auto"/>
        <w:rPr>
          <w:sz w:val="20"/>
          <w:szCs w:val="20"/>
          <w:color w:val="auto"/>
        </w:rPr>
      </w:pPr>
      <w:r>
        <w:rPr>
          <w:rFonts w:ascii="Arial" w:cs="Arial" w:eastAsia="Arial" w:hAnsi="Arial"/>
          <w:sz w:val="18"/>
          <w:szCs w:val="18"/>
          <w:color w:val="auto"/>
        </w:rPr>
        <w:t>Certification of Principal Executive Officer required by Rule 13a-14(a) or Rule 15d-14(a) of the Securities Exchange Act of 1934, as amended.</w:t>
      </w:r>
    </w:p>
    <w:p>
      <w:pPr>
        <w:spacing w:after="0" w:line="62" w:lineRule="exact"/>
        <w:rPr>
          <w:rFonts w:ascii="Arial" w:cs="Arial" w:eastAsia="Arial" w:hAnsi="Arial"/>
          <w:sz w:val="17"/>
          <w:szCs w:val="17"/>
          <w:u w:val="single" w:color="auto"/>
          <w:color w:val="0000FF"/>
        </w:rPr>
      </w:pPr>
    </w:p>
    <w:p>
      <w:pPr>
        <w:ind w:right="40"/>
        <w:spacing w:after="0" w:line="277" w:lineRule="auto"/>
        <w:rPr>
          <w:sz w:val="20"/>
          <w:szCs w:val="20"/>
          <w:color w:val="auto"/>
        </w:rPr>
      </w:pPr>
      <w:r>
        <w:rPr>
          <w:rFonts w:ascii="Arial" w:cs="Arial" w:eastAsia="Arial" w:hAnsi="Arial"/>
          <w:sz w:val="18"/>
          <w:szCs w:val="18"/>
          <w:color w:val="auto"/>
        </w:rPr>
        <w:t>Certification of Principal Financial Officer required by Rule 13a-14(a) or Rule 15d-14(a) of the Securities Exchange Act of 1934, as amended.</w:t>
      </w:r>
    </w:p>
    <w:p>
      <w:pPr>
        <w:spacing w:after="0" w:line="62" w:lineRule="exact"/>
        <w:rPr>
          <w:rFonts w:ascii="Arial" w:cs="Arial" w:eastAsia="Arial" w:hAnsi="Arial"/>
          <w:sz w:val="17"/>
          <w:szCs w:val="17"/>
          <w:u w:val="single" w:color="auto"/>
          <w:color w:val="0000FF"/>
        </w:rPr>
      </w:pPr>
    </w:p>
    <w:p>
      <w:pPr>
        <w:ind w:right="180"/>
        <w:spacing w:after="0" w:line="277"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 Oxley Act of 2002.</w:t>
      </w:r>
    </w:p>
    <w:p>
      <w:pPr>
        <w:spacing w:after="0" w:line="62" w:lineRule="exact"/>
        <w:rPr>
          <w:rFonts w:ascii="Arial" w:cs="Arial" w:eastAsia="Arial" w:hAnsi="Arial"/>
          <w:sz w:val="17"/>
          <w:szCs w:val="17"/>
          <w:u w:val="single" w:color="auto"/>
          <w:color w:val="0000FF"/>
        </w:rPr>
      </w:pPr>
    </w:p>
    <w:p>
      <w:pPr>
        <w:ind w:right="160"/>
        <w:spacing w:after="0" w:line="277"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62" w:lineRule="exact"/>
        <w:rPr>
          <w:rFonts w:ascii="Arial" w:cs="Arial" w:eastAsia="Arial" w:hAnsi="Arial"/>
          <w:sz w:val="17"/>
          <w:szCs w:val="17"/>
          <w:u w:val="single" w:color="auto"/>
          <w:color w:val="0000FF"/>
        </w:rPr>
      </w:pPr>
    </w:p>
    <w:p>
      <w:pPr>
        <w:sectPr>
          <w:pgSz w:w="11900" w:h="16838" w:orient="portrait"/>
          <w:cols w:equalWidth="0" w:num="2">
            <w:col w:w="1260" w:space="720"/>
            <w:col w:w="9380"/>
          </w:cols>
          <w:pgMar w:left="240" w:top="118" w:right="299" w:bottom="1440" w:gutter="0" w:footer="0" w:header="0"/>
        </w:sectPr>
      </w:pPr>
    </w:p>
    <w:tbl>
      <w:tblPr>
        <w:tblLayout w:type="fixed"/>
        <w:tblInd w:w="22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360" w:type="dxa"/>
            <w:vAlign w:val="bottom"/>
          </w:tcPr>
          <w:p>
            <w:pPr>
              <w:ind w:left="54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360" w:type="dxa"/>
            <w:vAlign w:val="bottom"/>
          </w:tcPr>
          <w:p>
            <w:pPr>
              <w:ind w:left="540"/>
              <w:spacing w:after="0"/>
              <w:rPr>
                <w:sz w:val="20"/>
                <w:szCs w:val="20"/>
                <w:color w:val="auto"/>
              </w:rPr>
            </w:pPr>
            <w:r>
              <w:rPr>
                <w:rFonts w:ascii="Arial" w:cs="Arial" w:eastAsia="Arial" w:hAnsi="Arial"/>
                <w:sz w:val="18"/>
                <w:szCs w:val="18"/>
                <w:color w:val="auto"/>
              </w:rPr>
              <w:t>Inline XBRL Taxonomy Calculation Linkbase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360" w:type="dxa"/>
            <w:vAlign w:val="bottom"/>
          </w:tcPr>
          <w:p>
            <w:pPr>
              <w:ind w:left="540"/>
              <w:spacing w:after="0"/>
              <w:rPr>
                <w:sz w:val="20"/>
                <w:szCs w:val="20"/>
                <w:color w:val="auto"/>
              </w:rPr>
            </w:pPr>
            <w:r>
              <w:rPr>
                <w:rFonts w:ascii="Arial" w:cs="Arial" w:eastAsia="Arial" w:hAnsi="Arial"/>
                <w:sz w:val="18"/>
                <w:szCs w:val="18"/>
                <w:color w:val="auto"/>
              </w:rPr>
              <w:t>Inline XBRL Taxonomy Label Linkbase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360" w:type="dxa"/>
            <w:vAlign w:val="bottom"/>
          </w:tcPr>
          <w:p>
            <w:pPr>
              <w:ind w:left="540"/>
              <w:spacing w:after="0"/>
              <w:rPr>
                <w:sz w:val="20"/>
                <w:szCs w:val="20"/>
                <w:color w:val="auto"/>
              </w:rPr>
            </w:pPr>
            <w:r>
              <w:rPr>
                <w:rFonts w:ascii="Arial" w:cs="Arial" w:eastAsia="Arial" w:hAnsi="Arial"/>
                <w:sz w:val="18"/>
                <w:szCs w:val="18"/>
                <w:color w:val="auto"/>
              </w:rPr>
              <w:t>Inline XBRL Taxonomy Presentation Linkbase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360" w:type="dxa"/>
            <w:vAlign w:val="bottom"/>
          </w:tcPr>
          <w:p>
            <w:pPr>
              <w:ind w:left="5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9360" w:type="dxa"/>
            <w:vAlign w:val="bottom"/>
          </w:tcPr>
          <w:p>
            <w:pPr>
              <w:ind w:left="540"/>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w:t>
            </w:r>
          </w:p>
        </w:tc>
      </w:tr>
      <w:tr>
        <w:trPr>
          <w:trHeight w:val="230"/>
        </w:trPr>
        <w:tc>
          <w:tcPr>
            <w:tcW w:w="1220" w:type="dxa"/>
            <w:vAlign w:val="bottom"/>
          </w:tcPr>
          <w:p>
            <w:pPr>
              <w:spacing w:after="0"/>
              <w:rPr>
                <w:sz w:val="20"/>
                <w:szCs w:val="20"/>
                <w:color w:val="auto"/>
              </w:rPr>
            </w:pPr>
          </w:p>
        </w:tc>
        <w:tc>
          <w:tcPr>
            <w:tcW w:w="9360" w:type="dxa"/>
            <w:vAlign w:val="bottom"/>
          </w:tcPr>
          <w:p>
            <w:pPr>
              <w:ind w:left="540"/>
              <w:spacing w:after="0"/>
              <w:rPr>
                <w:sz w:val="20"/>
                <w:szCs w:val="20"/>
                <w:color w:val="auto"/>
              </w:rPr>
            </w:pPr>
            <w:r>
              <w:rPr>
                <w:rFonts w:ascii="Arial" w:cs="Arial" w:eastAsia="Arial" w:hAnsi="Arial"/>
                <w:sz w:val="18"/>
                <w:szCs w:val="18"/>
                <w:color w:val="auto"/>
              </w:rPr>
              <w:t>Exhibits 101.)</w:t>
            </w:r>
          </w:p>
        </w:tc>
      </w:tr>
    </w:tbl>
    <w:p>
      <w:pPr>
        <w:spacing w:after="0" w:line="121"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 This is a management contract or compensatory plan or arrangement.</w:t>
      </w:r>
    </w:p>
    <w:p>
      <w:pPr>
        <w:spacing w:after="0" w:line="9" w:lineRule="exact"/>
        <w:rPr>
          <w:rFonts w:ascii="Arial" w:cs="Arial" w:eastAsia="Arial" w:hAnsi="Arial"/>
          <w:sz w:val="17"/>
          <w:szCs w:val="17"/>
          <w:u w:val="single" w:color="auto"/>
          <w:color w:val="0000FF"/>
        </w:rPr>
      </w:pPr>
    </w:p>
    <w:p>
      <w:pPr>
        <w:jc w:val="both"/>
        <w:ind w:right="200" w:firstLine="8"/>
        <w:spacing w:after="0" w:line="253" w:lineRule="auto"/>
        <w:tabs>
          <w:tab w:leader="none" w:pos="2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Submitted Electronically Herewith. Attached as Exhibit 101 to this report are the following formatted in inline XBRL (Extensible Business Reporting Language): (i) Consolidated Balance Sheets as of December 31, 2019 and December 31, 2018, (ii) Consolidated Statements of Operations for fiscal years 2019, 2018 and 2017, (iii) Consolidated Statements of Comprehensive Income (Loss) for fiscal years 2019, 2018 and 2017, (iv) Consolidated Statement of Stockholders’ Equity (Deficit) for fiscal years 2019, 2018 and 2017, (v) Consolidated Statements of Cash Flows for fiscal years 2019, 2018 and 2017, and (vi) Notes to Consolidated Financial Statements.</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91" w:lineRule="exact"/>
        <w:rPr>
          <w:rFonts w:ascii="Arial" w:cs="Arial" w:eastAsia="Arial" w:hAnsi="Arial"/>
          <w:sz w:val="17"/>
          <w:szCs w:val="17"/>
          <w:u w:val="single" w:color="auto"/>
          <w:color w:val="0000FF"/>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Dated: February 21, 2020</w:t>
            </w:r>
          </w:p>
        </w:tc>
        <w:tc>
          <w:tcPr>
            <w:tcW w:w="4920" w:type="dxa"/>
            <w:vAlign w:val="bottom"/>
          </w:tcPr>
          <w:p>
            <w:pPr>
              <w:ind w:left="20"/>
              <w:spacing w:after="0"/>
              <w:rPr>
                <w:sz w:val="20"/>
                <w:szCs w:val="20"/>
                <w:color w:val="auto"/>
              </w:rPr>
            </w:pPr>
            <w:r>
              <w:rPr>
                <w:rFonts w:ascii="Arial" w:cs="Arial" w:eastAsia="Arial" w:hAnsi="Arial"/>
                <w:sz w:val="18"/>
                <w:szCs w:val="18"/>
                <w:color w:val="auto"/>
              </w:rPr>
              <w:t>By: /s/ John W. Casella</w:t>
            </w:r>
          </w:p>
        </w:tc>
      </w:tr>
      <w:tr>
        <w:trPr>
          <w:trHeight w:val="27"/>
        </w:trPr>
        <w:tc>
          <w:tcPr>
            <w:tcW w:w="646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56"/>
        </w:trPr>
        <w:tc>
          <w:tcPr>
            <w:tcW w:w="646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Chairman of the Board of Directors and Chief</w:t>
            </w:r>
          </w:p>
        </w:tc>
      </w:tr>
      <w:tr>
        <w:trPr>
          <w:trHeight w:val="216"/>
        </w:trPr>
        <w:tc>
          <w:tcPr>
            <w:tcW w:w="64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Executive Officer</w:t>
            </w:r>
          </w:p>
        </w:tc>
      </w:tr>
      <w:tr>
        <w:trPr>
          <w:trHeight w:val="230"/>
        </w:trPr>
        <w:tc>
          <w:tcPr>
            <w:tcW w:w="64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1880" w:type="dxa"/>
            <w:vAlign w:val="bottom"/>
          </w:tcPr>
          <w:p>
            <w:pPr>
              <w:jc w:val="center"/>
              <w:ind w:right="531"/>
              <w:spacing w:after="0"/>
              <w:rPr>
                <w:sz w:val="20"/>
                <w:szCs w:val="20"/>
                <w:color w:val="auto"/>
              </w:rPr>
            </w:pPr>
            <w:r>
              <w:rPr>
                <w:rFonts w:ascii="Arial" w:cs="Arial" w:eastAsia="Arial" w:hAnsi="Arial"/>
                <w:sz w:val="14"/>
                <w:szCs w:val="14"/>
                <w:b w:val="1"/>
                <w:bCs w:val="1"/>
                <w:color w:val="auto"/>
                <w:w w:val="89"/>
              </w:rPr>
              <w:t>Signature</w:t>
            </w:r>
          </w:p>
        </w:tc>
        <w:tc>
          <w:tcPr>
            <w:tcW w:w="6260" w:type="dxa"/>
            <w:vAlign w:val="bottom"/>
          </w:tcPr>
          <w:p>
            <w:pPr>
              <w:jc w:val="center"/>
              <w:ind w:left="51"/>
              <w:spacing w:after="0"/>
              <w:rPr>
                <w:sz w:val="20"/>
                <w:szCs w:val="20"/>
                <w:color w:val="auto"/>
              </w:rPr>
            </w:pPr>
            <w:r>
              <w:rPr>
                <w:rFonts w:ascii="Arial" w:cs="Arial" w:eastAsia="Arial" w:hAnsi="Arial"/>
                <w:sz w:val="14"/>
                <w:szCs w:val="14"/>
                <w:b w:val="1"/>
                <w:bCs w:val="1"/>
                <w:color w:val="auto"/>
                <w:w w:val="97"/>
              </w:rPr>
              <w:t>Title</w:t>
            </w:r>
          </w:p>
        </w:tc>
        <w:tc>
          <w:tcPr>
            <w:tcW w:w="2080" w:type="dxa"/>
            <w:vAlign w:val="bottom"/>
          </w:tcPr>
          <w:p>
            <w:pPr>
              <w:jc w:val="center"/>
              <w:ind w:left="651"/>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40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3"/>
              </w:rPr>
              <w:t>/s/  John W. Casella</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2"/>
              </w:rPr>
              <w:t>Chairman of the Board of Directors and Chief Executive Officer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60" w:type="dxa"/>
            <w:vAlign w:val="bottom"/>
            <w:vMerge w:val="restart"/>
          </w:tcPr>
          <w:p>
            <w:pPr>
              <w:jc w:val="center"/>
              <w:ind w:left="71"/>
              <w:spacing w:after="0"/>
              <w:rPr>
                <w:sz w:val="20"/>
                <w:szCs w:val="20"/>
                <w:color w:val="auto"/>
              </w:rPr>
            </w:pPr>
            <w:r>
              <w:rPr>
                <w:rFonts w:ascii="Arial" w:cs="Arial" w:eastAsia="Arial" w:hAnsi="Arial"/>
                <w:sz w:val="18"/>
                <w:szCs w:val="18"/>
                <w:color w:val="auto"/>
                <w:w w:val="94"/>
              </w:rPr>
              <w:t>(Principal Executive Officer)</w:t>
            </w: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1880" w:type="dxa"/>
            <w:vAlign w:val="bottom"/>
          </w:tcPr>
          <w:p>
            <w:pPr>
              <w:jc w:val="center"/>
              <w:ind w:right="531"/>
              <w:spacing w:after="0"/>
              <w:rPr>
                <w:sz w:val="20"/>
                <w:szCs w:val="20"/>
                <w:color w:val="auto"/>
              </w:rPr>
            </w:pPr>
            <w:r>
              <w:rPr>
                <w:rFonts w:ascii="Arial" w:cs="Arial" w:eastAsia="Arial" w:hAnsi="Arial"/>
                <w:sz w:val="18"/>
                <w:szCs w:val="18"/>
                <w:color w:val="auto"/>
                <w:w w:val="86"/>
              </w:rPr>
              <w:t>John W. Casella</w:t>
            </w:r>
          </w:p>
        </w:tc>
        <w:tc>
          <w:tcPr>
            <w:tcW w:w="626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ind w:left="38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71"/>
              <w:spacing w:after="0"/>
              <w:rPr>
                <w:sz w:val="20"/>
                <w:szCs w:val="20"/>
                <w:color w:val="auto"/>
              </w:rPr>
            </w:pPr>
            <w:r>
              <w:rPr>
                <w:rFonts w:ascii="Arial" w:cs="Arial" w:eastAsia="Arial" w:hAnsi="Arial"/>
                <w:sz w:val="18"/>
                <w:szCs w:val="18"/>
                <w:color w:val="auto"/>
                <w:w w:val="90"/>
              </w:rPr>
              <w:t>Edmond R. Coletta</w:t>
            </w:r>
          </w:p>
        </w:tc>
        <w:tc>
          <w:tcPr>
            <w:tcW w:w="6260" w:type="dxa"/>
            <w:vAlign w:val="bottom"/>
          </w:tcPr>
          <w:p>
            <w:pPr>
              <w:jc w:val="center"/>
              <w:ind w:left="71"/>
              <w:spacing w:after="0"/>
              <w:rPr>
                <w:sz w:val="20"/>
                <w:szCs w:val="20"/>
                <w:color w:val="auto"/>
              </w:rPr>
            </w:pPr>
            <w:r>
              <w:rPr>
                <w:rFonts w:ascii="Arial" w:cs="Arial" w:eastAsia="Arial" w:hAnsi="Arial"/>
                <w:sz w:val="18"/>
                <w:szCs w:val="18"/>
                <w:color w:val="auto"/>
                <w:w w:val="91"/>
              </w:rPr>
              <w:t>Senior Vice President and Chief Financial Officer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vMerge w:val="restart"/>
          </w:tcPr>
          <w:p>
            <w:pPr>
              <w:jc w:val="center"/>
              <w:ind w:left="71"/>
              <w:spacing w:after="0"/>
              <w:rPr>
                <w:sz w:val="20"/>
                <w:szCs w:val="20"/>
                <w:color w:val="auto"/>
              </w:rPr>
            </w:pPr>
            <w:r>
              <w:rPr>
                <w:rFonts w:ascii="Arial" w:cs="Arial" w:eastAsia="Arial" w:hAnsi="Arial"/>
                <w:sz w:val="18"/>
                <w:szCs w:val="18"/>
                <w:color w:val="auto"/>
                <w:w w:val="95"/>
              </w:rPr>
              <w:t>(Principal Financial Officer)</w:t>
            </w: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0"/>
              </w:rPr>
              <w:t>Edmond R. Coletta</w:t>
            </w:r>
          </w:p>
        </w:tc>
        <w:tc>
          <w:tcPr>
            <w:tcW w:w="626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ind w:left="30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71"/>
              <w:spacing w:after="0"/>
              <w:rPr>
                <w:sz w:val="20"/>
                <w:szCs w:val="20"/>
                <w:color w:val="auto"/>
              </w:rPr>
            </w:pPr>
            <w:r>
              <w:rPr>
                <w:rFonts w:ascii="Arial" w:cs="Arial" w:eastAsia="Arial" w:hAnsi="Arial"/>
                <w:sz w:val="18"/>
                <w:szCs w:val="18"/>
                <w:color w:val="auto"/>
                <w:w w:val="92"/>
              </w:rPr>
              <w:t>Christopher B. Heald</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2"/>
              </w:rPr>
              <w:t>Vice President and Chief Accounting Officer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vMerge w:val="restart"/>
          </w:tcPr>
          <w:p>
            <w:pPr>
              <w:jc w:val="center"/>
              <w:ind w:left="71"/>
              <w:spacing w:after="0"/>
              <w:rPr>
                <w:sz w:val="20"/>
                <w:szCs w:val="20"/>
                <w:color w:val="auto"/>
              </w:rPr>
            </w:pPr>
            <w:r>
              <w:rPr>
                <w:rFonts w:ascii="Arial" w:cs="Arial" w:eastAsia="Arial" w:hAnsi="Arial"/>
                <w:sz w:val="18"/>
                <w:szCs w:val="18"/>
                <w:color w:val="auto"/>
                <w:w w:val="95"/>
              </w:rPr>
              <w:t>(Principal Accounting Officer)</w:t>
            </w: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2"/>
              </w:rPr>
              <w:t>Christopher B. Heald</w:t>
            </w:r>
          </w:p>
        </w:tc>
        <w:tc>
          <w:tcPr>
            <w:tcW w:w="626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ind w:left="38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71"/>
              <w:spacing w:after="0"/>
              <w:rPr>
                <w:sz w:val="20"/>
                <w:szCs w:val="20"/>
                <w:color w:val="auto"/>
              </w:rPr>
            </w:pPr>
            <w:r>
              <w:rPr>
                <w:rFonts w:ascii="Arial" w:cs="Arial" w:eastAsia="Arial" w:hAnsi="Arial"/>
                <w:sz w:val="18"/>
                <w:szCs w:val="18"/>
                <w:color w:val="auto"/>
                <w:w w:val="89"/>
              </w:rPr>
              <w:t>Douglas R. Casella</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9"/>
              </w:rPr>
              <w:t>Douglas R. Casella</w:t>
            </w:r>
          </w:p>
        </w:tc>
        <w:tc>
          <w:tcPr>
            <w:tcW w:w="6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20" w:type="dxa"/>
            <w:vAlign w:val="bottom"/>
          </w:tcPr>
          <w:p>
            <w:pPr>
              <w:ind w:left="460"/>
              <w:spacing w:after="0"/>
              <w:rPr>
                <w:sz w:val="20"/>
                <w:szCs w:val="20"/>
                <w:color w:val="auto"/>
              </w:rPr>
            </w:pPr>
            <w:r>
              <w:rPr>
                <w:rFonts w:ascii="Arial" w:cs="Arial" w:eastAsia="Arial" w:hAnsi="Arial"/>
                <w:sz w:val="18"/>
                <w:szCs w:val="18"/>
                <w:color w:val="auto"/>
                <w:w w:val="73"/>
              </w:rPr>
              <w:t>/s/</w:t>
            </w:r>
          </w:p>
        </w:tc>
        <w:tc>
          <w:tcPr>
            <w:tcW w:w="1880" w:type="dxa"/>
            <w:vAlign w:val="bottom"/>
          </w:tcPr>
          <w:p>
            <w:pPr>
              <w:jc w:val="center"/>
              <w:ind w:right="191"/>
              <w:spacing w:after="0"/>
              <w:rPr>
                <w:sz w:val="20"/>
                <w:szCs w:val="20"/>
                <w:color w:val="auto"/>
              </w:rPr>
            </w:pPr>
            <w:r>
              <w:rPr>
                <w:rFonts w:ascii="Arial" w:cs="Arial" w:eastAsia="Arial" w:hAnsi="Arial"/>
                <w:sz w:val="18"/>
                <w:szCs w:val="18"/>
                <w:color w:val="auto"/>
                <w:w w:val="89"/>
              </w:rPr>
              <w:t>Joseph G. Doody</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1880" w:type="dxa"/>
            <w:vAlign w:val="bottom"/>
          </w:tcPr>
          <w:p>
            <w:pPr>
              <w:jc w:val="center"/>
              <w:ind w:right="531"/>
              <w:spacing w:after="0"/>
              <w:rPr>
                <w:sz w:val="20"/>
                <w:szCs w:val="20"/>
                <w:color w:val="auto"/>
              </w:rPr>
            </w:pPr>
            <w:r>
              <w:rPr>
                <w:rFonts w:ascii="Arial" w:cs="Arial" w:eastAsia="Arial" w:hAnsi="Arial"/>
                <w:sz w:val="18"/>
                <w:szCs w:val="18"/>
                <w:color w:val="auto"/>
                <w:w w:val="90"/>
              </w:rPr>
              <w:t>Joseph G. Doody</w:t>
            </w:r>
          </w:p>
        </w:tc>
        <w:tc>
          <w:tcPr>
            <w:tcW w:w="6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ind w:left="420"/>
              <w:spacing w:after="0"/>
              <w:rPr>
                <w:sz w:val="20"/>
                <w:szCs w:val="20"/>
                <w:color w:val="auto"/>
              </w:rPr>
            </w:pPr>
            <w:r>
              <w:rPr>
                <w:rFonts w:ascii="Arial" w:cs="Arial" w:eastAsia="Arial" w:hAnsi="Arial"/>
                <w:sz w:val="18"/>
                <w:szCs w:val="18"/>
                <w:color w:val="auto"/>
                <w:w w:val="94"/>
              </w:rPr>
              <w:t>/s/</w:t>
            </w:r>
          </w:p>
        </w:tc>
        <w:tc>
          <w:tcPr>
            <w:tcW w:w="1880" w:type="dxa"/>
            <w:vAlign w:val="bottom"/>
          </w:tcPr>
          <w:p>
            <w:pPr>
              <w:jc w:val="center"/>
              <w:ind w:right="171"/>
              <w:spacing w:after="0"/>
              <w:rPr>
                <w:sz w:val="20"/>
                <w:szCs w:val="20"/>
                <w:color w:val="auto"/>
              </w:rPr>
            </w:pPr>
            <w:r>
              <w:rPr>
                <w:rFonts w:ascii="Arial" w:cs="Arial" w:eastAsia="Arial" w:hAnsi="Arial"/>
                <w:sz w:val="18"/>
                <w:szCs w:val="18"/>
                <w:color w:val="auto"/>
                <w:w w:val="90"/>
              </w:rPr>
              <w:t>Gregory B. Peters</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0"/>
              </w:rPr>
              <w:t>Gregory B. Peters</w:t>
            </w:r>
          </w:p>
        </w:tc>
        <w:tc>
          <w:tcPr>
            <w:tcW w:w="6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20" w:type="dxa"/>
            <w:vAlign w:val="bottom"/>
          </w:tcPr>
          <w:p>
            <w:pPr>
              <w:ind w:left="30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91"/>
              <w:spacing w:after="0"/>
              <w:rPr>
                <w:sz w:val="20"/>
                <w:szCs w:val="20"/>
                <w:color w:val="auto"/>
              </w:rPr>
            </w:pPr>
            <w:r>
              <w:rPr>
                <w:rFonts w:ascii="Arial" w:cs="Arial" w:eastAsia="Arial" w:hAnsi="Arial"/>
                <w:sz w:val="18"/>
                <w:szCs w:val="18"/>
                <w:color w:val="auto"/>
                <w:w w:val="86"/>
              </w:rPr>
              <w:t>James F. Callahan, Jr.</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5"/>
              </w:rPr>
              <w:t>James F. Callahan, Jr.</w:t>
            </w:r>
          </w:p>
        </w:tc>
        <w:tc>
          <w:tcPr>
            <w:tcW w:w="6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20" w:type="dxa"/>
            <w:vAlign w:val="bottom"/>
          </w:tcPr>
          <w:p>
            <w:pPr>
              <w:ind w:left="36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71"/>
              <w:spacing w:after="0"/>
              <w:rPr>
                <w:sz w:val="20"/>
                <w:szCs w:val="20"/>
                <w:color w:val="auto"/>
              </w:rPr>
            </w:pPr>
            <w:r>
              <w:rPr>
                <w:rFonts w:ascii="Arial" w:cs="Arial" w:eastAsia="Arial" w:hAnsi="Arial"/>
                <w:sz w:val="18"/>
                <w:szCs w:val="18"/>
                <w:color w:val="auto"/>
                <w:w w:val="90"/>
              </w:rPr>
              <w:t>James E. O’Connor</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0"/>
              </w:rPr>
              <w:t>James E. O’Connor</w:t>
            </w:r>
          </w:p>
        </w:tc>
        <w:tc>
          <w:tcPr>
            <w:tcW w:w="6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20" w:type="dxa"/>
            <w:vAlign w:val="bottom"/>
          </w:tcPr>
          <w:p>
            <w:pPr>
              <w:ind w:left="36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71"/>
              <w:spacing w:after="0"/>
              <w:rPr>
                <w:sz w:val="20"/>
                <w:szCs w:val="20"/>
                <w:color w:val="auto"/>
              </w:rPr>
            </w:pPr>
            <w:r>
              <w:rPr>
                <w:rFonts w:ascii="Arial" w:cs="Arial" w:eastAsia="Arial" w:hAnsi="Arial"/>
                <w:sz w:val="18"/>
                <w:szCs w:val="18"/>
                <w:color w:val="auto"/>
                <w:w w:val="94"/>
              </w:rPr>
              <w:t>William P. Hulligan</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4"/>
              </w:rPr>
              <w:t>William P. Hulligan</w:t>
            </w:r>
          </w:p>
        </w:tc>
        <w:tc>
          <w:tcPr>
            <w:tcW w:w="6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20" w:type="dxa"/>
            <w:vAlign w:val="bottom"/>
          </w:tcPr>
          <w:p>
            <w:pPr>
              <w:ind w:left="380"/>
              <w:spacing w:after="0"/>
              <w:rPr>
                <w:sz w:val="20"/>
                <w:szCs w:val="20"/>
                <w:color w:val="auto"/>
              </w:rPr>
            </w:pPr>
            <w:r>
              <w:rPr>
                <w:rFonts w:ascii="Arial" w:cs="Arial" w:eastAsia="Arial" w:hAnsi="Arial"/>
                <w:sz w:val="18"/>
                <w:szCs w:val="18"/>
                <w:color w:val="auto"/>
              </w:rPr>
              <w:t>/s/</w:t>
            </w:r>
          </w:p>
        </w:tc>
        <w:tc>
          <w:tcPr>
            <w:tcW w:w="1880" w:type="dxa"/>
            <w:vAlign w:val="bottom"/>
          </w:tcPr>
          <w:p>
            <w:pPr>
              <w:ind w:left="120"/>
              <w:spacing w:after="0"/>
              <w:rPr>
                <w:sz w:val="20"/>
                <w:szCs w:val="20"/>
                <w:color w:val="auto"/>
              </w:rPr>
            </w:pPr>
            <w:r>
              <w:rPr>
                <w:rFonts w:ascii="Arial" w:cs="Arial" w:eastAsia="Arial" w:hAnsi="Arial"/>
                <w:sz w:val="18"/>
                <w:szCs w:val="18"/>
                <w:color w:val="auto"/>
              </w:rPr>
              <w:t>Michael K. Burke</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5"/>
              </w:rPr>
              <w:t>Michael K. Burke</w:t>
            </w:r>
          </w:p>
        </w:tc>
        <w:tc>
          <w:tcPr>
            <w:tcW w:w="6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500" w:type="dxa"/>
            <w:vAlign w:val="bottom"/>
            <w:gridSpan w:val="2"/>
          </w:tcPr>
          <w:p>
            <w:pPr>
              <w:ind w:left="400"/>
              <w:spacing w:after="0"/>
              <w:rPr>
                <w:sz w:val="20"/>
                <w:szCs w:val="20"/>
                <w:color w:val="auto"/>
              </w:rPr>
            </w:pPr>
            <w:r>
              <w:rPr>
                <w:rFonts w:ascii="Arial" w:cs="Arial" w:eastAsia="Arial" w:hAnsi="Arial"/>
                <w:sz w:val="18"/>
                <w:szCs w:val="18"/>
                <w:color w:val="auto"/>
              </w:rPr>
              <w:t>/s/ Michael L. Battles</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gridSpan w:val="2"/>
          </w:tcPr>
          <w:p>
            <w:pPr>
              <w:spacing w:after="0"/>
              <w:rPr>
                <w:sz w:val="2"/>
                <w:szCs w:val="2"/>
                <w:color w:val="auto"/>
              </w:rPr>
            </w:pPr>
          </w:p>
        </w:tc>
        <w:tc>
          <w:tcPr>
            <w:tcW w:w="6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4"/>
              </w:rPr>
              <w:t>Michael L. Battles</w:t>
            </w:r>
          </w:p>
        </w:tc>
        <w:tc>
          <w:tcPr>
            <w:tcW w:w="6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20" w:type="dxa"/>
            <w:vAlign w:val="bottom"/>
          </w:tcPr>
          <w:p>
            <w:pPr>
              <w:ind w:left="380"/>
              <w:spacing w:after="0"/>
              <w:rPr>
                <w:sz w:val="20"/>
                <w:szCs w:val="20"/>
                <w:color w:val="auto"/>
              </w:rPr>
            </w:pPr>
            <w:r>
              <w:rPr>
                <w:rFonts w:ascii="Arial" w:cs="Arial" w:eastAsia="Arial" w:hAnsi="Arial"/>
                <w:sz w:val="18"/>
                <w:szCs w:val="18"/>
                <w:color w:val="auto"/>
              </w:rPr>
              <w:t>/s/</w:t>
            </w:r>
          </w:p>
        </w:tc>
        <w:tc>
          <w:tcPr>
            <w:tcW w:w="1880" w:type="dxa"/>
            <w:vAlign w:val="bottom"/>
          </w:tcPr>
          <w:p>
            <w:pPr>
              <w:jc w:val="center"/>
              <w:ind w:right="191"/>
              <w:spacing w:after="0"/>
              <w:rPr>
                <w:sz w:val="20"/>
                <w:szCs w:val="20"/>
                <w:color w:val="auto"/>
              </w:rPr>
            </w:pPr>
            <w:r>
              <w:rPr>
                <w:rFonts w:ascii="Arial" w:cs="Arial" w:eastAsia="Arial" w:hAnsi="Arial"/>
                <w:sz w:val="18"/>
                <w:szCs w:val="18"/>
                <w:color w:val="auto"/>
                <w:w w:val="92"/>
              </w:rPr>
              <w:t>Emily Nagle Green</w:t>
            </w:r>
          </w:p>
        </w:tc>
        <w:tc>
          <w:tcPr>
            <w:tcW w:w="6260" w:type="dxa"/>
            <w:vAlign w:val="bottom"/>
          </w:tcPr>
          <w:p>
            <w:pPr>
              <w:jc w:val="center"/>
              <w:ind w:left="51"/>
              <w:spacing w:after="0"/>
              <w:rPr>
                <w:sz w:val="20"/>
                <w:szCs w:val="20"/>
                <w:color w:val="auto"/>
              </w:rPr>
            </w:pPr>
            <w:r>
              <w:rPr>
                <w:rFonts w:ascii="Arial" w:cs="Arial" w:eastAsia="Arial" w:hAnsi="Arial"/>
                <w:sz w:val="18"/>
                <w:szCs w:val="18"/>
                <w:color w:val="auto"/>
                <w:w w:val="95"/>
              </w:rPr>
              <w:t>Director</w:t>
            </w:r>
          </w:p>
        </w:tc>
        <w:tc>
          <w:tcPr>
            <w:tcW w:w="2080" w:type="dxa"/>
            <w:vAlign w:val="bottom"/>
          </w:tcPr>
          <w:p>
            <w:pPr>
              <w:jc w:val="center"/>
              <w:ind w:left="651"/>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779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Emily Nagle Green</w:t>
      </w:r>
    </w:p>
    <w:p>
      <w:pPr>
        <w:sectPr>
          <w:pgSz w:w="11900" w:h="16838" w:orient="portrait"/>
          <w:cols w:equalWidth="0" w:num="1">
            <w:col w:w="11400"/>
          </w:cols>
          <w:pgMar w:left="240" w:top="118" w:right="259" w:bottom="3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310" w:gutter="0" w:footer="0" w:header="0"/>
          <w:type w:val="continuous"/>
        </w:sectPr>
      </w:pPr>
    </w:p>
    <w:bookmarkStart w:id="118" w:name="page119"/>
    <w:bookmarkEnd w:id="1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380"/>
        <w:spacing w:after="0" w:line="27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Additions—charged to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Deductions—bad debts written off, net of recoveries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20"/>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center"/>
        <w:ind w:right="4020"/>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ind w:right="4020"/>
        <w:spacing w:after="0"/>
        <w:rPr>
          <w:sz w:val="20"/>
          <w:szCs w:val="20"/>
          <w:color w:val="auto"/>
        </w:rPr>
      </w:pPr>
      <w:r>
        <w:rPr>
          <w:rFonts w:ascii="Arial" w:cs="Arial" w:eastAsia="Arial" w:hAnsi="Arial"/>
          <w:sz w:val="18"/>
          <w:szCs w:val="18"/>
          <w:color w:val="auto"/>
        </w:rPr>
        <w:t>Valuation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13335</wp:posOffset>
            </wp:positionV>
            <wp:extent cx="28301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9" w:lineRule="exact"/>
        <w:rPr>
          <w:sz w:val="20"/>
          <w:szCs w:val="20"/>
          <w:color w:val="auto"/>
        </w:rPr>
      </w:pPr>
    </w:p>
    <w:tbl>
      <w:tblPr>
        <w:tblLayout w:type="fixed"/>
        <w:tblInd w:w="286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43"/>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1,069</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290</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(550)</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809</w:t>
            </w:r>
          </w:p>
        </w:tc>
      </w:tr>
      <w:tr>
        <w:trPr>
          <w:trHeight w:val="27"/>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-736600</wp:posOffset>
            </wp:positionV>
            <wp:extent cx="7220585"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-385445</wp:posOffset>
            </wp:positionV>
            <wp:extent cx="722058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119</w:t>
      </w:r>
    </w:p>
    <w:p>
      <w:pPr>
        <w:sectPr>
          <w:pgSz w:w="11900" w:h="16838" w:orient="portrait"/>
          <w:cols w:equalWidth="0" w:num="2">
            <w:col w:w="3800" w:space="260"/>
            <w:col w:w="7320"/>
          </w:cols>
          <w:pgMar w:left="240" w:top="118" w:right="2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121"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following description of the Class A Common Stock, $0.01 par value per share (the “Class A Common Stock”), of Casella Waste Systems, Inc. (“Company,” “us,” “our” or “we”), which is the only security of the Company registered under Section 12 of the Securities Exchange Act of 1934, as amended (the “Exchange Act”), summarizes certain information regarding the Class A Common Stock in our Second Amended and Restated Certificate of Incorporation, as amended (the “Certificate of Incorporation”), our Third Amended and Restated By-Laws (the “By-Laws”) and applicable provisions of the Delaware General Corporation Law (the “DGCL”), and is qualified by reference to our Certificate of Incorporation and By-Laws, which are incorporated by reference as Exhibit 3.1 and Exhibit 3.2, respectively, to the Annual Report on Form 10-K of which this Exhibit 4.3 is a part.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Our authorized capital stock consists of 100,000,000 shares of Class A Common Stock, 1,000,000 shares of Class B Common Stock, $0.01 par value per share (the “Class B Common Stock” and, together with the Class A Common Stock, the “Common Stock”), and 944,250 shares of preferred stock, $0.01 par value per share (the “Preferred Stock”).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On all matters submitted to a vote of our stockholders, the holders of our Class A Common Stock are entitled to one vote per share,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our Class B Common Stock are entitled to ten votes per share. The holders of all classes of our Common Stock entitled to vote will generally vote together as a single class on all matters presented to the stockholders for their vote or approval, except that the holders of Class A Common Stock, voting separately as a class, will at all times be entitled to elect one director (the “Class A Director”), and such director may be removed, with or without cause, only by the holders of our Class A Common Stock. The presence in person or by proxy of the holders of record of shares representing a majority of the votes entitled to be cast on matters other than the election of the Class A Director constitutes a quorum for the transaction of business at meetings of the stockholders.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 Pursuant to our majority vote resignation policy included in our Corporate Governance Guidelines, any nominee who is an incumbent director and who does not receive more votes “for” his or her election than votes “withheld” from his or her election in an uncontested election of directors would be required to offer his or her resignation to our board of directors.</w:t>
      </w:r>
    </w:p>
    <w:p>
      <w:pPr>
        <w:spacing w:after="0" w:line="7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our Common Stock are entitled to receive dividends if, as and when such dividends are declared by our board of directors out</w:t>
      </w:r>
      <w:r>
        <w:rPr>
          <w:rFonts w:ascii="Arial" w:cs="Arial" w:eastAsia="Arial" w:hAnsi="Arial"/>
          <w:sz w:val="16"/>
          <w:szCs w:val="16"/>
          <w:i w:val="1"/>
          <w:iCs w:val="1"/>
          <w:color w:val="auto"/>
        </w:rPr>
        <w:t xml:space="preserve"> </w:t>
      </w:r>
      <w:r>
        <w:rPr>
          <w:rFonts w:ascii="Arial" w:cs="Arial" w:eastAsia="Arial" w:hAnsi="Arial"/>
          <w:sz w:val="16"/>
          <w:szCs w:val="16"/>
          <w:color w:val="auto"/>
        </w:rPr>
        <w:t>of assets legally available therefor, subject to any preferential rights of our Preferred Stock, if any. We may not make any dividend or distribution to any holder of any class of our Common Stock unless simultaneously with such dividend or distribution we make the same dividend or distribution with respect to each outstanding share of our Common Stock regardless of class. In the case of a dividend or other distribution payable in shares of a class of our Common Stock, including distributions pursuant to stock splits or divisions of Common Stock, only shares of our Class A Common Stock may be distributed with respect to Class A Common Stock, and only shares of our Class B Common Stock may be distributed with respect to Class B Common Stock. Whenever a dividend or distribution, including distributions pursuant to stock splits or divisions of Common Stock, is payable in shares of Class A Common Stock or Class B Common Stock, the number of shares of each class of Common Stock payable per share of such class of Common Stock shall be equal in number. In the case of dividends or other distributions consisting of our other voting securities or of voting securities of any corporation which is a wholly-owned subsidiary of ours, we shall declare and pay such dividends in two separate classes of such voting securities, identical in all respects except that:</w:t>
      </w:r>
    </w:p>
    <w:p>
      <w:pPr>
        <w:spacing w:after="0" w:line="61" w:lineRule="exact"/>
        <w:rPr>
          <w:sz w:val="20"/>
          <w:szCs w:val="20"/>
          <w:color w:val="auto"/>
        </w:rPr>
      </w:pPr>
    </w:p>
    <w:p>
      <w:pPr>
        <w:ind w:left="500" w:right="240" w:hanging="6"/>
        <w:spacing w:after="0" w:line="277" w:lineRule="auto"/>
        <w:tabs>
          <w:tab w:leader="none" w:pos="6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voting rights of each such security issued to the holders of Class A Common Stock shall be one-tenth of the voting rights of each such security issued to holders of Class B Common Stock;</w:t>
      </w:r>
    </w:p>
    <w:p>
      <w:pPr>
        <w:spacing w:after="0" w:line="62" w:lineRule="exact"/>
        <w:rPr>
          <w:rFonts w:ascii="Arial" w:cs="Arial" w:eastAsia="Arial" w:hAnsi="Arial"/>
          <w:sz w:val="18"/>
          <w:szCs w:val="18"/>
          <w:color w:val="auto"/>
        </w:rPr>
      </w:pPr>
    </w:p>
    <w:p>
      <w:pPr>
        <w:ind w:left="500" w:right="40" w:hanging="6"/>
        <w:spacing w:after="0" w:line="264" w:lineRule="auto"/>
        <w:tabs>
          <w:tab w:leader="none" w:pos="6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security issued to holders of Class B Common Stock shall convert into the security issued to the holders of Class A Common Stock upon the same terms and conditions applicable to the conversion of Class B Common Stock into Class A Common Stock and shall have the same restrictions on transfer and ownership applicable to the transfer and ownership of our Class B Common Stock; and</w:t>
      </w:r>
    </w:p>
    <w:p>
      <w:pPr>
        <w:spacing w:after="0" w:line="73" w:lineRule="exact"/>
        <w:rPr>
          <w:rFonts w:ascii="Arial" w:cs="Arial" w:eastAsia="Arial" w:hAnsi="Arial"/>
          <w:sz w:val="18"/>
          <w:szCs w:val="18"/>
          <w:color w:val="auto"/>
        </w:rPr>
      </w:pPr>
    </w:p>
    <w:p>
      <w:pPr>
        <w:ind w:left="500" w:right="160" w:hanging="6"/>
        <w:spacing w:after="0" w:line="277" w:lineRule="auto"/>
        <w:tabs>
          <w:tab w:leader="none" w:pos="6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only to dividends or other distributions of voting securities of any corporation that is a wholly owned subsidiary of ours, the respective voting rights of each such security issued to holders of Class A Common Stock and</w:t>
      </w:r>
    </w:p>
    <w:p>
      <w:pPr>
        <w:sectPr>
          <w:pgSz w:w="11900" w:h="16838" w:orient="portrait"/>
          <w:cols w:equalWidth="0" w:num="1">
            <w:col w:w="11420"/>
          </w:cols>
          <w:pgMar w:left="240" w:top="1242" w:right="239" w:bottom="1440" w:gutter="0" w:footer="0" w:header="0"/>
        </w:sectPr>
      </w:pPr>
    </w:p>
    <w:bookmarkStart w:id="120" w:name="page121"/>
    <w:bookmarkEnd w:id="120"/>
    <w:p>
      <w:pPr>
        <w:ind w:left="500" w:right="20"/>
        <w:spacing w:after="0" w:line="277" w:lineRule="auto"/>
        <w:rPr>
          <w:sz w:val="20"/>
          <w:szCs w:val="20"/>
          <w:color w:val="auto"/>
        </w:rPr>
      </w:pPr>
      <w:r>
        <w:rPr>
          <w:rFonts w:ascii="Arial" w:cs="Arial" w:eastAsia="Arial" w:hAnsi="Arial"/>
          <w:sz w:val="18"/>
          <w:szCs w:val="18"/>
          <w:color w:val="auto"/>
        </w:rPr>
        <w:t>Class B Common Stock with respect to elections of directors shall otherwise be as comparable as is practicable to those of our Class A Common Stock and Class B Common Stock, respectively.</w:t>
      </w:r>
    </w:p>
    <w:p>
      <w:pPr>
        <w:spacing w:after="0" w:line="62"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In the case of dividends or other distributions consisting of securities convertible into, or exchangeable for, our voting securities or of voting securities of any corporation that is a wholly owned subsidiary of ours, we are required to provide that such convertible or exchangeable securities and the underlying securities are identical in all respects, including, without limitation, the conversion or exchange rate, except that the underlying securities shall have the same differences as they would have if we issued voting securities of ours or of a wholly-owned subsidiary of ours rather than issuing securities convertible into, or exchangeable for, such securities.</w:t>
      </w:r>
    </w:p>
    <w:p>
      <w:pPr>
        <w:spacing w:after="0" w:line="80"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i w:val="1"/>
          <w:iCs w:val="1"/>
          <w:color w:val="auto"/>
        </w:rPr>
        <w:t>Reclassification and Merger</w:t>
      </w:r>
      <w:r>
        <w:rPr>
          <w:rFonts w:ascii="Arial" w:cs="Arial" w:eastAsia="Arial" w:hAnsi="Arial"/>
          <w:sz w:val="18"/>
          <w:szCs w:val="18"/>
          <w:color w:val="auto"/>
        </w:rPr>
        <w:t>. In the event we enter into any consolidation, merger, combination or other transaction in which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exchanged for or changed into other stock or securities, cash and/or any other property, then, and in such event, the shares of each class of our Common Stock will be exchanged for or changed into either:</w:t>
      </w:r>
    </w:p>
    <w:p>
      <w:pPr>
        <w:spacing w:after="0" w:line="73" w:lineRule="exact"/>
        <w:rPr>
          <w:sz w:val="20"/>
          <w:szCs w:val="20"/>
          <w:color w:val="auto"/>
        </w:rPr>
      </w:pPr>
    </w:p>
    <w:p>
      <w:pPr>
        <w:ind w:left="500" w:right="320" w:hanging="6"/>
        <w:spacing w:after="0" w:line="259" w:lineRule="auto"/>
        <w:tabs>
          <w:tab w:leader="none" w:pos="6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same amount of stock, securities, cash and/or any other property, as the case may be, into which or for which each share of any other class of Common Stock is exchanged or changed; provided, however, that if shares of Common Stock are exchanged for or changed into shares of capital stock, such share so exchanged for or changed into may differ to the extent and only to the extent that our Class A Common Stock and Class B Common Stock differ as provided in our certificate of incorporation; or</w:t>
      </w:r>
    </w:p>
    <w:p>
      <w:pPr>
        <w:spacing w:after="0" w:line="78" w:lineRule="exact"/>
        <w:rPr>
          <w:rFonts w:ascii="Arial" w:cs="Arial" w:eastAsia="Arial" w:hAnsi="Arial"/>
          <w:sz w:val="18"/>
          <w:szCs w:val="18"/>
          <w:color w:val="auto"/>
        </w:rPr>
      </w:pPr>
    </w:p>
    <w:p>
      <w:pPr>
        <w:ind w:left="500" w:right="20" w:hanging="6"/>
        <w:spacing w:after="0" w:line="259" w:lineRule="auto"/>
        <w:tabs>
          <w:tab w:leader="none" w:pos="65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holders of each class of Common Stock are to receive different distributions of stock, securities, cash and/or any other property, an amount of stock, securities, cash and/or property per share having a value, as determined by an independent investment banking firm of national reputation selected by our board of directors, equal to the value per share into which or for which each share of any other class of Common Stock is exchanged or changed.</w:t>
      </w:r>
    </w:p>
    <w:p>
      <w:pPr>
        <w:spacing w:after="0" w:line="79"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i w:val="1"/>
          <w:iCs w:val="1"/>
          <w:color w:val="auto"/>
        </w:rPr>
        <w:t>Liquidation and Dissolution</w:t>
      </w:r>
      <w:r>
        <w:rPr>
          <w:rFonts w:ascii="Arial" w:cs="Arial" w:eastAsia="Arial" w:hAnsi="Arial"/>
          <w:sz w:val="16"/>
          <w:szCs w:val="16"/>
          <w:color w:val="auto"/>
        </w:rPr>
        <w:t>. In the event of our liquidation, dissolution or winding up, whether voluntary or involuntary, after payment or provision for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our debts and our other liabilities and after making provision for the holders of our Preferred Stock, if any, our remaining assets and funds, if any, will be divided among and paid ratably to the holders of our Class A Common Stock and Class B Common Stock treated as a single class.</w:t>
      </w:r>
    </w:p>
    <w:p>
      <w:pPr>
        <w:spacing w:after="0" w:line="3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i w:val="1"/>
          <w:iCs w:val="1"/>
          <w:color w:val="auto"/>
        </w:rPr>
        <w:t>Other Rights</w:t>
      </w:r>
      <w:r>
        <w:rPr>
          <w:rFonts w:ascii="Arial" w:cs="Arial" w:eastAsia="Arial" w:hAnsi="Arial"/>
          <w:sz w:val="16"/>
          <w:szCs w:val="16"/>
          <w:color w:val="auto"/>
        </w:rPr>
        <w:t>. The holders of our Common Stock are not entitled to preemptive rights. None of the Class A Common Stock or Class B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may be subdivided or combined in any manner unless the other class of Common Stock is subdivided or combined in the same proportion. If we make an offering of options, rights or warrants to subscribe for shares of any class or classes of capital stock (other than Class B Common Stock) to all holders of a class of Common Stock, then we are required to simultaneously make an identical offering to all holders of the other classes of Common Stock other than to any class the holders of which, voting as a separate class, agree that such offering need not be made to such class. All such options, rights or warrants offerings shall offer the respective holders of Class A Common Stock and Class B Common Stock the right to subscribe at the same rate per share.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the DGCL That May Have Anti-Takeover Effects</w:t>
      </w:r>
    </w:p>
    <w:p>
      <w:pPr>
        <w:spacing w:after="0" w:line="12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i w:val="1"/>
          <w:iCs w:val="1"/>
          <w:color w:val="auto"/>
        </w:rPr>
        <w:t>Board of Directors</w:t>
      </w:r>
      <w:r>
        <w:rPr>
          <w:rFonts w:ascii="Arial" w:cs="Arial" w:eastAsia="Arial" w:hAnsi="Arial"/>
          <w:sz w:val="16"/>
          <w:szCs w:val="16"/>
          <w:color w:val="auto"/>
        </w:rPr>
        <w:t>. Our Certificate of Incorporation and By-Laws provide for the division of our board of directors into three classes as nearly equal in</w:t>
      </w:r>
      <w:r>
        <w:rPr>
          <w:rFonts w:ascii="Arial" w:cs="Arial" w:eastAsia="Arial" w:hAnsi="Arial"/>
          <w:sz w:val="16"/>
          <w:szCs w:val="16"/>
          <w:i w:val="1"/>
          <w:iCs w:val="1"/>
          <w:color w:val="auto"/>
        </w:rPr>
        <w:t xml:space="preserve"> </w:t>
      </w:r>
      <w:r>
        <w:rPr>
          <w:rFonts w:ascii="Arial" w:cs="Arial" w:eastAsia="Arial" w:hAnsi="Arial"/>
          <w:sz w:val="16"/>
          <w:szCs w:val="16"/>
          <w:color w:val="auto"/>
        </w:rPr>
        <w:t>size as possible, with no class having more than one director more than any other class, with staggered three-year terms. The Class A Director nominated by holders of our Class A Common Stock and elected to office is a class II director. Our Certificate of Incorporation and By-Laws provide that any vacancy on the board of directors, however occurring, including a vacancy resulting from an enlargement of the board, may only be filled by vote of a majority of the directors then in office, or by a sole remaining director. The term of any director elected to fill a vacancy between annual meetings will last until the next annual meeting and until such director’s successor has been elected and qualified, or until his earlier death, resignation or removal.</w:t>
      </w:r>
    </w:p>
    <w:p>
      <w:pPr>
        <w:spacing w:after="0" w:line="5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i w:val="1"/>
          <w:iCs w:val="1"/>
          <w:color w:val="auto"/>
        </w:rPr>
        <w:t>Removal of Directors by Stockholders</w:t>
      </w:r>
      <w:r>
        <w:rPr>
          <w:rFonts w:ascii="Arial" w:cs="Arial" w:eastAsia="Arial" w:hAnsi="Arial"/>
          <w:sz w:val="18"/>
          <w:szCs w:val="18"/>
          <w:color w:val="auto"/>
        </w:rPr>
        <w:t>. Our Certificate of Incorporation and By-Laws provide that directors may be removed with or without cause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of the holders of shares representing at least 75% of the votes which all of our stockholders would be entitled to cast at any election of directors, other than an election of the Class A Director. The Class A Director may be removed only by the holders of at least 75% of the outstanding shares of our Class A Common Stock.</w:t>
      </w:r>
    </w:p>
    <w:p>
      <w:pPr>
        <w:spacing w:after="0" w:line="79"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i w:val="1"/>
          <w:iCs w:val="1"/>
          <w:color w:val="auto"/>
        </w:rPr>
        <w:t>Advance Notice Provisions</w:t>
      </w:r>
      <w:r>
        <w:rPr>
          <w:rFonts w:ascii="Arial" w:cs="Arial" w:eastAsia="Arial" w:hAnsi="Arial"/>
          <w:sz w:val="17"/>
          <w:szCs w:val="17"/>
          <w:color w:val="auto"/>
        </w:rPr>
        <w:t>. Our By-Laws provide that a stockholder must notify us in writing, within timeframes specified in the By-Laws,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nomination of a director and of any other business that the stockholder intends to bring at a meeting of stockholders.</w:t>
      </w:r>
    </w:p>
    <w:p>
      <w:pPr>
        <w:spacing w:after="0" w:line="3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i w:val="1"/>
          <w:iCs w:val="1"/>
          <w:color w:val="auto"/>
        </w:rPr>
        <w:t>No Action By Written Consent</w:t>
      </w:r>
      <w:r>
        <w:rPr>
          <w:rFonts w:ascii="Arial" w:cs="Arial" w:eastAsia="Arial" w:hAnsi="Arial"/>
          <w:sz w:val="18"/>
          <w:szCs w:val="18"/>
          <w:color w:val="auto"/>
        </w:rPr>
        <w:t>. Our Certificate of Incorporation provides that our stockholders may not act by written consent and may only act at duly</w:t>
      </w:r>
      <w:r>
        <w:rPr>
          <w:rFonts w:ascii="Arial" w:cs="Arial" w:eastAsia="Arial" w:hAnsi="Arial"/>
          <w:sz w:val="18"/>
          <w:szCs w:val="18"/>
          <w:i w:val="1"/>
          <w:iCs w:val="1"/>
          <w:color w:val="auto"/>
        </w:rPr>
        <w:t xml:space="preserve"> </w:t>
      </w:r>
      <w:r>
        <w:rPr>
          <w:rFonts w:ascii="Arial" w:cs="Arial" w:eastAsia="Arial" w:hAnsi="Arial"/>
          <w:sz w:val="18"/>
          <w:szCs w:val="18"/>
          <w:color w:val="auto"/>
        </w:rPr>
        <w:t>called meetings of stockholders.</w:t>
      </w:r>
    </w:p>
    <w:p>
      <w:pPr>
        <w:spacing w:after="0" w:line="62"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i w:val="1"/>
          <w:iCs w:val="1"/>
          <w:color w:val="auto"/>
        </w:rPr>
        <w:t>Issuance of Preferred Stock</w:t>
      </w:r>
      <w:r>
        <w:rPr>
          <w:rFonts w:ascii="Arial" w:cs="Arial" w:eastAsia="Arial" w:hAnsi="Arial"/>
          <w:sz w:val="18"/>
          <w:szCs w:val="18"/>
          <w:color w:val="auto"/>
        </w:rPr>
        <w:t>. Our board of directors is authorized, without further action by our stockholders, to issue up to 944,250 shares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 one or more series, and to fix the designations, powers, preferences and the relative, participating, optional or other special rights, and any qualifications, limitations and restrictions of the shares of each series of</w:t>
      </w:r>
    </w:p>
    <w:p>
      <w:pPr>
        <w:sectPr>
          <w:pgSz w:w="11900" w:h="16838" w:orient="portrait"/>
          <w:cols w:equalWidth="0" w:num="1">
            <w:col w:w="11380"/>
          </w:cols>
          <w:pgMar w:left="240" w:top="1003" w:right="2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Preferred Stock. The issuance of Preferred Stock could impede the completion of a merger, tender offer or other takeover attempt.</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Delaware Business Combination Statute. </w:t>
      </w:r>
      <w:r>
        <w:rPr>
          <w:rFonts w:ascii="Arial" w:cs="Arial" w:eastAsia="Arial" w:hAnsi="Arial"/>
          <w:sz w:val="18"/>
          <w:szCs w:val="18"/>
          <w:color w:val="auto"/>
        </w:rPr>
        <w:t>Section 203 of the DGCL is applicable to us. Section 203 of the DGCL restricts some types of transactions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85" w:lineRule="exact"/>
        <w:rPr>
          <w:sz w:val="20"/>
          <w:szCs w:val="20"/>
          <w:color w:val="auto"/>
        </w:rPr>
      </w:pPr>
    </w:p>
    <w:p>
      <w:pPr>
        <w:ind w:left="660" w:hanging="166"/>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merger with, disposition of significant assets to or receipt of disproportionate financial benefits by the interested stockholder, and</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other transaction that would increase the interested stockholder’s proportionate ownership of any class or series of our capital stock.</w:t>
      </w:r>
    </w:p>
    <w:p>
      <w:pPr>
        <w:spacing w:after="0" w:line="1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shares held by the interested stockholder are not counted as outstanding when calculating the two-thirds of the outstanding voting stock needed for approval.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prohibition against these transactions does not apply if:</w:t>
      </w:r>
    </w:p>
    <w:p>
      <w:pPr>
        <w:spacing w:after="0" w:line="117" w:lineRule="exact"/>
        <w:rPr>
          <w:sz w:val="20"/>
          <w:szCs w:val="20"/>
          <w:color w:val="auto"/>
        </w:rPr>
      </w:pPr>
    </w:p>
    <w:p>
      <w:pPr>
        <w:ind w:left="500" w:right="520" w:hanging="6"/>
        <w:spacing w:after="0" w:line="277" w:lineRule="auto"/>
        <w:tabs>
          <w:tab w:leader="none" w:pos="6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62" w:lineRule="exact"/>
        <w:rPr>
          <w:rFonts w:ascii="Arial" w:cs="Arial" w:eastAsia="Arial" w:hAnsi="Arial"/>
          <w:sz w:val="18"/>
          <w:szCs w:val="18"/>
          <w:color w:val="auto"/>
        </w:rPr>
      </w:pPr>
    </w:p>
    <w:p>
      <w:pPr>
        <w:ind w:left="500" w:right="180" w:hanging="6"/>
        <w:spacing w:after="0" w:line="264" w:lineRule="auto"/>
        <w:tabs>
          <w:tab w:leader="none" w:pos="65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ectPr>
          <w:pgSz w:w="11900" w:h="16838" w:orient="portrait"/>
          <w:cols w:equalWidth="0" w:num="1">
            <w:col w:w="11400"/>
          </w:cols>
          <w:pgMar w:left="240" w:top="1003" w:right="2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Registrant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Borders>
              <w:bottom w:val="single" w:sz="8" w:color="CCEEFF"/>
            </w:tcBorders>
          </w:tcPr>
          <w:p>
            <w:pPr>
              <w:spacing w:after="0"/>
              <w:rPr>
                <w:sz w:val="16"/>
                <w:szCs w:val="16"/>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Incorporation</w:t>
            </w: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171 Church Street, LLC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AGreen Energy, LLC</w:t>
            </w:r>
          </w:p>
        </w:tc>
        <w:tc>
          <w:tcPr>
            <w:tcW w:w="56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All Cycle Waste,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BGreen Energy, LLC</w:t>
            </w:r>
          </w:p>
        </w:tc>
        <w:tc>
          <w:tcPr>
            <w:tcW w:w="56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Blow Bros.</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Bristol Waste Management,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C.V. Landfill,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Casella Major Account Services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Casella of Holyoke,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Casella Recycling,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Casella Transportation,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Casella Waste Management of Massachusetts, Inc.</w:t>
            </w:r>
          </w:p>
        </w:tc>
        <w:tc>
          <w:tcPr>
            <w:tcW w:w="56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Casella Waste Management of N.Y.,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Casella Waste Management of Pennsylvania, Inc.</w:t>
            </w:r>
          </w:p>
        </w:tc>
        <w:tc>
          <w:tcPr>
            <w:tcW w:w="562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Casella Waste Management,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Casella Waste Services of Ontario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Chemung Landfill LLC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Evergreen National Indemnity Company</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Ohio</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Forest Acquisitions,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New Hampshire</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Granite Street Landfill,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New Hampshire</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GreenerU,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GroundCo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Hakes C &amp; D Disposal,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Hardwick Landfill, Inc.</w:t>
            </w:r>
          </w:p>
        </w:tc>
        <w:tc>
          <w:tcPr>
            <w:tcW w:w="56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Hiram Hollow Regeneration Corp.</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KTI Environmental Group, Inc.</w:t>
            </w:r>
          </w:p>
        </w:tc>
        <w:tc>
          <w:tcPr>
            <w:tcW w:w="562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KTI Specialty Waste Services,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KTI, Inc.</w:t>
            </w:r>
          </w:p>
        </w:tc>
        <w:tc>
          <w:tcPr>
            <w:tcW w:w="562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New England Waste Services of ME,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New England Waste Services of N.Y.,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New England Waste Services of Vermont,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New England Waste Services,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Newbury Waste Management,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NEWS of Worcester LLC</w:t>
            </w:r>
          </w:p>
        </w:tc>
        <w:tc>
          <w:tcPr>
            <w:tcW w:w="562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NEWSME Landfill Operations LLC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Maine</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North Country Environmental Services,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6"/>
              </w:rPr>
              <w:t>Virginia</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Northern Properties Corporation of Plattsburgh</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North Rd,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Oxford Transfer Station, LLC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Pine Tree Waste,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3"/>
              </w:rPr>
              <w:t>Maine</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Portland C&amp;D Site,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New York</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Schultz Landfill,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Southbridge Recycling &amp; Disposal Park,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Massachusetts</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Sunderland Waste Management,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TAM, Inc.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TAM Organics, LLC</w:t>
            </w: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TAM Recycling, LLC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Vermont</w:t>
            </w:r>
          </w:p>
        </w:tc>
      </w:tr>
      <w:tr>
        <w:trPr>
          <w:trHeight w:val="243"/>
        </w:trPr>
        <w:tc>
          <w:tcPr>
            <w:tcW w:w="57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The Hyland Facility Associates</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5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Tompkins County Recycling LLC</w:t>
            </w:r>
          </w:p>
        </w:tc>
        <w:tc>
          <w:tcPr>
            <w:tcW w:w="5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43"/>
        </w:trPr>
        <w:tc>
          <w:tcPr>
            <w:tcW w:w="5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Waste-Stream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4"/>
              </w:rPr>
              <w:t>New York</w:t>
            </w:r>
          </w:p>
        </w:tc>
      </w:tr>
    </w:tbl>
    <w:p>
      <w:pPr>
        <w:sectPr>
          <w:pgSz w:w="11900" w:h="16838" w:orient="portrait"/>
          <w:cols w:equalWidth="0" w:num="1">
            <w:col w:w="11420"/>
          </w:cols>
          <w:pgMar w:left="240" w:top="891" w:right="239" w:bottom="1062"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consent to the incorporation by reference in these Registration Statements on Form S-8 (Nos. 333-40267, 333-43537, 333-43539, 333-43541, 333-43543, 333-43635, 333-67487, 333-92735, 333-31022, 333-100553, 333-141038, 333-163645, 333-175010, 333-199685 and 333-214683) and on Form S-3 (Nos. 333-85279, 333-88097, 333-95841, 333-31268, and 333-224788) of Casella Waste Systems, Inc. and subsidiaries (the Company) of our report dated February 21, 2020, relating to the consolidated financial statements, and the financial statement schedules and the effectiveness of internal control over financial reporting of the Company, appearing in the Annual Report on Form 10-K of Casella Waste Systems, Inc. and subsidiaries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89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7" w:lineRule="exact"/>
        <w:rPr>
          <w:rFonts w:ascii="Arial" w:cs="Arial" w:eastAsia="Arial" w:hAnsi="Arial"/>
          <w:sz w:val="18"/>
          <w:szCs w:val="18"/>
          <w:color w:val="auto"/>
        </w:rPr>
      </w:pPr>
    </w:p>
    <w:p>
      <w:pPr>
        <w:jc w:val="center"/>
        <w:ind w:left="420" w:right="40" w:hanging="7"/>
        <w:spacing w:after="0" w:line="342" w:lineRule="auto"/>
        <w:tabs>
          <w:tab w:leader="none" w:pos="663"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420" w:right="260" w:hanging="7"/>
        <w:spacing w:after="0" w:line="308" w:lineRule="auto"/>
        <w:tabs>
          <w:tab w:leader="none" w:pos="663"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20" w:right="120" w:hanging="7"/>
        <w:spacing w:after="0" w:line="264" w:lineRule="auto"/>
        <w:tabs>
          <w:tab w:leader="none" w:pos="6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20" w:right="80" w:firstLine="479"/>
        <w:spacing w:after="0" w:line="264" w:lineRule="auto"/>
        <w:tabs>
          <w:tab w:leader="none" w:pos="1302"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320" w:firstLine="479"/>
        <w:spacing w:after="0" w:line="264" w:lineRule="auto"/>
        <w:tabs>
          <w:tab w:leader="none" w:pos="12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420" w:firstLine="479"/>
        <w:spacing w:after="0" w:line="342" w:lineRule="auto"/>
        <w:tabs>
          <w:tab w:leader="none" w:pos="1302"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264" w:lineRule="auto"/>
        <w:tabs>
          <w:tab w:leader="none" w:pos="12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180" w:hanging="7"/>
        <w:spacing w:after="0" w:line="308" w:lineRule="auto"/>
        <w:tabs>
          <w:tab w:leader="none" w:pos="66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640" w:firstLine="479"/>
        <w:spacing w:after="0" w:line="308" w:lineRule="auto"/>
        <w:tabs>
          <w:tab w:leader="none" w:pos="1302"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340" w:firstLine="479"/>
        <w:spacing w:after="0" w:line="277" w:lineRule="auto"/>
        <w:tabs>
          <w:tab w:leader="none" w:pos="12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8816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89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Casella Waste Systems, Inc.;</w:t>
      </w:r>
    </w:p>
    <w:p>
      <w:pPr>
        <w:spacing w:after="0" w:line="117" w:lineRule="exact"/>
        <w:rPr>
          <w:rFonts w:ascii="Arial" w:cs="Arial" w:eastAsia="Arial" w:hAnsi="Arial"/>
          <w:sz w:val="18"/>
          <w:szCs w:val="18"/>
          <w:color w:val="auto"/>
        </w:rPr>
      </w:pPr>
    </w:p>
    <w:p>
      <w:pPr>
        <w:jc w:val="center"/>
        <w:ind w:left="420" w:right="40" w:hanging="7"/>
        <w:spacing w:after="0" w:line="342" w:lineRule="auto"/>
        <w:tabs>
          <w:tab w:leader="none" w:pos="66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420" w:right="260" w:hanging="7"/>
        <w:spacing w:after="0" w:line="308" w:lineRule="auto"/>
        <w:tabs>
          <w:tab w:leader="none" w:pos="663"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20" w:right="120" w:hanging="7"/>
        <w:spacing w:after="0" w:line="264" w:lineRule="auto"/>
        <w:tabs>
          <w:tab w:leader="none" w:pos="66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20" w:right="80" w:firstLine="479"/>
        <w:spacing w:after="0" w:line="264" w:lineRule="auto"/>
        <w:tabs>
          <w:tab w:leader="none" w:pos="1302"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320" w:firstLine="479"/>
        <w:spacing w:after="0" w:line="264" w:lineRule="auto"/>
        <w:tabs>
          <w:tab w:leader="none" w:pos="12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420" w:firstLine="479"/>
        <w:spacing w:after="0" w:line="342" w:lineRule="auto"/>
        <w:tabs>
          <w:tab w:leader="none" w:pos="1302"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264" w:lineRule="auto"/>
        <w:tabs>
          <w:tab w:leader="none" w:pos="12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180" w:hanging="7"/>
        <w:spacing w:after="0" w:line="308" w:lineRule="auto"/>
        <w:tabs>
          <w:tab w:leader="none" w:pos="66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640" w:firstLine="479"/>
        <w:spacing w:after="0" w:line="308" w:lineRule="auto"/>
        <w:tabs>
          <w:tab w:leader="none" w:pos="1302"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340" w:firstLine="479"/>
        <w:spacing w:after="0" w:line="277" w:lineRule="auto"/>
        <w:tabs>
          <w:tab w:leader="none" w:pos="12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tabs>
          <w:tab w:leader="none" w:pos="464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31750</wp:posOffset>
            </wp:positionV>
            <wp:extent cx="32670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jc w:val="center"/>
        <w:ind w:left="300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jc w:val="center"/>
        <w:ind w:left="30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30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89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§1350</w:t>
      </w:r>
    </w:p>
    <w:p>
      <w:pPr>
        <w:spacing w:after="0" w:line="200" w:lineRule="exact"/>
        <w:rPr>
          <w:sz w:val="20"/>
          <w:szCs w:val="20"/>
          <w:color w:val="auto"/>
        </w:rPr>
      </w:pPr>
    </w:p>
    <w:p>
      <w:pPr>
        <w:spacing w:after="0" w:line="29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Annual Report on Form 10-K for the fiscal year ended December 31, 2019 fully complies with the requirements of Section 13(a) or 15(d) of the Securities Exchange Act of 1934 and that the information contained in this report fairly presents, in all material respects, the financial condition and results of operations of Casella Waste Systems, Inc.</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898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John W. Casella</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898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February 21, 2020</w:t>
      </w:r>
      <w:r>
        <w:rPr>
          <w:sz w:val="20"/>
          <w:szCs w:val="20"/>
          <w:color w:val="auto"/>
        </w:rPr>
        <w:tab/>
      </w:r>
      <w:r>
        <w:rPr>
          <w:rFonts w:ascii="Arial" w:cs="Arial" w:eastAsia="Arial" w:hAnsi="Arial"/>
          <w:sz w:val="16"/>
          <w:szCs w:val="16"/>
          <w:color w:val="auto"/>
        </w:rPr>
        <w:t>By: /s/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898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lvl w:ilvl="1">
      <w:lvlJc w:val="left"/>
      <w:lvlText w:val="◦"/>
      <w:numFmt w:val="bullet"/>
      <w:start w:val="1"/>
    </w:lvl>
  </w:abstractNum>
  <w:abstractNum w:abstractNumId="44">
    <w:nsid w:val="39386575"/>
    <w:multiLevelType w:val="hybridMultilevel"/>
    <w:lvl w:ilvl="0">
      <w:lvlJc w:val="left"/>
      <w:lvlText w:val="%1."/>
      <w:numFmt w:val="decimal"/>
      <w:start w:val="3"/>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lvl w:ilvl="1">
      <w:lvlJc w:val="left"/>
      <w:lvlText w:val="(%2)"/>
      <w:numFmt w:val="decimal"/>
      <w:start w:val="1"/>
    </w:lvl>
  </w:abstractNum>
  <w:abstractNum w:abstractNumId="51">
    <w:nsid w:val="741226BB"/>
    <w:multiLevelType w:val="hybridMultilevel"/>
    <w:lvl w:ilvl="0">
      <w:lvlJc w:val="left"/>
      <w:lvlText w:val="%1."/>
      <w:numFmt w:val="decimal"/>
      <w:start w:val="11"/>
    </w:lvl>
    <w:lvl w:ilvl="1">
      <w:lvlJc w:val="left"/>
      <w:lvlText w:val="%2"/>
      <w:numFmt w:val="decimal"/>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5"/>
    </w:lvl>
  </w:abstractNum>
  <w:abstractNum w:abstractNumId="57">
    <w:nsid w:val="77AE35EB"/>
    <w:multiLevelType w:val="hybridMultilevel"/>
    <w:lvl w:ilvl="0">
      <w:lvlJc w:val="left"/>
      <w:lvlText w:val="%1."/>
      <w:numFmt w:val="decimal"/>
      <w:start w:val="17"/>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9"/>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153" Type="http://schemas.openxmlformats.org/officeDocument/2006/relationships/hyperlink" Target="http://www.sec.gov/Archives/edgar/data/911177/000091205799005429/0000912057-99-005429.txt" TargetMode="External"/><Relationship Id="rId154" Type="http://schemas.openxmlformats.org/officeDocument/2006/relationships/hyperlink" Target="http://www.sec.gov/Archives/edgar/data/911177/000110465911012173/a11-5937_1ex2d1.htm" TargetMode="External"/><Relationship Id="rId155" Type="http://schemas.openxmlformats.org/officeDocument/2006/relationships/hyperlink" Target="http://www.sec.gov/Archives/edgar/data/911177/000119312512497009/d451302dex101.htm" TargetMode="External"/><Relationship Id="rId156" Type="http://schemas.openxmlformats.org/officeDocument/2006/relationships/hyperlink" Target="http://www.sec.gov/Archives/edgar/data/911177/000119312513463744/d638304dex101.htm" TargetMode="External"/><Relationship Id="rId157" Type="http://schemas.openxmlformats.org/officeDocument/2006/relationships/hyperlink" Target="http://www.sec.gov/Archives/edgar/data/911177/000104746907009844/a2181401zex-3_1.htm" TargetMode="External"/><Relationship Id="rId158" Type="http://schemas.openxmlformats.org/officeDocument/2006/relationships/hyperlink" Target="http://www.sec.gov/Archives/edgar/data/911177/000110465909013184/a09-6186_1ex3d1.htm" TargetMode="External"/><Relationship Id="rId159" Type="http://schemas.openxmlformats.org/officeDocument/2006/relationships/hyperlink" Target="http://www.sec.gov/Archives/edgar/data/911177/0001029869-97-001166.txt" TargetMode="External"/><Relationship Id="rId160" Type="http://schemas.openxmlformats.org/officeDocument/2006/relationships/hyperlink" Target="http://www.sec.gov/Archives/edgar/data/911177/000091205700038357/ex-4_1.txt" TargetMode="External"/><Relationship Id="rId161" Type="http://schemas.openxmlformats.org/officeDocument/2006/relationships/hyperlink" Target="http://www.sec.gov/Archives/edgar/data/911177/000119312515305083/d68513dex41.htm" TargetMode="External"/><Relationship Id="rId165" Type="http://schemas.openxmlformats.org/officeDocument/2006/relationships/hyperlink" Target="http://www.sec.gov/Archives/edgar/data/911177/000119312515305083/d68513dex42.htm" TargetMode="External"/><Relationship Id="rId166" Type="http://schemas.openxmlformats.org/officeDocument/2006/relationships/hyperlink" Target="http://www.sec.gov/Archives/edgar/data/911177/000119312514446866/d839310dex41.htm" TargetMode="External"/><Relationship Id="rId167" Type="http://schemas.openxmlformats.org/officeDocument/2006/relationships/hyperlink" Target="http://www.sec.gov/Archives/edgar/data/911177/000119312516611235/d202767dex41.htm" TargetMode="External"/><Relationship Id="rId168" Type="http://schemas.openxmlformats.org/officeDocument/2006/relationships/hyperlink" Target="http://www.sec.gov/Archives/edgar/data/911177/000119312514373867/d805861dex101.htm" TargetMode="External"/><Relationship Id="rId169" Type="http://schemas.openxmlformats.org/officeDocument/2006/relationships/hyperlink" Target="http://www.sec.gov/Archives/edgar/data/911177/000119312513144248/d516725dex101.htm" TargetMode="External"/><Relationship Id="rId170" Type="http://schemas.openxmlformats.org/officeDocument/2006/relationships/hyperlink" Target="http://www.sec.gov/Archives/edgar/data/911177/000119312514251471/d708462dex48.htm" TargetMode="External"/><Relationship Id="rId171" Type="http://schemas.openxmlformats.org/officeDocument/2006/relationships/hyperlink" Target="http://www.sec.gov/Archives/edgar/data/911177/000119312513144248/d516725dex102.htm" TargetMode="External"/><Relationship Id="rId172" Type="http://schemas.openxmlformats.org/officeDocument/2006/relationships/hyperlink" Target="http://www.sec.gov/Archives/edgar/data/911177/000110465906000398/a05-22599_1ex10d1.htm" TargetMode="External"/><Relationship Id="rId173" Type="http://schemas.openxmlformats.org/officeDocument/2006/relationships/hyperlink" Target="http://www.sec.gov/Archives/edgar/data/911177/000141057812000058/a12-2158_1ex10d1.htm" TargetMode="External"/><Relationship Id="rId174" Type="http://schemas.openxmlformats.org/officeDocument/2006/relationships/hyperlink" Target="http://www.sec.gov/Archives/edgar/data/911177/000091117717000010/cwst17-0207_x8kex4d2.htm" TargetMode="External"/><Relationship Id="rId175" Type="http://schemas.openxmlformats.org/officeDocument/2006/relationships/hyperlink" Target="http://www.sec.gov/Archives/edgar/data/911177/000091117717000010/cwst17-0207_x8kex4d1.htm" TargetMode="External"/><Relationship Id="rId176" Type="http://schemas.openxmlformats.org/officeDocument/2006/relationships/hyperlink" Target="http://www.sec.gov/Archives/edgar/data/911177/0001029869-97-000958.txt" TargetMode="External"/><Relationship Id="rId177" Type="http://schemas.openxmlformats.org/officeDocument/2006/relationships/hyperlink" Target="http://www.sec.gov/Archives/edgar/data/911177/0001029869-98-000841.txt" TargetMode="External"/><Relationship Id="rId178" Type="http://schemas.openxmlformats.org/officeDocument/2006/relationships/hyperlink" Target="http://www.sec.gov/Archives/edgar/data/911177/000119312514251471/d708462dex107.htm" TargetMode="External"/><Relationship Id="rId182" Type="http://schemas.openxmlformats.org/officeDocument/2006/relationships/hyperlink" Target="http://www.sec.gov/Archives/edgar/data/911177/000119312514251471/d708462dex109.htm" TargetMode="External"/><Relationship Id="rId183" Type="http://schemas.openxmlformats.org/officeDocument/2006/relationships/hyperlink" Target="http://www.sec.gov/Archives/edgar/data/911177/000107261300000765/0001072613-00-000765-0002.txt" TargetMode="External"/><Relationship Id="rId184" Type="http://schemas.openxmlformats.org/officeDocument/2006/relationships/hyperlink" Target="http://www.sec.gov/Archives/edgar/data/911177/000110465909015154/a09-6583_1ex10d3.htm" TargetMode="External"/><Relationship Id="rId185" Type="http://schemas.openxmlformats.org/officeDocument/2006/relationships/hyperlink" Target="http://www.sec.gov/Archives/edgar/data/911177/000119312516490223/d27133dex1013.htm" TargetMode="External"/><Relationship Id="rId186" Type="http://schemas.openxmlformats.org/officeDocument/2006/relationships/hyperlink" Target="http://www.sec.gov/Archives/edgar/data/911177/000119312514251471/d708462dex1014.htm" TargetMode="External"/><Relationship Id="rId187" Type="http://schemas.openxmlformats.org/officeDocument/2006/relationships/hyperlink" Target="http://www.sec.gov/Archives/edgar/data/911177/000119312514251471/d708462dex1015.htm" TargetMode="External"/><Relationship Id="rId188" Type="http://schemas.openxmlformats.org/officeDocument/2006/relationships/hyperlink" Target="http://www.sec.gov/Archives/edgar/data/911177/000119312514251471/d708462dex1016.htm" TargetMode="External"/><Relationship Id="rId189" Type="http://schemas.openxmlformats.org/officeDocument/2006/relationships/hyperlink" Target="http://www.sec.gov/Archives/edgar/data/911177/000119312514251471/d708462dex1017.htm" TargetMode="External"/><Relationship Id="rId190" Type="http://schemas.openxmlformats.org/officeDocument/2006/relationships/hyperlink" Target="http://www.sec.gov/Archives/edgar/data/911177/000119312514251471/d708462dex1018.htm" TargetMode="External"/><Relationship Id="rId191" Type="http://schemas.openxmlformats.org/officeDocument/2006/relationships/hyperlink" Target="http://www.sec.gov/Archives/edgar/data/911177/000119312514251471/d708462dex1019.htm" TargetMode="External"/><Relationship Id="rId192" Type="http://schemas.openxmlformats.org/officeDocument/2006/relationships/hyperlink" Target="http://www.sec.gov/Archives/edgar/data/911177/000110465908057068/a08-22715_1ex10d2.htm" TargetMode="External"/><Relationship Id="rId193" Type="http://schemas.openxmlformats.org/officeDocument/2006/relationships/hyperlink" Target="http://www.sec.gov/Archives/edgar/data/911177/000119312516495282/d137543dex102.htm" TargetMode="External"/><Relationship Id="rId194" Type="http://schemas.openxmlformats.org/officeDocument/2006/relationships/hyperlink" Target="http://www.sec.gov/Archives/edgar/data/911177/000119312516495282/d137543dex103.htm" TargetMode="External"/><Relationship Id="rId195" Type="http://schemas.openxmlformats.org/officeDocument/2006/relationships/hyperlink" Target="http://www.sec.gov/Archives/edgar/data/911177/000110465910047160/a10-16550_1ex10d1.htm" TargetMode="External"/><Relationship Id="rId196" Type="http://schemas.openxmlformats.org/officeDocument/2006/relationships/hyperlink" Target="http://www.sec.gov/Archives/edgar/data/911177/000119312514251471/d708462dex1026.htm" TargetMode="External"/><Relationship Id="rId197" Type="http://schemas.openxmlformats.org/officeDocument/2006/relationships/hyperlink" Target="http://www.sec.gov/Archives/edgar/data/911177/000119312514251471/d708462dex1027.htm" TargetMode="External"/><Relationship Id="rId201" Type="http://schemas.openxmlformats.org/officeDocument/2006/relationships/hyperlink" Target="http://www.sec.gov/Archives/edgar/data/911177/000119312514251471/d708462dex1028.htm" TargetMode="External"/><Relationship Id="rId202" Type="http://schemas.openxmlformats.org/officeDocument/2006/relationships/hyperlink" Target="http://www.sec.gov/Archives/edgar/data/911177/000119312516495282/d137543dex104.htm" TargetMode="External"/><Relationship Id="rId203" Type="http://schemas.openxmlformats.org/officeDocument/2006/relationships/hyperlink" Target="http://www.sec.gov/Archives/edgar/data/911177/000119312514251471/d708462dex1029.htm" TargetMode="External"/><Relationship Id="rId204" Type="http://schemas.openxmlformats.org/officeDocument/2006/relationships/hyperlink" Target="http://www.sec.gov/Archives/edgar/data/911177/000119312516495282/d137543dex101.htm" TargetMode="External"/><Relationship Id="rId205" Type="http://schemas.openxmlformats.org/officeDocument/2006/relationships/hyperlink" Target="http://www.sec.gov/Archives/edgar/data/911177/000091117716000011/cwst16-1117_1s8xex99d1.htm" TargetMode="External"/><Relationship Id="rId206" Type="http://schemas.openxmlformats.org/officeDocument/2006/relationships/hyperlink" Target="http://www.sec.gov/Archives/edgar/data/911177/000091117716000015/cwst16-1122_8kxex10d1.htm" TargetMode="External"/><Relationship Id="rId207" Type="http://schemas.openxmlformats.org/officeDocument/2006/relationships/hyperlink" Target="http://www.sec.gov/Archives/edgar/data/911177/000091117716000015/cwst16-1122_8kxex10d2.htm" TargetMode="External"/><Relationship Id="rId208" Type="http://schemas.openxmlformats.org/officeDocument/2006/relationships/hyperlink" Target="http://www.sec.gov/Archives/edgar/data/911177/000091117716000015/cwst16-1122_8kxex10d3.htm" TargetMode="External"/><Relationship Id="rId209" Type="http://schemas.openxmlformats.org/officeDocument/2006/relationships/hyperlink" Target="http://www.sec.gov/Archives/edgar/data/911177/000091117716000015/cwst16-1122_8kxex10d4.htm" TargetMode="External"/><Relationship Id="rId210" Type="http://schemas.openxmlformats.org/officeDocument/2006/relationships/hyperlink" Target="http://www.sec.gov/Archives/edgar/data/911177/000091117716000015/cwst16-1122_8kxex10d5.htm" TargetMode="External"/><Relationship Id="rId211" Type="http://schemas.openxmlformats.org/officeDocument/2006/relationships/hyperlink" Target="http://www.sec.gov/Archives/edgar/data/911177/000091117716000015/cwst16-1122_8kxex10d6.htm" TargetMode="External"/><Relationship Id="rId212" Type="http://schemas.openxmlformats.org/officeDocument/2006/relationships/hyperlink" Target="http://www.sec.gov/Archives/edgar/data/911177/000091117716000015/cwst16-1122_8kxex10d7.htm" TargetMode="External"/><Relationship Id="rId213" Type="http://schemas.openxmlformats.org/officeDocument/2006/relationships/hyperlink" Target="http://www.sec.gov/Archives/edgar/data/911177/000091117716000015/cwst16-1122_8kxex10d8.htm" TargetMode="External"/><Relationship Id="rId214" Type="http://schemas.openxmlformats.org/officeDocument/2006/relationships/hyperlink" Target="http://www.sec.gov/Archives/edgar/data/911177/000091117716000015/cwst16-1122_8kxex10d9.htm" TargetMode="External"/><Relationship Id="rId215" Type="http://schemas.openxmlformats.org/officeDocument/2006/relationships/hyperlink" Target="http://www.sec.gov/Archives/edgar/data/911177/000091117716000015/cwst16-1122_8kxex10d10.htm" TargetMode="External"/><Relationship Id="rId216" Type="http://schemas.openxmlformats.org/officeDocument/2006/relationships/hyperlink" Target="http://www.sec.gov/Archives/edgar/data/911177/000091117716000015/cwst16-1122_8kxex10d11.htm" TargetMode="External"/><Relationship Id="rId217" Type="http://schemas.openxmlformats.org/officeDocument/2006/relationships/hyperlink" Target="http://www.sec.gov/Archives/edgar/data/911177/000091117717000053/cwst-093017xex101.htm" TargetMode="External"/><Relationship Id="rId221" Type="http://schemas.openxmlformats.org/officeDocument/2006/relationships/hyperlink" Target="http://www.sec.gov/Archives/edgar/data/911177/000091117718000031/cwst-q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2020-02-21T16:14:50Z</dcterms:created>
  <dcterms:modified xsi:type="dcterms:W3CDTF">2020-02-21T16:14:50Z</dcterms:modified>
</cp:coreProperties>
</file>