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483235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18415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75565</wp:posOffset>
            </wp:positionV>
            <wp:extent cx="2777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400" w:right="340" w:hanging="374"/>
        <w:spacing w:after="0" w:line="235" w:lineRule="auto"/>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400" w:right="320" w:hanging="374"/>
        <w:spacing w:after="0" w:line="235" w:lineRule="auto"/>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34290</wp:posOffset>
            </wp:positionV>
            <wp:extent cx="2777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CASELLA WASTE SYSTEMS,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55880</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4" w:lineRule="exact"/>
        <w:rPr>
          <w:sz w:val="24"/>
          <w:szCs w:val="24"/>
          <w:color w:val="auto"/>
        </w:rPr>
      </w:pPr>
    </w:p>
    <w:tbl>
      <w:tblPr>
        <w:tblLayout w:type="fixed"/>
        <w:tblInd w:w="2760" w:type="dxa"/>
        <w:tblCellMar>
          <w:top w:w="0" w:type="dxa"/>
          <w:left w:w="0" w:type="dxa"/>
          <w:bottom w:w="0" w:type="dxa"/>
          <w:right w:w="0" w:type="dxa"/>
        </w:tblCellMar>
      </w:tblPr>
      <w:tr>
        <w:trPr>
          <w:trHeight w:val="186"/>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Delaware</w:t>
            </w:r>
          </w:p>
        </w:tc>
        <w:tc>
          <w:tcPr>
            <w:tcW w:w="1900" w:type="dxa"/>
            <w:vAlign w:val="bottom"/>
          </w:tcPr>
          <w:p>
            <w:pPr>
              <w:jc w:val="center"/>
              <w:ind w:left="728"/>
              <w:spacing w:after="0"/>
              <w:rPr>
                <w:sz w:val="20"/>
                <w:szCs w:val="20"/>
                <w:color w:val="auto"/>
              </w:rPr>
            </w:pPr>
            <w:r>
              <w:rPr>
                <w:rFonts w:ascii="Arial" w:cs="Arial" w:eastAsia="Arial" w:hAnsi="Arial"/>
                <w:sz w:val="14"/>
                <w:szCs w:val="14"/>
                <w:b w:val="1"/>
                <w:bCs w:val="1"/>
                <w:color w:val="auto"/>
                <w:w w:val="93"/>
              </w:rPr>
              <w:t>03-0338873</w:t>
            </w:r>
          </w:p>
        </w:tc>
      </w:tr>
      <w:tr>
        <w:trPr>
          <w:trHeight w:val="147"/>
        </w:trPr>
        <w:tc>
          <w:tcPr>
            <w:tcW w:w="3180" w:type="dxa"/>
            <w:vAlign w:val="bottom"/>
          </w:tcPr>
          <w:p>
            <w:pPr>
              <w:jc w:val="center"/>
              <w:ind w:right="708"/>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1900" w:type="dxa"/>
            <w:vAlign w:val="bottom"/>
          </w:tcPr>
          <w:p>
            <w:pPr>
              <w:jc w:val="center"/>
              <w:ind w:left="708"/>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180" w:type="dxa"/>
            <w:vAlign w:val="bottom"/>
          </w:tcPr>
          <w:p>
            <w:pPr>
              <w:jc w:val="center"/>
              <w:ind w:right="708"/>
              <w:spacing w:after="0"/>
              <w:rPr>
                <w:sz w:val="20"/>
                <w:szCs w:val="20"/>
                <w:color w:val="auto"/>
              </w:rPr>
            </w:pPr>
            <w:r>
              <w:rPr>
                <w:rFonts w:ascii="Arial" w:cs="Arial" w:eastAsia="Arial" w:hAnsi="Arial"/>
                <w:sz w:val="14"/>
                <w:szCs w:val="14"/>
                <w:b w:val="1"/>
                <w:bCs w:val="1"/>
                <w:color w:val="auto"/>
                <w:w w:val="94"/>
              </w:rPr>
              <w:t>incorporation or organization)</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4"/>
              </w:rPr>
              <w:t>Identification No.)</w:t>
            </w:r>
          </w:p>
        </w:tc>
      </w:tr>
      <w:tr>
        <w:trPr>
          <w:trHeight w:val="342"/>
        </w:trPr>
        <w:tc>
          <w:tcPr>
            <w:tcW w:w="3180" w:type="dxa"/>
            <w:vAlign w:val="bottom"/>
          </w:tcPr>
          <w:p>
            <w:pPr>
              <w:jc w:val="center"/>
              <w:ind w:right="708"/>
              <w:spacing w:after="0"/>
              <w:rPr>
                <w:sz w:val="20"/>
                <w:szCs w:val="20"/>
                <w:color w:val="auto"/>
              </w:rPr>
            </w:pPr>
            <w:r>
              <w:rPr>
                <w:rFonts w:ascii="Arial" w:cs="Arial" w:eastAsia="Arial" w:hAnsi="Arial"/>
                <w:sz w:val="14"/>
                <w:szCs w:val="14"/>
                <w:b w:val="1"/>
                <w:bCs w:val="1"/>
                <w:color w:val="auto"/>
                <w:w w:val="95"/>
              </w:rPr>
              <w:t>25 Greens Hill Lane,</w:t>
            </w:r>
          </w:p>
        </w:tc>
        <w:tc>
          <w:tcPr>
            <w:tcW w:w="1900" w:type="dxa"/>
            <w:vAlign w:val="bottom"/>
          </w:tcPr>
          <w:p>
            <w:pPr>
              <w:spacing w:after="0"/>
              <w:rPr>
                <w:sz w:val="24"/>
                <w:szCs w:val="24"/>
                <w:color w:val="auto"/>
              </w:rPr>
            </w:pPr>
          </w:p>
        </w:tc>
      </w:tr>
      <w:tr>
        <w:trPr>
          <w:trHeight w:val="189"/>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Rutland, Vermont</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2"/>
              </w:rPr>
              <w:t>05701</w:t>
            </w:r>
          </w:p>
        </w:tc>
      </w:tr>
      <w:tr>
        <w:trPr>
          <w:trHeight w:val="189"/>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68580</wp:posOffset>
            </wp:positionV>
            <wp:extent cx="2777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10"/>
        </w:trPr>
        <w:tc>
          <w:tcPr>
            <w:tcW w:w="3740" w:type="dxa"/>
            <w:vAlign w:val="bottom"/>
            <w:gridSpan w:val="2"/>
            <w:vMerge w:val="continue"/>
          </w:tcPr>
          <w:p>
            <w:pPr>
              <w:spacing w:after="0"/>
              <w:rPr>
                <w:sz w:val="9"/>
                <w:szCs w:val="9"/>
                <w:color w:val="auto"/>
              </w:rPr>
            </w:pPr>
          </w:p>
        </w:tc>
        <w:tc>
          <w:tcPr>
            <w:tcW w:w="2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Symbol(s)</w:t>
            </w:r>
          </w:p>
        </w:tc>
        <w:tc>
          <w:tcPr>
            <w:tcW w:w="3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78"/>
        </w:trPr>
        <w:tc>
          <w:tcPr>
            <w:tcW w:w="3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3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$0.01 par value per share</w:t>
            </w:r>
          </w:p>
        </w:tc>
        <w:tc>
          <w:tcPr>
            <w:tcW w:w="100" w:type="dxa"/>
            <w:vAlign w:val="bottom"/>
          </w:tcPr>
          <w:p>
            <w:pPr>
              <w:spacing w:after="0"/>
              <w:rPr>
                <w:sz w:val="15"/>
                <w:szCs w:val="15"/>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CWST</w:t>
            </w:r>
          </w:p>
        </w:tc>
        <w:tc>
          <w:tcPr>
            <w:tcW w:w="1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c>
          <w:tcPr>
            <w:tcW w:w="0" w:type="dxa"/>
            <w:vAlign w:val="bottom"/>
          </w:tcPr>
          <w:p>
            <w:pPr>
              <w:spacing w:after="0"/>
              <w:rPr>
                <w:sz w:val="1"/>
                <w:szCs w:val="1"/>
                <w:color w:val="auto"/>
              </w:rPr>
            </w:pPr>
          </w:p>
        </w:tc>
      </w:tr>
    </w:tbl>
    <w:p>
      <w:pPr>
        <w:spacing w:after="0" w:line="178"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14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344"/>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560" w:type="dxa"/>
            <w:vAlign w:val="bottom"/>
          </w:tcPr>
          <w:p>
            <w:pPr>
              <w:ind w:left="240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0"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7020" w:type="dxa"/>
            <w:vAlign w:val="bottom"/>
          </w:tcPr>
          <w:p>
            <w:pPr>
              <w:spacing w:after="0"/>
              <w:rPr>
                <w:sz w:val="20"/>
                <w:szCs w:val="20"/>
                <w:color w:val="auto"/>
              </w:rPr>
            </w:pPr>
            <w:r>
              <w:rPr>
                <w:rFonts w:ascii="Arial" w:cs="Arial" w:eastAsia="Arial" w:hAnsi="Arial"/>
                <w:sz w:val="16"/>
                <w:szCs w:val="16"/>
                <w:color w:val="auto"/>
                <w:w w:val="92"/>
              </w:rPr>
              <w:t>The number of shares outstanding of each of the registrant’s classes of common stock, as of July 15, 2022:</w:t>
            </w:r>
          </w:p>
        </w:tc>
        <w:tc>
          <w:tcPr>
            <w:tcW w:w="4220" w:type="dxa"/>
            <w:vAlign w:val="bottom"/>
          </w:tcPr>
          <w:p>
            <w:pPr>
              <w:spacing w:after="0"/>
              <w:rPr>
                <w:sz w:val="17"/>
                <w:szCs w:val="17"/>
                <w:color w:val="auto"/>
              </w:rPr>
            </w:pPr>
          </w:p>
        </w:tc>
      </w:tr>
      <w:tr>
        <w:trPr>
          <w:trHeight w:val="230"/>
        </w:trPr>
        <w:tc>
          <w:tcPr>
            <w:tcW w:w="7020" w:type="dxa"/>
            <w:vAlign w:val="bottom"/>
          </w:tcPr>
          <w:p>
            <w:pPr>
              <w:ind w:left="1580"/>
              <w:spacing w:after="0"/>
              <w:rPr>
                <w:sz w:val="20"/>
                <w:szCs w:val="20"/>
                <w:color w:val="auto"/>
              </w:rPr>
            </w:pPr>
            <w:r>
              <w:rPr>
                <w:rFonts w:ascii="Arial" w:cs="Arial" w:eastAsia="Arial" w:hAnsi="Arial"/>
                <w:sz w:val="16"/>
                <w:szCs w:val="16"/>
                <w:color w:val="auto"/>
              </w:rPr>
              <w:t>Class A common stock, $0.01 par value per share:</w:t>
            </w:r>
          </w:p>
        </w:tc>
        <w:tc>
          <w:tcPr>
            <w:tcW w:w="4220" w:type="dxa"/>
            <w:vAlign w:val="bottom"/>
          </w:tcPr>
          <w:p>
            <w:pPr>
              <w:jc w:val="right"/>
              <w:ind w:right="3279"/>
              <w:spacing w:after="0"/>
              <w:rPr>
                <w:sz w:val="20"/>
                <w:szCs w:val="20"/>
                <w:color w:val="auto"/>
              </w:rPr>
            </w:pPr>
            <w:r>
              <w:rPr>
                <w:rFonts w:ascii="Arial" w:cs="Arial" w:eastAsia="Arial" w:hAnsi="Arial"/>
                <w:sz w:val="16"/>
                <w:szCs w:val="16"/>
                <w:color w:val="auto"/>
              </w:rPr>
              <w:t>50,689,841</w:t>
            </w:r>
          </w:p>
        </w:tc>
      </w:tr>
      <w:tr>
        <w:trPr>
          <w:trHeight w:val="216"/>
        </w:trPr>
        <w:tc>
          <w:tcPr>
            <w:tcW w:w="7020" w:type="dxa"/>
            <w:vAlign w:val="bottom"/>
          </w:tcPr>
          <w:p>
            <w:pPr>
              <w:ind w:left="1600"/>
              <w:spacing w:after="0"/>
              <w:rPr>
                <w:sz w:val="20"/>
                <w:szCs w:val="20"/>
                <w:color w:val="auto"/>
              </w:rPr>
            </w:pPr>
            <w:r>
              <w:rPr>
                <w:rFonts w:ascii="Arial" w:cs="Arial" w:eastAsia="Arial" w:hAnsi="Arial"/>
                <w:sz w:val="16"/>
                <w:szCs w:val="16"/>
                <w:color w:val="auto"/>
              </w:rPr>
              <w:t>Class B common stock, $0.01 par value per share:</w:t>
            </w:r>
          </w:p>
        </w:tc>
        <w:tc>
          <w:tcPr>
            <w:tcW w:w="4220" w:type="dxa"/>
            <w:vAlign w:val="bottom"/>
          </w:tcPr>
          <w:p>
            <w:pPr>
              <w:jc w:val="right"/>
              <w:ind w:right="3279"/>
              <w:spacing w:after="0"/>
              <w:rPr>
                <w:sz w:val="20"/>
                <w:szCs w:val="20"/>
                <w:color w:val="auto"/>
              </w:rPr>
            </w:pPr>
            <w:r>
              <w:rPr>
                <w:rFonts w:ascii="Arial" w:cs="Arial" w:eastAsia="Arial" w:hAnsi="Arial"/>
                <w:sz w:val="16"/>
                <w:szCs w:val="16"/>
                <w:color w:val="auto"/>
              </w:rPr>
              <w:t>988,200</w:t>
            </w:r>
          </w:p>
        </w:tc>
      </w:tr>
      <w:tr>
        <w:trPr>
          <w:trHeight w:val="128"/>
        </w:trPr>
        <w:tc>
          <w:tcPr>
            <w:tcW w:w="7020" w:type="dxa"/>
            <w:vAlign w:val="bottom"/>
            <w:tcBorders>
              <w:bottom w:val="single" w:sz="8" w:color="auto"/>
            </w:tcBorders>
          </w:tcPr>
          <w:p>
            <w:pPr>
              <w:spacing w:after="0"/>
              <w:rPr>
                <w:sz w:val="11"/>
                <w:szCs w:val="11"/>
                <w:color w:val="auto"/>
              </w:rPr>
            </w:pPr>
          </w:p>
        </w:tc>
        <w:tc>
          <w:tcPr>
            <w:tcW w:w="4220" w:type="dxa"/>
            <w:vAlign w:val="bottom"/>
            <w:tcBorders>
              <w:bottom w:val="single" w:sz="8" w:color="auto"/>
            </w:tcBorders>
          </w:tcPr>
          <w:p>
            <w:pPr>
              <w:spacing w:after="0"/>
              <w:rPr>
                <w:sz w:val="11"/>
                <w:szCs w:val="11"/>
                <w:color w:val="auto"/>
              </w:rPr>
            </w:pPr>
          </w:p>
        </w:tc>
      </w:tr>
      <w:tr>
        <w:trPr>
          <w:trHeight w:val="34"/>
        </w:trPr>
        <w:tc>
          <w:tcPr>
            <w:tcW w:w="70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675"/>
        </w:trPr>
        <w:tc>
          <w:tcPr>
            <w:tcW w:w="702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33"/>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33,809</w:t>
            </w:r>
          </w:p>
        </w:tc>
        <w:tc>
          <w:tcPr>
            <w:tcW w:w="0" w:type="dxa"/>
            <w:vAlign w:val="bottom"/>
          </w:tcPr>
          <w:p>
            <w:pPr>
              <w:spacing w:after="0"/>
              <w:rPr>
                <w:sz w:val="1"/>
                <w:szCs w:val="1"/>
                <w:color w:val="auto"/>
              </w:rPr>
            </w:pPr>
          </w:p>
        </w:tc>
      </w:tr>
      <w:tr>
        <w:trPr>
          <w:trHeight w:val="230"/>
        </w:trPr>
        <w:tc>
          <w:tcPr>
            <w:tcW w:w="8240" w:type="dxa"/>
            <w:vAlign w:val="bottom"/>
          </w:tcPr>
          <w:p>
            <w:pPr>
              <w:ind w:left="660"/>
              <w:spacing w:after="0"/>
              <w:rPr>
                <w:sz w:val="20"/>
                <w:szCs w:val="20"/>
                <w:color w:val="auto"/>
              </w:rPr>
            </w:pPr>
            <w:r>
              <w:rPr>
                <w:rFonts w:ascii="Arial" w:cs="Arial" w:eastAsia="Arial" w:hAnsi="Arial"/>
                <w:sz w:val="18"/>
                <w:szCs w:val="18"/>
                <w:color w:val="auto"/>
              </w:rPr>
              <w:t>Accounts receivable, net of allowance for credit losses of $3,879 and $3,276, respectively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108,313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86,979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12,766</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181,156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146,479</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Property, plant and equipment, net of accumulated depreciation and amortization of $1,016,382 and $973,094,</w:t>
            </w: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668,381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644,604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93,253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93,799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232,860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96,762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93,723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and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Cost method investments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1,370,719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1,283,580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maturities of debt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7,307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63,086</w:t>
            </w:r>
          </w:p>
        </w:tc>
        <w:tc>
          <w:tcPr>
            <w:tcW w:w="0" w:type="dxa"/>
            <w:vAlign w:val="bottom"/>
          </w:tcPr>
          <w:p>
            <w:pPr>
              <w:spacing w:after="0"/>
              <w:rPr>
                <w:sz w:val="1"/>
                <w:szCs w:val="1"/>
                <w:color w:val="auto"/>
              </w:rPr>
            </w:pPr>
          </w:p>
        </w:tc>
      </w:tr>
      <w:tr>
        <w:trPr>
          <w:trHeight w:val="230"/>
        </w:trPr>
        <w:tc>
          <w:tcPr>
            <w:tcW w:w="8240" w:type="dxa"/>
            <w:vAlign w:val="bottom"/>
          </w:tcPr>
          <w:p>
            <w:pPr>
              <w:ind w:left="660"/>
              <w:spacing w:after="0"/>
              <w:rPr>
                <w:sz w:val="20"/>
                <w:szCs w:val="20"/>
                <w:color w:val="auto"/>
              </w:rPr>
            </w:pPr>
            <w:r>
              <w:rPr>
                <w:rFonts w:ascii="Arial" w:cs="Arial" w:eastAsia="Arial" w:hAnsi="Arial"/>
                <w:sz w:val="18"/>
                <w:szCs w:val="18"/>
                <w:color w:val="auto"/>
              </w:rPr>
              <w:t>Accrued payroll and related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22,210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accrued capping, closure and post-closure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47,371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152,193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Debt, less current portion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575,556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542,503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56,375</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86,558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78,999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30,185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4"/>
              </w:rPr>
              <w:t>Class A common stock, $0.01 par value per share; 100,000,000 shares authorized; 50,690,000 and</w:t>
            </w: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50,423,000 shares issued and outstanding, respectively</w:t>
            </w:r>
          </w:p>
        </w:tc>
        <w:tc>
          <w:tcPr>
            <w:tcW w:w="2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780"/>
              <w:spacing w:after="0" w:line="176" w:lineRule="exact"/>
              <w:rPr>
                <w:sz w:val="20"/>
                <w:szCs w:val="20"/>
                <w:color w:val="auto"/>
              </w:rPr>
            </w:pPr>
            <w:r>
              <w:rPr>
                <w:rFonts w:ascii="Arial" w:cs="Arial" w:eastAsia="Arial" w:hAnsi="Arial"/>
                <w:sz w:val="18"/>
                <w:szCs w:val="18"/>
                <w:color w:val="auto"/>
                <w:w w:val="89"/>
              </w:rPr>
              <w:t>Class B common stock, $0.01 par value per share; 1,000,000 shares authorized; 988,000 shares issued</w:t>
            </w: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240" w:type="dxa"/>
            <w:vAlign w:val="bottom"/>
          </w:tcPr>
          <w:p>
            <w:pPr>
              <w:ind w:left="780"/>
              <w:spacing w:after="0"/>
              <w:rPr>
                <w:sz w:val="20"/>
                <w:szCs w:val="20"/>
                <w:color w:val="auto"/>
              </w:rPr>
            </w:pPr>
            <w:r>
              <w:rPr>
                <w:rFonts w:ascii="Arial" w:cs="Arial" w:eastAsia="Arial" w:hAnsi="Arial"/>
                <w:sz w:val="18"/>
                <w:szCs w:val="18"/>
                <w:color w:val="auto"/>
              </w:rPr>
              <w:t>and outstanding, respectively; 10 votes per share</w:t>
            </w: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652,045</w:t>
            </w:r>
          </w:p>
        </w:tc>
        <w:tc>
          <w:tcPr>
            <w:tcW w:w="0" w:type="dxa"/>
            <w:vAlign w:val="bottom"/>
          </w:tcPr>
          <w:p>
            <w:pPr>
              <w:spacing w:after="0"/>
              <w:rPr>
                <w:sz w:val="1"/>
                <w:szCs w:val="1"/>
                <w:color w:val="auto"/>
              </w:rPr>
            </w:pPr>
          </w:p>
        </w:tc>
      </w:tr>
      <w:tr>
        <w:trPr>
          <w:trHeight w:val="229"/>
        </w:trPr>
        <w:tc>
          <w:tcPr>
            <w:tcW w:w="8240" w:type="dxa"/>
            <w:vAlign w:val="bottom"/>
          </w:tcPr>
          <w:p>
            <w:pPr>
              <w:ind w:left="7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(203,013)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(224,999)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Accumulated other comprehensive income (loss), net of tax</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457,566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422,457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1,370,719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1,283,580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517,693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405,406</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operations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348,493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265,691</w:t>
            </w: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Arial" w:cs="Arial" w:eastAsia="Arial" w:hAnsi="Arial"/>
                <w:sz w:val="18"/>
                <w:szCs w:val="18"/>
                <w:color w:val="auto"/>
              </w:rPr>
              <w:t>General and administration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63,354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56,343</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47,019</w:t>
            </w: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Arial" w:cs="Arial" w:eastAsia="Arial" w:hAnsi="Arial"/>
                <w:sz w:val="18"/>
                <w:szCs w:val="18"/>
                <w:color w:val="auto"/>
              </w:rPr>
              <w:t>Expense from acquisition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Southbridge Landfill closure charge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251,947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475,806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371,451</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33,955</w:t>
            </w:r>
          </w:p>
        </w:tc>
        <w:tc>
          <w:tcPr>
            <w:tcW w:w="0" w:type="dxa"/>
            <w:vAlign w:val="bottom"/>
          </w:tcPr>
          <w:p>
            <w:pPr>
              <w:spacing w:after="0"/>
              <w:rPr>
                <w:sz w:val="1"/>
                <w:szCs w:val="1"/>
                <w:color w:val="auto"/>
              </w:rPr>
            </w:pPr>
          </w:p>
        </w:tc>
      </w:tr>
      <w:tr>
        <w:trPr>
          <w:trHeight w:val="210"/>
        </w:trPr>
        <w:tc>
          <w:tcPr>
            <w:tcW w:w="54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10,902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10,764</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9,986</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23,969</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21"/>
        </w:trPr>
        <w:tc>
          <w:tcPr>
            <w:tcW w:w="54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17,796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11,783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21,986</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16,094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51,273</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tcPr>
          <w:p>
            <w:pPr>
              <w:ind w:left="360"/>
              <w:spacing w:after="0" w:line="203" w:lineRule="exact"/>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0.43</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earnings per share attributable to common stockholders: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51,781</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51,720</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51,466</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17,796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Hedging activity: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560"/>
              <w:spacing w:after="0"/>
              <w:rPr>
                <w:sz w:val="20"/>
                <w:szCs w:val="20"/>
                <w:color w:val="auto"/>
              </w:rPr>
            </w:pPr>
            <w:r>
              <w:rPr>
                <w:rFonts w:ascii="Arial" w:cs="Arial" w:eastAsia="Arial" w:hAnsi="Arial"/>
                <w:sz w:val="18"/>
                <w:szCs w:val="18"/>
                <w:color w:val="auto"/>
              </w:rPr>
              <w:t>Interest rate swap settlements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Interest rate swap amounts reclassified into interest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175"/>
        </w:trPr>
        <w:tc>
          <w:tcPr>
            <w:tcW w:w="5200" w:type="dxa"/>
            <w:vAlign w:val="bottom"/>
          </w:tcPr>
          <w:p>
            <w:pPr>
              <w:ind w:left="560"/>
              <w:spacing w:after="0" w:line="176" w:lineRule="exact"/>
              <w:rPr>
                <w:sz w:val="20"/>
                <w:szCs w:val="20"/>
                <w:color w:val="auto"/>
              </w:rPr>
            </w:pPr>
            <w:r>
              <w:rPr>
                <w:rFonts w:ascii="Arial" w:cs="Arial" w:eastAsia="Arial" w:hAnsi="Arial"/>
                <w:sz w:val="18"/>
                <w:szCs w:val="18"/>
                <w:color w:val="auto"/>
                <w:w w:val="96"/>
              </w:rPr>
              <w:t>Unrealized gain (loss) resulting from changes in fair value of</w:t>
            </w: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3,488</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11,869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derivative instruments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176"/>
        </w:trPr>
        <w:tc>
          <w:tcPr>
            <w:tcW w:w="5200" w:type="dxa"/>
            <w:vAlign w:val="bottom"/>
          </w:tcPr>
          <w:p>
            <w:pPr>
              <w:ind w:left="360"/>
              <w:spacing w:after="0" w:line="176" w:lineRule="exact"/>
              <w:rPr>
                <w:sz w:val="20"/>
                <w:szCs w:val="20"/>
                <w:color w:val="auto"/>
              </w:rPr>
            </w:pPr>
            <w:r>
              <w:rPr>
                <w:rFonts w:ascii="Arial" w:cs="Arial" w:eastAsia="Arial" w:hAnsi="Arial"/>
                <w:sz w:val="18"/>
                <w:szCs w:val="18"/>
                <w:color w:val="auto"/>
              </w:rPr>
              <w:t>Income tax provision (benefit) related to items of other</w:t>
            </w: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20,776</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11,548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19,689</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360"/>
              <w:spacing w:after="0"/>
              <w:rPr>
                <w:sz w:val="20"/>
                <w:szCs w:val="20"/>
                <w:color w:val="auto"/>
              </w:rPr>
            </w:pPr>
            <w:r>
              <w:rPr>
                <w:rFonts w:ascii="Arial" w:cs="Arial" w:eastAsia="Arial" w:hAnsi="Arial"/>
                <w:sz w:val="13"/>
                <w:szCs w:val="13"/>
                <w:b w:val="1"/>
                <w:bCs w:val="1"/>
                <w:color w:val="auto"/>
              </w:rPr>
              <w:t>Casella Waste Systems, Inc. Stockholders' Equity</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Class A</w:t>
            </w:r>
          </w:p>
        </w:tc>
        <w:tc>
          <w:tcPr>
            <w:tcW w:w="1580" w:type="dxa"/>
            <w:vAlign w:val="bottom"/>
            <w:gridSpan w:val="5"/>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Class B</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158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5"/>
              </w:rPr>
              <w:t>Common Stock</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 Other</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vMerge w:val="restart"/>
          </w:tcPr>
          <w:p>
            <w:pPr>
              <w:ind w:left="20"/>
              <w:spacing w:after="0" w:line="122" w:lineRule="exact"/>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2"/>
                <w:szCs w:val="2"/>
                <w:color w:val="auto"/>
              </w:rPr>
            </w:pPr>
          </w:p>
        </w:tc>
        <w:tc>
          <w:tcPr>
            <w:tcW w:w="1000" w:type="dxa"/>
            <w:vAlign w:val="bottom"/>
            <w:gridSpan w:val="2"/>
            <w:vMerge w:val="restart"/>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2"/>
                <w:szCs w:val="2"/>
                <w:color w:val="auto"/>
              </w:rPr>
            </w:pPr>
          </w:p>
        </w:tc>
        <w:tc>
          <w:tcPr>
            <w:tcW w:w="1060" w:type="dxa"/>
            <w:vAlign w:val="bottom"/>
            <w:vMerge w:val="restart"/>
          </w:tcPr>
          <w:p>
            <w:pPr>
              <w:jc w:val="center"/>
              <w:ind w:right="69"/>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0" w:type="dxa"/>
            <w:vAlign w:val="bottom"/>
          </w:tcPr>
          <w:p>
            <w:pPr>
              <w:spacing w:after="0"/>
              <w:rPr>
                <w:sz w:val="1"/>
                <w:szCs w:val="1"/>
                <w:color w:val="auto"/>
              </w:rPr>
            </w:pPr>
          </w:p>
        </w:tc>
      </w:tr>
      <w:tr>
        <w:trPr>
          <w:trHeight w:val="74"/>
        </w:trPr>
        <w:tc>
          <w:tcPr>
            <w:tcW w:w="3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6"/>
                <w:szCs w:val="6"/>
                <w:color w:val="auto"/>
              </w:rPr>
            </w:pP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4"/>
                <w:szCs w:val="14"/>
                <w:color w:val="auto"/>
              </w:rPr>
            </w:pPr>
          </w:p>
        </w:tc>
        <w:tc>
          <w:tcPr>
            <w:tcW w:w="1060" w:type="dxa"/>
            <w:vAlign w:val="bottom"/>
          </w:tcPr>
          <w:p>
            <w:pPr>
              <w:jc w:val="center"/>
              <w:ind w:right="69"/>
              <w:spacing w:after="0"/>
              <w:rPr>
                <w:sz w:val="20"/>
                <w:szCs w:val="20"/>
                <w:color w:val="auto"/>
              </w:rPr>
            </w:pPr>
            <w:r>
              <w:rPr>
                <w:rFonts w:ascii="Arial" w:cs="Arial" w:eastAsia="Arial" w:hAnsi="Arial"/>
                <w:sz w:val="13"/>
                <w:szCs w:val="13"/>
                <w:b w:val="1"/>
                <w:bCs w:val="1"/>
                <w:color w:val="auto"/>
                <w:w w:val="86"/>
              </w:rPr>
              <w:t>Income (Loss)</w:t>
            </w:r>
          </w:p>
        </w:tc>
        <w:tc>
          <w:tcPr>
            <w:tcW w:w="0" w:type="dxa"/>
            <w:vAlign w:val="bottom"/>
          </w:tcPr>
          <w:p>
            <w:pPr>
              <w:spacing w:after="0"/>
              <w:rPr>
                <w:sz w:val="1"/>
                <w:szCs w:val="1"/>
                <w:color w:val="auto"/>
              </w:rPr>
            </w:pPr>
          </w:p>
        </w:tc>
      </w:tr>
      <w:tr>
        <w:trPr>
          <w:trHeight w:val="188"/>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422,457</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50,423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652,045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(224,999)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(5,103)</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2,241</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4,190</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Other 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6,143</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6,143</w:t>
            </w:r>
          </w:p>
        </w:tc>
        <w:tc>
          <w:tcPr>
            <w:tcW w:w="0" w:type="dxa"/>
            <w:vAlign w:val="bottom"/>
          </w:tcPr>
          <w:p>
            <w:pPr>
              <w:spacing w:after="0"/>
              <w:rPr>
                <w:sz w:val="1"/>
                <w:szCs w:val="1"/>
                <w:color w:val="auto"/>
              </w:rPr>
            </w:pPr>
          </w:p>
        </w:tc>
      </w:tr>
      <w:tr>
        <w:trPr>
          <w:trHeight w:val="179"/>
        </w:trPr>
        <w:tc>
          <w:tcPr>
            <w:tcW w:w="3840" w:type="dxa"/>
            <w:vAlign w:val="bottom"/>
          </w:tcPr>
          <w:p>
            <w:pPr>
              <w:ind w:left="20"/>
              <w:spacing w:after="0"/>
              <w:rPr>
                <w:sz w:val="20"/>
                <w:szCs w:val="20"/>
                <w:color w:val="auto"/>
              </w:rPr>
            </w:pPr>
            <w:r>
              <w:rPr>
                <w:rFonts w:ascii="Arial" w:cs="Arial" w:eastAsia="Arial" w:hAnsi="Arial"/>
                <w:sz w:val="14"/>
                <w:szCs w:val="14"/>
                <w:color w:val="auto"/>
              </w:rPr>
              <w:t>Balance, March 31, 2022</w:t>
            </w: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435,050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50,650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654,303</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(220,809)</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803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17,796</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2,980</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211"/>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2022</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457,566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656,042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(203,013)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7"/>
              </w:rPr>
              <w:t>Class A</w:t>
            </w:r>
          </w:p>
        </w:tc>
        <w:tc>
          <w:tcPr>
            <w:tcW w:w="158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Class B</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12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1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8"/>
              </w:rPr>
              <w:t>Accumulated Other</w:t>
            </w:r>
          </w:p>
        </w:tc>
        <w:tc>
          <w:tcPr>
            <w:tcW w:w="0" w:type="dxa"/>
            <w:vAlign w:val="bottom"/>
          </w:tcPr>
          <w:p>
            <w:pPr>
              <w:spacing w:after="0"/>
              <w:rPr>
                <w:sz w:val="1"/>
                <w:szCs w:val="1"/>
                <w:color w:val="auto"/>
              </w:rPr>
            </w:pPr>
          </w:p>
        </w:tc>
      </w:tr>
      <w:tr>
        <w:trPr>
          <w:trHeight w:val="80"/>
        </w:trPr>
        <w:tc>
          <w:tcPr>
            <w:tcW w:w="3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6"/>
                <w:szCs w:val="6"/>
                <w:color w:val="auto"/>
              </w:rPr>
            </w:pP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Comprehensive Loss</w:t>
            </w:r>
          </w:p>
        </w:tc>
        <w:tc>
          <w:tcPr>
            <w:tcW w:w="0" w:type="dxa"/>
            <w:vAlign w:val="bottom"/>
          </w:tcPr>
          <w:p>
            <w:pPr>
              <w:spacing w:after="0"/>
              <w:rPr>
                <w:sz w:val="1"/>
                <w:szCs w:val="1"/>
                <w:color w:val="auto"/>
              </w:rPr>
            </w:pPr>
          </w:p>
        </w:tc>
      </w:tr>
      <w:tr>
        <w:trPr>
          <w:trHeight w:val="188"/>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362,142</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50,101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639,247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(266,099)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(11,517)</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2,941</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4,311</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Other 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3,830</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3,830</w:t>
            </w:r>
          </w:p>
        </w:tc>
        <w:tc>
          <w:tcPr>
            <w:tcW w:w="0" w:type="dxa"/>
            <w:vAlign w:val="bottom"/>
          </w:tcPr>
          <w:p>
            <w:pPr>
              <w:spacing w:after="0"/>
              <w:rPr>
                <w:sz w:val="1"/>
                <w:szCs w:val="1"/>
                <w:color w:val="auto"/>
              </w:rPr>
            </w:pPr>
          </w:p>
        </w:tc>
      </w:tr>
      <w:tr>
        <w:trPr>
          <w:trHeight w:val="179"/>
        </w:trPr>
        <w:tc>
          <w:tcPr>
            <w:tcW w:w="3840" w:type="dxa"/>
            <w:vAlign w:val="bottom"/>
          </w:tcPr>
          <w:p>
            <w:pPr>
              <w:ind w:left="20"/>
              <w:spacing w:after="0"/>
              <w:rPr>
                <w:sz w:val="20"/>
                <w:szCs w:val="20"/>
                <w:color w:val="auto"/>
              </w:rPr>
            </w:pPr>
            <w:r>
              <w:rPr>
                <w:rFonts w:ascii="Arial" w:cs="Arial" w:eastAsia="Arial" w:hAnsi="Arial"/>
                <w:sz w:val="14"/>
                <w:szCs w:val="14"/>
                <w:color w:val="auto"/>
              </w:rPr>
              <w:t>Balance, March 31, 2021</w:t>
            </w: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373,336</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50,374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642,297</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(261,788)</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(7,687)</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3,116</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11,783</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loss: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11"/>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2021</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388,492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645,905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Six Months Ended</w:t>
      </w:r>
    </w:p>
    <w:p>
      <w:pPr>
        <w:jc w:val="center"/>
        <w:ind w:left="822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21,986</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16,094</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60,579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47,019</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accretion on landfill and environmental remediation liabilities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3,962</w:t>
            </w: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Amortization of debt issuance costs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6,057</w:t>
            </w: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Operating lease right-of-use assets expense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6,407</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Gain on sale of property and equipment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Non-cash expense from acquisition activities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7,041</w:t>
            </w: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Changes in assets and liabilities, net of effects of acquisitions and divestitures: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receivable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(4,712)</w:t>
            </w:r>
          </w:p>
        </w:tc>
        <w:tc>
          <w:tcPr>
            <w:tcW w:w="0" w:type="dxa"/>
            <w:vAlign w:val="bottom"/>
          </w:tcPr>
          <w:p>
            <w:pPr>
              <w:spacing w:after="0"/>
              <w:rPr>
                <w:sz w:val="1"/>
                <w:szCs w:val="1"/>
                <w:color w:val="auto"/>
              </w:rPr>
            </w:pPr>
          </w:p>
        </w:tc>
      </w:tr>
      <w:tr>
        <w:trPr>
          <w:trHeight w:val="186"/>
        </w:trPr>
        <w:tc>
          <w:tcPr>
            <w:tcW w:w="8240" w:type="dxa"/>
            <w:vAlign w:val="bottom"/>
          </w:tcPr>
          <w:p>
            <w:pPr>
              <w:ind w:left="660"/>
              <w:spacing w:after="0"/>
              <w:rPr>
                <w:sz w:val="20"/>
                <w:szCs w:val="20"/>
                <w:color w:val="auto"/>
              </w:rPr>
            </w:pPr>
            <w:r>
              <w:rPr>
                <w:rFonts w:ascii="Arial" w:cs="Arial" w:eastAsia="Arial" w:hAnsi="Arial"/>
                <w:sz w:val="14"/>
                <w:szCs w:val="14"/>
                <w:color w:val="auto"/>
              </w:rPr>
              <w:t>Landfill operating lease contract expenditures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(1,308)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(1,478)</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10,866</w:t>
            </w:r>
          </w:p>
        </w:tc>
        <w:tc>
          <w:tcPr>
            <w:tcW w:w="0" w:type="dxa"/>
            <w:vAlign w:val="bottom"/>
          </w:tcPr>
          <w:p>
            <w:pPr>
              <w:spacing w:after="0"/>
              <w:rPr>
                <w:sz w:val="1"/>
                <w:szCs w:val="1"/>
                <w:color w:val="auto"/>
              </w:rPr>
            </w:pPr>
          </w:p>
        </w:tc>
      </w:tr>
      <w:tr>
        <w:trPr>
          <w:trHeight w:val="186"/>
        </w:trPr>
        <w:tc>
          <w:tcPr>
            <w:tcW w:w="8240" w:type="dxa"/>
            <w:vAlign w:val="bottom"/>
          </w:tcPr>
          <w:p>
            <w:pPr>
              <w:ind w:left="660"/>
              <w:spacing w:after="0"/>
              <w:rPr>
                <w:sz w:val="20"/>
                <w:szCs w:val="20"/>
                <w:color w:val="auto"/>
              </w:rPr>
            </w:pPr>
            <w:r>
              <w:rPr>
                <w:rFonts w:ascii="Arial" w:cs="Arial" w:eastAsia="Arial" w:hAnsi="Arial"/>
                <w:sz w:val="14"/>
                <w:szCs w:val="14"/>
                <w:color w:val="auto"/>
              </w:rPr>
              <w:t>Prepaid expenses, inventories and other assets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(6,099)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(7,192)</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Accrued expenses, contract liabilities and other liabilities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(7,125)</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92,251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79,013</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Acquisitions, net of cash acquired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(56,250)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(5,481)</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Additions to property, plant and equipment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(54,868)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(56,069)</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Proceeds from sale of property and equipment</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(110,611)</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(61,147)</w:t>
            </w:r>
          </w:p>
        </w:tc>
        <w:tc>
          <w:tcPr>
            <w:tcW w:w="0" w:type="dxa"/>
            <w:vAlign w:val="bottom"/>
          </w:tcPr>
          <w:p>
            <w:pPr>
              <w:spacing w:after="0"/>
              <w:rPr>
                <w:sz w:val="1"/>
                <w:szCs w:val="1"/>
                <w:color w:val="auto"/>
              </w:rPr>
            </w:pPr>
          </w:p>
        </w:tc>
      </w:tr>
      <w:tr>
        <w:trPr>
          <w:trHeight w:val="166"/>
        </w:trPr>
        <w:tc>
          <w:tcPr>
            <w:tcW w:w="82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debt borrowings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Principal payments on debt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(55,297)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(5,643)</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Payments of debt issuance costs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Payments of contingent consideration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the exercise of share based awards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24,866</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(5,031)</w:t>
            </w:r>
          </w:p>
        </w:tc>
        <w:tc>
          <w:tcPr>
            <w:tcW w:w="0" w:type="dxa"/>
            <w:vAlign w:val="bottom"/>
          </w:tcPr>
          <w:p>
            <w:pPr>
              <w:spacing w:after="0"/>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12,835</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33,809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154,342</w:t>
            </w:r>
          </w:p>
        </w:tc>
        <w:tc>
          <w:tcPr>
            <w:tcW w:w="0" w:type="dxa"/>
            <w:vAlign w:val="bottom"/>
          </w:tcPr>
          <w:p>
            <w:pPr>
              <w:spacing w:after="0"/>
              <w:rPr>
                <w:sz w:val="1"/>
                <w:szCs w:val="1"/>
                <w:color w:val="auto"/>
              </w:rPr>
            </w:pP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40,315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167,177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2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Cash interest payments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9,701</w:t>
            </w:r>
          </w:p>
        </w:tc>
        <w:tc>
          <w:tcPr>
            <w:tcW w:w="0" w:type="dxa"/>
            <w:vAlign w:val="bottom"/>
          </w:tcPr>
          <w:p>
            <w:pPr>
              <w:spacing w:after="0"/>
              <w:rPr>
                <w:sz w:val="1"/>
                <w:szCs w:val="1"/>
                <w:color w:val="auto"/>
              </w:rPr>
            </w:pPr>
          </w:p>
        </w:tc>
      </w:tr>
      <w:tr>
        <w:trPr>
          <w:trHeight w:val="186"/>
        </w:trPr>
        <w:tc>
          <w:tcPr>
            <w:tcW w:w="8240" w:type="dxa"/>
            <w:vAlign w:val="bottom"/>
          </w:tcPr>
          <w:p>
            <w:pPr>
              <w:ind w:left="660"/>
              <w:spacing w:after="0"/>
              <w:rPr>
                <w:sz w:val="20"/>
                <w:szCs w:val="20"/>
                <w:color w:val="auto"/>
              </w:rPr>
            </w:pPr>
            <w:r>
              <w:rPr>
                <w:rFonts w:ascii="Arial" w:cs="Arial" w:eastAsia="Arial" w:hAnsi="Arial"/>
                <w:sz w:val="14"/>
                <w:szCs w:val="14"/>
                <w:color w:val="auto"/>
              </w:rPr>
              <w:t>Cash income tax payments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2,092</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Non-current assets obtained through long-term financing obligations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5,894</w:t>
            </w:r>
          </w:p>
        </w:tc>
        <w:tc>
          <w:tcPr>
            <w:tcW w:w="0" w:type="dxa"/>
            <w:vAlign w:val="bottom"/>
          </w:tcPr>
          <w:p>
            <w:pPr>
              <w:spacing w:after="0"/>
              <w:rPr>
                <w:sz w:val="1"/>
                <w:szCs w:val="1"/>
                <w:color w:val="auto"/>
              </w:rPr>
            </w:pPr>
          </w:p>
        </w:tc>
      </w:tr>
      <w:tr>
        <w:trPr>
          <w:trHeight w:val="182"/>
        </w:trPr>
        <w:tc>
          <w:tcPr>
            <w:tcW w:w="8240" w:type="dxa"/>
            <w:vAlign w:val="bottom"/>
          </w:tcPr>
          <w:p>
            <w:pPr>
              <w:ind w:left="660"/>
              <w:spacing w:after="0"/>
              <w:rPr>
                <w:sz w:val="20"/>
                <w:szCs w:val="20"/>
                <w:color w:val="auto"/>
              </w:rPr>
            </w:pPr>
            <w:r>
              <w:rPr>
                <w:rFonts w:ascii="Arial" w:cs="Arial" w:eastAsia="Arial" w:hAnsi="Arial"/>
                <w:sz w:val="14"/>
                <w:szCs w:val="14"/>
                <w:color w:val="auto"/>
              </w:rPr>
              <w:t>Right-of-use assets obtained in exchange for operating lease obligations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5,194</w:t>
            </w:r>
          </w:p>
        </w:tc>
        <w:tc>
          <w:tcPr>
            <w:tcW w:w="1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121"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Casella Waste Systems, Inc. (“Parent”), and its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We provide integrated solid waste services in seven states: Vermont, New Hampshire, New York, Massachusetts, Connecticut, Maine and Pennsylvania, with our headquarters located in Rutland, Vermont. 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7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our Annual Report on Form 10-K for the fiscal year ended December 31, 2021 ("fiscal year 2021"), which was filed with the SEC on February 18, 2022.</w:t>
      </w:r>
    </w:p>
    <w:p>
      <w:pPr>
        <w:spacing w:after="0" w:line="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and six months ended June 30, 2022 may not be indicative of the results for any other interim period or the entire fiscal year. The consolidated financial statements presented herein should be read in conjunction with our audited consolidated financial statements included in our Annual Report on Form 10-K for fiscal year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evaluated subsequent events or transactions that have occurred after the consolidated balance sheet date of June 30, 2022 through the date of filing of the consolidated financial statements with the SEC on this Quarterly Report on Form 10-Q. We have determined that there are no subsequent events that require disclosure in this Quarterly Report on Form 10-Q.</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 w:name="page9"/>
    <w:bookmarkEnd w:id="8"/>
    <w:p>
      <w:pPr>
        <w:spacing w:after="0"/>
        <w:tabs>
          <w:tab w:leader="none" w:pos="300" w:val="left"/>
        </w:tabs>
        <w:rPr>
          <w:sz w:val="20"/>
          <w:szCs w:val="20"/>
          <w:color w:val="auto"/>
        </w:rPr>
      </w:pPr>
      <w:r>
        <w:rPr>
          <w:rFonts w:ascii="Arial" w:cs="Arial" w:eastAsia="Arial" w:hAnsi="Arial"/>
          <w:sz w:val="18"/>
          <w:szCs w:val="18"/>
          <w:b w:val="1"/>
          <w:bCs w:val="1"/>
          <w:color w:val="auto"/>
        </w:rPr>
        <w:t>2.</w:t>
        <w:tab/>
        <w:t>ACCOUNTING CHANGES</w:t>
      </w:r>
    </w:p>
    <w:p>
      <w:pPr>
        <w:spacing w:after="0" w:line="121"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A table providing a brief description of recent Accounting Standards Updates ("ASUs") to the Accounting Standards Codification ("ASC") issued by the Financial Accounting Standards Board (“FASB”) that are pending adoption and deemed to have a possible material impact on our consolidated financial statements based on current account balances and activity follows:</w:t>
      </w:r>
    </w:p>
    <w:tbl>
      <w:tblPr>
        <w:tblLayout w:type="fixed"/>
        <w:tblInd w:w="0" w:type="dxa"/>
        <w:tblCellMar>
          <w:top w:w="0" w:type="dxa"/>
          <w:left w:w="0" w:type="dxa"/>
          <w:bottom w:w="0" w:type="dxa"/>
          <w:right w:w="0" w:type="dxa"/>
        </w:tblCellMar>
      </w:tblPr>
      <w:tr>
        <w:trPr>
          <w:trHeight w:val="146"/>
        </w:trPr>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29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Description</w:t>
            </w:r>
          </w:p>
        </w:tc>
        <w:tc>
          <w:tcPr>
            <w:tcW w:w="4540" w:type="dxa"/>
            <w:vAlign w:val="bottom"/>
          </w:tcPr>
          <w:p>
            <w:pPr>
              <w:jc w:val="center"/>
              <w:ind w:left="468"/>
              <w:spacing w:after="0" w:line="147" w:lineRule="exact"/>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88"/>
        </w:trPr>
        <w:tc>
          <w:tcPr>
            <w:tcW w:w="380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tcBorders>
            <w:vMerge w:val="continue"/>
          </w:tcPr>
          <w:p>
            <w:pPr>
              <w:spacing w:after="0"/>
              <w:rPr>
                <w:sz w:val="16"/>
                <w:szCs w:val="16"/>
                <w:color w:val="auto"/>
              </w:rPr>
            </w:pPr>
          </w:p>
        </w:tc>
        <w:tc>
          <w:tcPr>
            <w:tcW w:w="454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77"/>
        </w:trPr>
        <w:tc>
          <w:tcPr>
            <w:tcW w:w="38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Accounting standards issued pending adoption</w:t>
            </w:r>
          </w:p>
        </w:tc>
        <w:tc>
          <w:tcPr>
            <w:tcW w:w="29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240"/>
          </w:cols>
          <w:pgMar w:left="320" w:top="1107" w:right="339" w:bottom="1440" w:gutter="0" w:footer="0" w:header="0"/>
        </w:sectPr>
      </w:pPr>
    </w:p>
    <w:p>
      <w:pPr>
        <w:ind w:left="20"/>
        <w:spacing w:after="0" w:line="224" w:lineRule="auto"/>
        <w:rPr>
          <w:sz w:val="20"/>
          <w:szCs w:val="20"/>
          <w:color w:val="auto"/>
        </w:rPr>
      </w:pPr>
      <w:r>
        <w:rPr>
          <w:rFonts w:ascii="Arial" w:cs="Arial" w:eastAsia="Arial" w:hAnsi="Arial"/>
          <w:sz w:val="18"/>
          <w:szCs w:val="18"/>
          <w:color w:val="auto"/>
        </w:rPr>
        <w:t>ASU No. 2020-04: Reference Rate Reform (Topic 848), as amended through January 2021</w:t>
      </w:r>
    </w:p>
    <w:p>
      <w:pPr>
        <w:spacing w:after="0" w:line="20" w:lineRule="exact"/>
        <w:rPr>
          <w:sz w:val="20"/>
          <w:szCs w:val="20"/>
          <w:color w:val="auto"/>
        </w:rPr>
      </w:pPr>
      <w:r>
        <w:rPr>
          <w:sz w:val="20"/>
          <w:szCs w:val="20"/>
          <w:color w:val="auto"/>
        </w:rPr>
        <w:br w:type="column"/>
      </w:r>
    </w:p>
    <w:p>
      <w:pPr>
        <w:spacing w:after="0" w:line="226" w:lineRule="auto"/>
        <w:rPr>
          <w:sz w:val="20"/>
          <w:szCs w:val="20"/>
          <w:color w:val="auto"/>
        </w:rPr>
      </w:pPr>
      <w:r>
        <w:rPr>
          <w:rFonts w:ascii="Arial" w:cs="Arial" w:eastAsia="Arial" w:hAnsi="Arial"/>
          <w:sz w:val="17"/>
          <w:szCs w:val="17"/>
          <w:color w:val="auto"/>
        </w:rPr>
        <w:t>Provides temporary optional guidance to ease the potential burden in applying GAAP to contract modifications and hedging relationships that reference London Inter-Bank Offered Rate ("LIBOR") or another reference rate expected to be discontinued, subject to meeting certain criteria.</w:t>
      </w:r>
    </w:p>
    <w:p>
      <w:pPr>
        <w:spacing w:after="0" w:line="20" w:lineRule="exact"/>
        <w:rPr>
          <w:sz w:val="20"/>
          <w:szCs w:val="20"/>
          <w:color w:val="auto"/>
        </w:rPr>
      </w:pPr>
      <w:r>
        <w:rPr>
          <w:sz w:val="20"/>
          <w:szCs w:val="20"/>
          <w:color w:val="auto"/>
        </w:rPr>
        <w:br w:type="column"/>
      </w:r>
    </w:p>
    <w:p>
      <w:pPr>
        <w:ind w:right="20"/>
        <w:spacing w:after="0" w:line="232" w:lineRule="auto"/>
        <w:rPr>
          <w:sz w:val="20"/>
          <w:szCs w:val="20"/>
          <w:color w:val="auto"/>
        </w:rPr>
      </w:pPr>
      <w:r>
        <w:rPr>
          <w:rFonts w:ascii="Arial" w:cs="Arial" w:eastAsia="Arial" w:hAnsi="Arial"/>
          <w:sz w:val="16"/>
          <w:szCs w:val="16"/>
          <w:color w:val="auto"/>
        </w:rPr>
        <w:t>We currently have interest rate derivative agreements with hedging relationships that reference LIBOR. This guidance provides optional expedients and exceptions for applying GAAP to contracts, hedging relationships, and other transactions affected by reference rate reform if certain criteria are met. We are currently assessing the provisions of this guidance, and reviewing and updating our existing contracts, as applicable, for transition or fallback language that specifies how a replacement rate for LIBOR will be identified. We are also no longer using LIBOR as a reference rate for any new contracts. We do not expect that the adoption of this guidance will have a material impact on our consolidated financial statements and related disclosures. This guidance will be in effect from March 12, 2020 through December 31, 2022. See Note 7, Debt for further disclosure over our interest rate derivative agreements and debt instruments that reference LIBOR.</w:t>
      </w:r>
    </w:p>
    <w:p>
      <w:pPr>
        <w:spacing w:after="0" w:line="63" w:lineRule="exact"/>
        <w:rPr>
          <w:sz w:val="20"/>
          <w:szCs w:val="20"/>
          <w:color w:val="auto"/>
        </w:rPr>
      </w:pPr>
    </w:p>
    <w:p>
      <w:pPr>
        <w:sectPr>
          <w:pgSz w:w="11900" w:h="16838" w:orient="portrait"/>
          <w:cols w:equalWidth="0" w:num="3">
            <w:col w:w="3000" w:space="180"/>
            <w:col w:w="3920" w:space="160"/>
            <w:col w:w="3980"/>
          </w:cols>
          <w:pgMar w:left="320" w:top="1107" w:right="339" w:bottom="1440" w:gutter="0" w:footer="0" w:header="0"/>
          <w:type w:val="continuous"/>
        </w:sectPr>
      </w:pPr>
    </w:p>
    <w:p>
      <w:pPr>
        <w:ind w:left="20"/>
        <w:spacing w:after="0" w:line="219" w:lineRule="auto"/>
        <w:rPr>
          <w:sz w:val="20"/>
          <w:szCs w:val="20"/>
          <w:color w:val="auto"/>
        </w:rPr>
      </w:pPr>
      <w:r>
        <w:rPr>
          <w:rFonts w:ascii="Arial" w:cs="Arial" w:eastAsia="Arial" w:hAnsi="Arial"/>
          <w:sz w:val="18"/>
          <w:szCs w:val="18"/>
          <w:color w:val="auto"/>
        </w:rPr>
        <w:t>ASU No. 2021-08: Accounting for Contract Assets and Contract Liabilities from Contracts with Customers (Topic 805)</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Arial" w:cs="Arial" w:eastAsia="Arial" w:hAnsi="Arial"/>
          <w:sz w:val="16"/>
          <w:szCs w:val="16"/>
          <w:color w:val="auto"/>
        </w:rPr>
        <w:t>Requires entities to apply ASC 606 to recognize and measure contract assets and contract liabilities in a business combination. This guidance improves comparability after the business combination by providing consistent recognition and measurement guidance for revenue contracts with customers acquired in a business combination and revenue contracts with customers not acquired in a business combination.</w:t>
      </w:r>
    </w:p>
    <w:p>
      <w:pPr>
        <w:spacing w:after="0" w:line="20" w:lineRule="exact"/>
        <w:rPr>
          <w:sz w:val="20"/>
          <w:szCs w:val="20"/>
          <w:color w:val="auto"/>
        </w:rPr>
      </w:pPr>
      <w:r>
        <w:rPr>
          <w:sz w:val="20"/>
          <w:szCs w:val="20"/>
          <w:color w:val="auto"/>
        </w:rPr>
        <w:br w:type="column"/>
      </w:r>
    </w:p>
    <w:p>
      <w:pPr>
        <w:ind w:right="20"/>
        <w:spacing w:after="0" w:line="236" w:lineRule="auto"/>
        <w:rPr>
          <w:sz w:val="20"/>
          <w:szCs w:val="20"/>
          <w:color w:val="auto"/>
        </w:rPr>
      </w:pPr>
      <w:r>
        <w:rPr>
          <w:rFonts w:ascii="Arial" w:cs="Arial" w:eastAsia="Arial" w:hAnsi="Arial"/>
          <w:sz w:val="16"/>
          <w:szCs w:val="16"/>
          <w:color w:val="auto"/>
        </w:rPr>
        <w:t>We have made in the past, and we may make in the future, acquisitions to densify existing operations, expand service areas, and grow services for our customers, and these acquisitions may include contract assets or contract liabilities. We do not expect that the adoption of this guidance will have a material impact on our consolidated financial statements and related disclosures. This guidance is effective January 1, 2023 with early adoption permitted.</w:t>
      </w:r>
    </w:p>
    <w:p>
      <w:pPr>
        <w:spacing w:after="0" w:line="200" w:lineRule="exact"/>
        <w:rPr>
          <w:sz w:val="20"/>
          <w:szCs w:val="20"/>
          <w:color w:val="auto"/>
        </w:rPr>
      </w:pPr>
    </w:p>
    <w:p>
      <w:pPr>
        <w:sectPr>
          <w:pgSz w:w="11900" w:h="16838" w:orient="portrait"/>
          <w:cols w:equalWidth="0" w:num="3">
            <w:col w:w="2900" w:space="280"/>
            <w:col w:w="3780" w:space="300"/>
            <w:col w:w="3980"/>
          </w:cols>
          <w:pgMar w:left="320" w:top="1107" w:right="3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RECOGNITION</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Revenues associated with our solid waste operations are derived mainly from solid waste collection and disposal services, including landfill, transfer station and transportation services, landfill gas-to-energy services, and processing services. Revenues associated with our resource-renewal services are derived from processing and non-processing services.</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set forth revenues disaggregated by service line and timing of revenue recognition by operating segment for each of the three and six months ended June 30, 2022 and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Three Months Ended June 30,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3"/>
          </w:tcPr>
          <w:p>
            <w:pPr>
              <w:ind w:left="180"/>
              <w:spacing w:after="0"/>
              <w:rPr>
                <w:sz w:val="20"/>
                <w:szCs w:val="20"/>
                <w:color w:val="auto"/>
              </w:rPr>
            </w:pPr>
            <w:r>
              <w:rPr>
                <w:rFonts w:ascii="Arial" w:cs="Arial" w:eastAsia="Arial" w:hAnsi="Arial"/>
                <w:sz w:val="14"/>
                <w:szCs w:val="14"/>
                <w:b w:val="1"/>
                <w:bCs w:val="1"/>
                <w:color w:val="auto"/>
              </w:rPr>
              <w:t>Eastern</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59,299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25,141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33,867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36,796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47,652</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114,884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283,666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18,813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19,447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264,219</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114,884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283,666</w:t>
            </w:r>
          </w:p>
        </w:tc>
        <w:tc>
          <w:tcPr>
            <w:tcW w:w="0" w:type="dxa"/>
            <w:vAlign w:val="bottom"/>
          </w:tcPr>
          <w:p>
            <w:pPr>
              <w:spacing w:after="0"/>
              <w:rPr>
                <w:sz w:val="1"/>
                <w:szCs w:val="1"/>
                <w:color w:val="auto"/>
              </w:rPr>
            </w:pPr>
          </w:p>
        </w:tc>
      </w:tr>
      <w:tr>
        <w:trPr>
          <w:trHeight w:val="21"/>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June 30, 2021</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3"/>
          </w:tcPr>
          <w:p>
            <w:pPr>
              <w:ind w:left="180"/>
              <w:spacing w:after="0"/>
              <w:rPr>
                <w:sz w:val="20"/>
                <w:szCs w:val="20"/>
                <w:color w:val="auto"/>
              </w:rPr>
            </w:pPr>
            <w:r>
              <w:rPr>
                <w:rFonts w:ascii="Arial" w:cs="Arial" w:eastAsia="Arial" w:hAnsi="Arial"/>
                <w:sz w:val="14"/>
                <w:szCs w:val="14"/>
                <w:b w:val="1"/>
                <w:bCs w:val="1"/>
                <w:color w:val="auto"/>
              </w:rPr>
              <w:t>Eastern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8"/>
                <w:szCs w:val="18"/>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107,327</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22,635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23,341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34,934</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98,852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55,965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215,875</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14,944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15,469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200,406</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98,852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215,875</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Six Months Ended June 30, 2022</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Eastern</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24"/>
                <w:szCs w:val="24"/>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110,796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256,793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44,706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9,920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61,263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66,012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87,125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158,582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210,723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148,388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517,693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33,900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35,164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158,346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209,695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482,529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158,582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210,723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517,693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Eastern</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Total Revenues</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204,796</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41,656</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40,022</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5,348</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42,096</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69,085</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113,403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184,616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107,387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405,406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25,036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26,106</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379,300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113,403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184,616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107,387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405,406</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$5,908 and $9,702 in the three and six months ended June 30, 2022, respectively, and $2,532 and $4,100 in the three and six months ended June 30, 2021, respectively. Rebates are generally recorded as a reduction of revenues upon the sale of such materials, or upon receipt of the recycled materials at our facilities. We did not record any revenues in the three and six months ended June 30, 2022 or June 30, 2021 from performance obligations satisfied in previous periods.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Contract receivables, which are included in Accounts receivable, net are recorded when billed or when related revenue is earned, if earlier, and represent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claims against third-parties that will be settled in cash. Accounts receivable, net includes gross receivables from contracts of $111,601 and $89,232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June 30, 2022 and December 31, 2021, respectively. Certain customers are billed in advance and, accordingly, recognition of the related revenues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deferred as a contract liability until the services are provided and control transferred to the customer. We recognized contract liabilities of $3,733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$3,404 as of June 30, 2022 and December 31, 2021, respectively. Due to the short term nature of advanced billings, substantially all of the deferred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as a contract liability as of December 31, 2021 and December 31, 2020 was recognized as revenue during the six months ended June 30, 2022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June 30, 2021, respectively, when the services were performed.</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BUSINESS COMBINATIONS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six months ended June 30, 2022, we acquired the following businesses: a full service solid-waste collection, recycling and transportation business in our Resource Solutions operating segment; a closed waste-to-energy facility that is being decommissioned and rebuilt as a transfer station and four tuck-in solid waste collection businesses in our Western region; a portable toilets business in our Eastern region; and a scrap metal collection business whose assets are allocated between our Eastern region and Resource Solutions operating segments. In the six months ended June 30, 2021, we acquired two tuck-in solid waste collection businesses in our Western region, along with a septic and portable toilet business and a tuck-in solid waste collection business in our Eastern region.</w:t>
      </w:r>
    </w:p>
    <w:p>
      <w:pPr>
        <w:spacing w:after="0" w:line="8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operating results of these businesses are included in the accompanying unaudited consolidated statements of operations from each date of acquisition, and the purchase price has been allocated to the net assets acquired based on fair values at each date of acquisition, with the residual amounts recorded as goodwill. Purchase price allocations are based on information existing at the acquisition dates or upon closing the transactions, including contingent consideration. Acquired intangible assets other than goodwill that are subject to amortization include customer relationships, trade names and covenants not-to-compete. Such assets are amortized over a four-year to ten-year period from the date of acquisition. All amounts recorded to goodwill are expected to be deductible for tax purposes.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 summary of the purchase price paid and the purchase price allocation for acquisitions follows:</w:t>
      </w:r>
    </w:p>
    <w:p>
      <w:pPr>
        <w:spacing w:after="0" w:line="3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jc w:val="center"/>
        <w:ind w:left="820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Cash used in acquisitions, net of cash acquired</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55,053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4,378</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Holdbacks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consideration</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58,895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Allocated as follows: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560"/>
              <w:spacing w:after="0"/>
              <w:rPr>
                <w:sz w:val="20"/>
                <w:szCs w:val="20"/>
                <w:color w:val="auto"/>
              </w:rPr>
            </w:pPr>
            <w:r>
              <w:rPr>
                <w:rFonts w:ascii="Arial" w:cs="Arial" w:eastAsia="Arial" w:hAnsi="Arial"/>
                <w:sz w:val="18"/>
                <w:szCs w:val="18"/>
                <w:color w:val="auto"/>
              </w:rPr>
              <w:t>Land</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Buildings and improvements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560"/>
              <w:spacing w:after="0"/>
              <w:rPr>
                <w:sz w:val="20"/>
                <w:szCs w:val="20"/>
                <w:color w:val="auto"/>
              </w:rPr>
            </w:pPr>
            <w:r>
              <w:rPr>
                <w:rFonts w:ascii="Arial" w:cs="Arial" w:eastAsia="Arial" w:hAnsi="Arial"/>
                <w:sz w:val="18"/>
                <w:szCs w:val="18"/>
                <w:color w:val="auto"/>
              </w:rPr>
              <w:t>Equipment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1,549</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Covenants not-to-compete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9"/>
        </w:trPr>
        <w:tc>
          <w:tcPr>
            <w:tcW w:w="8240" w:type="dxa"/>
            <w:vAlign w:val="bottom"/>
          </w:tcPr>
          <w:p>
            <w:pPr>
              <w:ind w:left="560"/>
              <w:spacing w:after="0"/>
              <w:rPr>
                <w:sz w:val="20"/>
                <w:szCs w:val="20"/>
                <w:color w:val="auto"/>
              </w:rPr>
            </w:pPr>
            <w:r>
              <w:rPr>
                <w:rFonts w:ascii="Arial" w:cs="Arial" w:eastAsia="Arial" w:hAnsi="Arial"/>
                <w:sz w:val="18"/>
                <w:szCs w:val="18"/>
                <w:color w:val="auto"/>
              </w:rPr>
              <w:t>Customer relationships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(3,577)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 less current portion</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assets acquired and liabilities assumed</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30,134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purchase price allocated to goodwill</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28,761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Certain purchase price allocations are preliminary and are based on information existing at the acquisition dates or upon closing the transaction. Accordingly, the purchase price allocations are subject to change. Unaudited pro forma combined information that shows our operational results as though each acquisition completed since the beginning of the prior fiscal year had occurred as of January 1, 2021 is as follows:</w:t>
      </w:r>
    </w:p>
    <w:tbl>
      <w:tblPr>
        <w:tblLayout w:type="fixed"/>
        <w:tblInd w:w="0" w:type="dxa"/>
        <w:tblCellMar>
          <w:top w:w="0" w:type="dxa"/>
          <w:left w:w="0" w:type="dxa"/>
          <w:bottom w:w="0" w:type="dxa"/>
          <w:right w:w="0" w:type="dxa"/>
        </w:tblCellMar>
      </w:tblPr>
      <w:tr>
        <w:trPr>
          <w:trHeight w:val="145"/>
        </w:trPr>
        <w:tc>
          <w:tcPr>
            <w:tcW w:w="5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00" w:type="dxa"/>
            <w:vAlign w:val="bottom"/>
            <w:gridSpan w:val="5"/>
          </w:tcPr>
          <w:p>
            <w:pPr>
              <w:ind w:left="380"/>
              <w:spacing w:after="0" w:line="145" w:lineRule="exact"/>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2"/>
                <w:szCs w:val="12"/>
                <w:color w:val="auto"/>
              </w:rPr>
            </w:pPr>
          </w:p>
        </w:tc>
        <w:tc>
          <w:tcPr>
            <w:tcW w:w="2400" w:type="dxa"/>
            <w:vAlign w:val="bottom"/>
            <w:gridSpan w:val="4"/>
          </w:tcPr>
          <w:p>
            <w:pPr>
              <w:jc w:val="right"/>
              <w:ind w:right="692"/>
              <w:spacing w:after="0" w:line="145"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467,326</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31,776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22,612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42,716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35,334</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12,457</w:t>
            </w: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51,642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51,273</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The unaudited pro forma results set forth in the table above have been prepared for comparative purposes only and are not necessarily indicative of the actual results of operations had the acquisitions occurred as of January 1, 2021 or of the results of our future operations. Furthermore, the unaudited</w:t>
      </w:r>
    </w:p>
    <w:p>
      <w:pPr>
        <w:ind w:right="140"/>
        <w:spacing w:after="0" w:line="260" w:lineRule="auto"/>
        <w:rPr>
          <w:sz w:val="20"/>
          <w:szCs w:val="20"/>
          <w:color w:val="auto"/>
        </w:rPr>
      </w:pPr>
      <w:r>
        <w:rPr>
          <w:rFonts w:ascii="Arial" w:cs="Arial" w:eastAsia="Arial" w:hAnsi="Arial"/>
          <w:sz w:val="18"/>
          <w:szCs w:val="18"/>
          <w:color w:val="auto"/>
        </w:rPr>
        <w:t>pro forma results do not give effect to all cost savings or incremental costs that may occur as a result of the integration and consolidation of the completed acquisitions.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spacing w:after="0"/>
        <w:tabs>
          <w:tab w:leader="none" w:pos="300" w:val="left"/>
        </w:tabs>
        <w:rPr>
          <w:sz w:val="20"/>
          <w:szCs w:val="20"/>
          <w:color w:val="auto"/>
        </w:rPr>
      </w:pPr>
      <w:r>
        <w:rPr>
          <w:rFonts w:ascii="Arial" w:cs="Arial" w:eastAsia="Arial" w:hAnsi="Arial"/>
          <w:sz w:val="18"/>
          <w:szCs w:val="18"/>
          <w:b w:val="1"/>
          <w:bCs w:val="1"/>
          <w:color w:val="auto"/>
        </w:rPr>
        <w:t>5.</w:t>
        <w:tab/>
        <w:t>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operating segment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Acquisitions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Adjustments to</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55"/>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Acquisitions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center"/>
              <w:ind w:right="25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4"/>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40" w:type="dxa"/>
            <w:vAlign w:val="bottom"/>
            <w:tcBorders>
              <w:top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52,072</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52,402</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163,728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7,350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171,728</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21,318</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38,378</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3"/>
          </w:tcPr>
          <w:p>
            <w:pPr>
              <w:jc w:val="right"/>
              <w:ind w:right="10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28,761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262,508</w:t>
            </w:r>
          </w:p>
        </w:tc>
        <w:tc>
          <w:tcPr>
            <w:tcW w:w="0" w:type="dxa"/>
            <w:vAlign w:val="bottom"/>
          </w:tcPr>
          <w:p>
            <w:pPr>
              <w:spacing w:after="0"/>
              <w:rPr>
                <w:sz w:val="1"/>
                <w:szCs w:val="1"/>
                <w:color w:val="auto"/>
              </w:rPr>
            </w:pPr>
          </w:p>
        </w:tc>
      </w:tr>
      <w:tr>
        <w:trPr>
          <w:trHeight w:val="21"/>
        </w:trPr>
        <w:tc>
          <w:tcPr>
            <w:tcW w:w="4360" w:type="dxa"/>
            <w:vAlign w:val="bottom"/>
            <w:vMerge w:val="restart"/>
          </w:tcPr>
          <w:p>
            <w:pPr>
              <w:spacing w:after="0"/>
              <w:rPr>
                <w:sz w:val="20"/>
                <w:szCs w:val="20"/>
                <w:color w:val="auto"/>
              </w:rPr>
            </w:pPr>
            <w:r>
              <w:rPr>
                <w:rFonts w:ascii="Arial" w:cs="Arial" w:eastAsia="Arial" w:hAnsi="Arial"/>
                <w:sz w:val="18"/>
                <w:szCs w:val="18"/>
                <w:color w:val="auto"/>
              </w:rPr>
              <w:t>Summaries of intangible assets by type follows:</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Covenants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Customer Relationships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Trade Names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vMerge w:val="restart"/>
          </w:tcPr>
          <w:p>
            <w:pPr>
              <w:jc w:val="center"/>
              <w:ind w:right="2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Not-to-Compete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60" w:type="dxa"/>
            <w:vAlign w:val="bottom"/>
          </w:tcPr>
          <w:p>
            <w:pPr>
              <w:ind w:left="20"/>
              <w:spacing w:after="0"/>
              <w:rPr>
                <w:sz w:val="20"/>
                <w:szCs w:val="20"/>
                <w:color w:val="auto"/>
              </w:rPr>
            </w:pPr>
            <w:r>
              <w:rPr>
                <w:rFonts w:ascii="Arial" w:cs="Arial" w:eastAsia="Arial" w:hAnsi="Arial"/>
                <w:sz w:val="18"/>
                <w:szCs w:val="18"/>
                <w:color w:val="auto"/>
              </w:rPr>
              <w:t>Balance, June 30, 2022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124,680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163,223</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(23,094)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(40,296)</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(66,461)</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84,384</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96,762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Covenants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Customer Relationships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Trade Names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vMerge w:val="restart"/>
          </w:tcPr>
          <w:p>
            <w:pPr>
              <w:jc w:val="center"/>
              <w:ind w:right="2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Not-to-Compete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60" w:type="dxa"/>
            <w:vAlign w:val="bottom"/>
          </w:tcPr>
          <w:p>
            <w:pPr>
              <w:ind w:left="20"/>
              <w:spacing w:after="0"/>
              <w:rPr>
                <w:sz w:val="20"/>
                <w:szCs w:val="20"/>
                <w:color w:val="auto"/>
              </w:rPr>
            </w:pPr>
            <w:r>
              <w:rPr>
                <w:rFonts w:ascii="Arial" w:cs="Arial" w:eastAsia="Arial" w:hAnsi="Arial"/>
                <w:sz w:val="18"/>
                <w:szCs w:val="18"/>
                <w:color w:val="auto"/>
              </w:rPr>
              <w:t>Balance, December 31, 2021</w:t>
            </w: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152,132</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(34,809)</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(58,409)</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80,196</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93,723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Intangible amortization expense was $4,262 and $8,052 during the three and six months ended June 30, 2022, respectively, and $2,015 and $4,043 during the three and six months ended June 30, 2021,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amortization expense estimated for the five fiscal years following fiscal year 2021 and thereafter follows: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Estimated Future Amortization Expense as of June 30,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2022</w:t>
            </w:r>
          </w:p>
        </w:tc>
        <w:tc>
          <w:tcPr>
            <w:tcW w:w="3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8,158</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Fiscal year ending December 31, 2023</w:t>
            </w:r>
          </w:p>
        </w:tc>
        <w:tc>
          <w:tcPr>
            <w:tcW w:w="3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15,600</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2024</w:t>
            </w:r>
          </w:p>
        </w:tc>
        <w:tc>
          <w:tcPr>
            <w:tcW w:w="3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14,879</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Fiscal year ending December 31, 2025</w:t>
            </w:r>
          </w:p>
        </w:tc>
        <w:tc>
          <w:tcPr>
            <w:tcW w:w="3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13,758</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2026</w:t>
            </w:r>
          </w:p>
        </w:tc>
        <w:tc>
          <w:tcPr>
            <w:tcW w:w="3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12,123</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32,244</w:t>
            </w:r>
          </w:p>
        </w:tc>
      </w:tr>
    </w:tbl>
    <w:p>
      <w:pPr>
        <w:spacing w:after="0" w:line="200" w:lineRule="exact"/>
        <w:rPr>
          <w:sz w:val="20"/>
          <w:szCs w:val="20"/>
          <w:color w:val="auto"/>
        </w:rPr>
      </w:pPr>
    </w:p>
    <w:p>
      <w:pPr>
        <w:spacing w:after="0" w:line="3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ACCRUED FINAL CAPPING, CLOSURE AND POST CLOSURE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 summary of the changes to accrued final capping, closure and post-closure liabilities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86,914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82,533</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Obligations incurred</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2,319</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Revision in estimates </w:t>
            </w:r>
            <w:r>
              <w:rPr>
                <w:rFonts w:ascii="Arial" w:cs="Arial" w:eastAsia="Arial" w:hAnsi="Arial"/>
                <w:sz w:val="14"/>
                <w:szCs w:val="14"/>
                <w:color w:val="auto"/>
              </w:rPr>
              <w:t>(1)</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Accretion expense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3,676</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92,373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85,559</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8"/>
          <w:szCs w:val="18"/>
          <w:color w:val="auto"/>
        </w:rPr>
        <w:t>Relates to a change in estimates concerning anticipated capping costs at one of our landfills.</w:t>
      </w:r>
    </w:p>
    <w:p>
      <w:pPr>
        <w:spacing w:after="0" w:line="63" w:lineRule="exact"/>
        <w:rPr>
          <w:rFonts w:ascii="Arial" w:cs="Arial" w:eastAsia="Arial" w:hAnsi="Arial"/>
          <w:sz w:val="14"/>
          <w:szCs w:val="14"/>
          <w:color w:val="auto"/>
        </w:rPr>
      </w:pPr>
    </w:p>
    <w:p>
      <w:pPr>
        <w:ind w:left="640" w:hanging="632"/>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8"/>
          <w:szCs w:val="18"/>
          <w:color w:val="auto"/>
        </w:rPr>
        <w:t>May include amounts that are being processed through accounts payable as a part of our disbursements cycle.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spacing w:after="0"/>
        <w:tabs>
          <w:tab w:leader="none" w:pos="300" w:val="left"/>
        </w:tabs>
        <w:rPr>
          <w:sz w:val="20"/>
          <w:szCs w:val="20"/>
          <w:color w:val="auto"/>
        </w:rPr>
      </w:pPr>
      <w:r>
        <w:rPr>
          <w:rFonts w:ascii="Arial" w:cs="Arial" w:eastAsia="Arial" w:hAnsi="Arial"/>
          <w:sz w:val="18"/>
          <w:szCs w:val="18"/>
          <w:b w:val="1"/>
          <w:bCs w:val="1"/>
          <w:color w:val="auto"/>
        </w:rPr>
        <w:t>7.</w:t>
        <w:tab/>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Senior Secured Credit Facility:</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Term loan A facility ("Term Loan Facility") due December 2026; bearing interest at LIBOR plus 1.375%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Revolving credit facility due December 2026 ("Revolving Credit Facility"); bearing interest at LIBOR plus</w:t>
            </w:r>
          </w:p>
        </w:tc>
        <w:tc>
          <w:tcPr>
            <w:tcW w:w="30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1.375%</w:t>
            </w:r>
          </w:p>
        </w:tc>
        <w:tc>
          <w:tcPr>
            <w:tcW w:w="30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Tax-Exempt Bonds: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New York State Environmental Facilities Corporation Solid Waste Disposal Revenue Bonds Series 2014 ("New</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York Bonds 2014R-1") due December 2044 - fixed rate interest period through 2029; bearing interest at 2.875%</w:t>
            </w: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5"/>
              </w:rPr>
              <w:t>New York State Environmental Facilities Corporation Solid Waste Disposal Revenue Bonds Series 2014R-2</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3"/>
              </w:rPr>
              <w:t>("New York Bonds 2014R-2") due December 2044 - fixed rate interest period through 2026; bearing interest at</w:t>
            </w: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3.125%</w:t>
            </w: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New York State Environmental Facilities Corporation Solid Waste Disposal Revenue Bonds Series 2020 ("New</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York Bonds 2020") due September 2050 - fixed rate interest period through 2025; bearing interest at 2.750%</w:t>
            </w: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1"/>
              </w:rPr>
              <w:t>Finance Authority of Maine Solid Waste Disposal Revenue Bonds Series 2005R-3 ("FAME Bonds 2005R-3") due</w:t>
            </w: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January 2025 - fixed rate interest period through 2025; bearing interest at 5.25%</w:t>
            </w: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Finance Authority of Maine Solid Waste Disposal Revenue Bonds Series 2015R-1 ("FAME Bonds 2015R-1") due</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2035 - fixed rate interest period through 2025; bearing interest at 5.125%</w:t>
            </w: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1"/>
              </w:rPr>
              <w:t>Finance Authority of Maine Solid Waste Disposal Revenue Bonds Series 2015R-2 ("FAME Bonds 2015R-2") due</w:t>
            </w: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August 2035 - fixed rate interest period through 2025; bearing interest at 4.375%</w:t>
            </w: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Vermont Economic Development Authority Solid Waste Disposal Long-Term Revenue Bonds Series 2013</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("Vermont Bonds 2013") due April 2036 - fixed rate interest period through 2028; bearing interest at 4.625%</w:t>
            </w: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4"/>
              </w:rPr>
              <w:t>Vermont Economic Development Authority Solid Waste Disposal Long-Term Revenue Bonds Series 2022A-1</w:t>
            </w: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w w:val="93"/>
              </w:rPr>
              <w:t>("Vermont Bonds 2022A-1") due June 2052 - fixed rate interest period through 2027; bearing interest at 5.00%</w:t>
            </w: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Business Finance Authority of the State of New Hampshire Solid Waste Disposal Revenue Bonds Series 2013</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("New Hampshire Bonds") due April 2029 - fixed rate interest period through 2029; bearing interest at 2.95%</w:t>
            </w: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Other:</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 maturing through December 2107; bearing interest at a weighted average of 3.6%</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Notes payable maturing through August 2024; bearing interest at a weighted average of 1.6%</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 of debt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562,570</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Less—unamortized debt issuance costs (1)</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less unamortized debt issuance costs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552,404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Less—current maturities of debt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542,503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4"/>
                <w:szCs w:val="14"/>
                <w:color w:val="auto"/>
              </w:rPr>
              <w:t>(1)</w:t>
            </w: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w w:val="99"/>
              </w:rPr>
              <w:t>A summary of unamortized debt issuance costs by debt instrument follows:</w:t>
            </w: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62"/>
        </w:trPr>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jc w:val="right"/>
              <w:ind w:right="673"/>
              <w:spacing w:after="0"/>
              <w:rPr>
                <w:sz w:val="20"/>
                <w:szCs w:val="20"/>
                <w:color w:val="auto"/>
              </w:rPr>
            </w:pPr>
            <w:r>
              <w:rPr>
                <w:rFonts w:ascii="Arial" w:cs="Arial" w:eastAsia="Arial" w:hAnsi="Arial"/>
                <w:sz w:val="14"/>
                <w:szCs w:val="14"/>
                <w:b w:val="1"/>
                <w:bCs w:val="1"/>
                <w:color w:val="auto"/>
              </w:rPr>
              <w:t>June 30,</w:t>
            </w:r>
          </w:p>
        </w:tc>
        <w:tc>
          <w:tcPr>
            <w:tcW w:w="146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4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2021</w:t>
            </w:r>
          </w:p>
        </w:tc>
      </w:tr>
      <w:tr>
        <w:trPr>
          <w:trHeight w:val="224"/>
        </w:trPr>
        <w:tc>
          <w:tcPr>
            <w:tcW w:w="660" w:type="dxa"/>
            <w:vAlign w:val="bottom"/>
            <w:gridSpan w:val="2"/>
          </w:tcPr>
          <w:p>
            <w:pPr>
              <w:ind w:left="20"/>
              <w:spacing w:after="0"/>
              <w:rPr>
                <w:sz w:val="20"/>
                <w:szCs w:val="20"/>
                <w:color w:val="auto"/>
              </w:rPr>
            </w:pPr>
            <w:r>
              <w:rPr>
                <w:rFonts w:ascii="Arial" w:cs="Arial" w:eastAsia="Arial" w:hAnsi="Arial"/>
                <w:sz w:val="18"/>
                <w:szCs w:val="18"/>
                <w:color w:val="auto"/>
                <w:w w:val="78"/>
              </w:rPr>
              <w:t>Revolving</w:t>
            </w:r>
          </w:p>
        </w:tc>
        <w:tc>
          <w:tcPr>
            <w:tcW w:w="59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Credit Facility and Term Loan Facility (collectively, the "Credit Facility")</w:t>
            </w:r>
          </w:p>
        </w:tc>
        <w:tc>
          <w:tcPr>
            <w:tcW w:w="1080" w:type="dxa"/>
            <w:vAlign w:val="bottom"/>
            <w:tcBorders>
              <w:top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5,884</w:t>
            </w:r>
          </w:p>
        </w:tc>
      </w:tr>
      <w:tr>
        <w:trPr>
          <w:trHeight w:val="230"/>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New York Bonds 2014R-1</w:t>
            </w:r>
          </w:p>
        </w:tc>
        <w:tc>
          <w:tcPr>
            <w:tcW w:w="10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933</w:t>
            </w:r>
          </w:p>
        </w:tc>
      </w:tr>
      <w:tr>
        <w:trPr>
          <w:trHeight w:val="229"/>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New York Bonds 2014R-2</w:t>
            </w:r>
          </w:p>
        </w:tc>
        <w:tc>
          <w:tcPr>
            <w:tcW w:w="10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268</w:t>
            </w:r>
          </w:p>
        </w:tc>
      </w:tr>
      <w:tr>
        <w:trPr>
          <w:trHeight w:val="230"/>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New York Bonds 2020</w:t>
            </w:r>
          </w:p>
        </w:tc>
        <w:tc>
          <w:tcPr>
            <w:tcW w:w="10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1,283</w:t>
            </w:r>
          </w:p>
        </w:tc>
      </w:tr>
      <w:tr>
        <w:trPr>
          <w:trHeight w:val="229"/>
        </w:trPr>
        <w:tc>
          <w:tcPr>
            <w:tcW w:w="660" w:type="dxa"/>
            <w:vAlign w:val="bottom"/>
            <w:gridSpan w:val="2"/>
          </w:tcPr>
          <w:p>
            <w:pPr>
              <w:ind w:left="20"/>
              <w:spacing w:after="0"/>
              <w:rPr>
                <w:sz w:val="20"/>
                <w:szCs w:val="20"/>
                <w:color w:val="auto"/>
              </w:rPr>
            </w:pPr>
            <w:r>
              <w:rPr>
                <w:rFonts w:ascii="Arial" w:cs="Arial" w:eastAsia="Arial" w:hAnsi="Arial"/>
                <w:sz w:val="18"/>
                <w:szCs w:val="18"/>
                <w:color w:val="auto"/>
              </w:rPr>
              <w:t>FAME</w:t>
            </w: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Bonds 2005R-3</w:t>
            </w:r>
          </w:p>
        </w:tc>
        <w:tc>
          <w:tcPr>
            <w:tcW w:w="10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660" w:type="dxa"/>
            <w:vAlign w:val="bottom"/>
            <w:gridSpan w:val="2"/>
          </w:tcPr>
          <w:p>
            <w:pPr>
              <w:ind w:left="20"/>
              <w:spacing w:after="0"/>
              <w:rPr>
                <w:sz w:val="20"/>
                <w:szCs w:val="20"/>
                <w:color w:val="auto"/>
              </w:rPr>
            </w:pPr>
            <w:r>
              <w:rPr>
                <w:rFonts w:ascii="Arial" w:cs="Arial" w:eastAsia="Arial" w:hAnsi="Arial"/>
                <w:sz w:val="18"/>
                <w:szCs w:val="18"/>
                <w:color w:val="auto"/>
              </w:rPr>
              <w:t>FAME</w:t>
            </w:r>
          </w:p>
        </w:tc>
        <w:tc>
          <w:tcPr>
            <w:tcW w:w="5920" w:type="dxa"/>
            <w:vAlign w:val="bottom"/>
          </w:tcPr>
          <w:p>
            <w:pPr>
              <w:spacing w:after="0"/>
              <w:rPr>
                <w:sz w:val="20"/>
                <w:szCs w:val="20"/>
                <w:color w:val="auto"/>
              </w:rPr>
            </w:pPr>
            <w:r>
              <w:rPr>
                <w:rFonts w:ascii="Arial" w:cs="Arial" w:eastAsia="Arial" w:hAnsi="Arial"/>
                <w:sz w:val="18"/>
                <w:szCs w:val="18"/>
                <w:color w:val="auto"/>
              </w:rPr>
              <w:t>Bonds 2015R-1</w:t>
            </w:r>
          </w:p>
        </w:tc>
        <w:tc>
          <w:tcPr>
            <w:tcW w:w="10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660" w:type="dxa"/>
            <w:vAlign w:val="bottom"/>
            <w:gridSpan w:val="2"/>
          </w:tcPr>
          <w:p>
            <w:pPr>
              <w:ind w:left="20"/>
              <w:spacing w:after="0"/>
              <w:rPr>
                <w:sz w:val="20"/>
                <w:szCs w:val="20"/>
                <w:color w:val="auto"/>
              </w:rPr>
            </w:pPr>
            <w:r>
              <w:rPr>
                <w:rFonts w:ascii="Arial" w:cs="Arial" w:eastAsia="Arial" w:hAnsi="Arial"/>
                <w:sz w:val="18"/>
                <w:szCs w:val="18"/>
                <w:color w:val="auto"/>
              </w:rPr>
              <w:t>FAME</w:t>
            </w: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Bonds 2015R-2</w:t>
            </w:r>
          </w:p>
        </w:tc>
        <w:tc>
          <w:tcPr>
            <w:tcW w:w="10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660" w:type="dxa"/>
            <w:vAlign w:val="bottom"/>
            <w:gridSpan w:val="2"/>
          </w:tcPr>
          <w:p>
            <w:pPr>
              <w:ind w:left="20"/>
              <w:spacing w:after="0"/>
              <w:rPr>
                <w:sz w:val="20"/>
                <w:szCs w:val="20"/>
                <w:color w:val="auto"/>
              </w:rPr>
            </w:pPr>
            <w:r>
              <w:rPr>
                <w:rFonts w:ascii="Arial" w:cs="Arial" w:eastAsia="Arial" w:hAnsi="Arial"/>
                <w:sz w:val="18"/>
                <w:szCs w:val="18"/>
                <w:color w:val="auto"/>
                <w:w w:val="91"/>
              </w:rPr>
              <w:t>Vermont</w:t>
            </w:r>
          </w:p>
        </w:tc>
        <w:tc>
          <w:tcPr>
            <w:tcW w:w="5920" w:type="dxa"/>
            <w:vAlign w:val="bottom"/>
          </w:tcPr>
          <w:p>
            <w:pPr>
              <w:ind w:left="40"/>
              <w:spacing w:after="0"/>
              <w:rPr>
                <w:sz w:val="20"/>
                <w:szCs w:val="20"/>
                <w:color w:val="auto"/>
              </w:rPr>
            </w:pPr>
            <w:r>
              <w:rPr>
                <w:rFonts w:ascii="Arial" w:cs="Arial" w:eastAsia="Arial" w:hAnsi="Arial"/>
                <w:sz w:val="18"/>
                <w:szCs w:val="18"/>
                <w:color w:val="auto"/>
              </w:rPr>
              <w:t>Bonds 2013</w:t>
            </w:r>
          </w:p>
        </w:tc>
        <w:tc>
          <w:tcPr>
            <w:tcW w:w="10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433</w:t>
            </w:r>
          </w:p>
        </w:tc>
      </w:tr>
      <w:tr>
        <w:trPr>
          <w:trHeight w:val="229"/>
        </w:trPr>
        <w:tc>
          <w:tcPr>
            <w:tcW w:w="660" w:type="dxa"/>
            <w:vAlign w:val="bottom"/>
            <w:gridSpan w:val="2"/>
          </w:tcPr>
          <w:p>
            <w:pPr>
              <w:ind w:left="20"/>
              <w:spacing w:after="0"/>
              <w:rPr>
                <w:sz w:val="20"/>
                <w:szCs w:val="20"/>
                <w:color w:val="auto"/>
              </w:rPr>
            </w:pPr>
            <w:r>
              <w:rPr>
                <w:rFonts w:ascii="Arial" w:cs="Arial" w:eastAsia="Arial" w:hAnsi="Arial"/>
                <w:sz w:val="18"/>
                <w:szCs w:val="18"/>
                <w:color w:val="auto"/>
                <w:w w:val="91"/>
              </w:rPr>
              <w:t>Vermont</w:t>
            </w:r>
          </w:p>
        </w:tc>
        <w:tc>
          <w:tcPr>
            <w:tcW w:w="5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Bonds 2022A-1</w:t>
            </w:r>
          </w:p>
        </w:tc>
        <w:tc>
          <w:tcPr>
            <w:tcW w:w="10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New Hampshire Bonds</w:t>
            </w:r>
          </w:p>
        </w:tc>
        <w:tc>
          <w:tcPr>
            <w:tcW w:w="10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422</w:t>
            </w:r>
          </w:p>
        </w:tc>
      </w:tr>
      <w:tr>
        <w:trPr>
          <w:trHeight w:val="248"/>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9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-1353820</wp:posOffset>
            </wp:positionV>
            <wp:extent cx="623189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1890" cy="14541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three months ended June 30, 2022, we completed the issuance of $35,000 aggregate principal amount of Vermont Bonds 2022A-1. The Vermont Bonds 2022A-1, which are unsecured and guaranteed jointly and severally, fully and unconditionally by all of our significant wholly-owned subsidiaries, accrue interest at 5.00% per annum from June 1, 2022 through May 31, 2027, at which time they may be converted to a variable interest rate period or to a new term interest rate period. The Vermont Bonds 2022A-1 mature on June 1, 2052. As of June 30, 2022, we had $1,006 of remaining cash proceeds from the issuance of the Vermont Bonds 2022A-1 included in restricted cash and assets that is restricted to finance or reimburse certain noncurrent asset costs associated with capital projects in the State of Vermont.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June 30, 2022, we are party to an amended and restated credit agreement ("Credit Agreement"), which provides for a $350,000 aggregate principal amount Term Loan Facility and a $300,000 Revolving Credit Facility, with a $75,000 sublimit for letters of credit. We have the right to request, at our discretion, an increase in the amount of loans under the Credit Facility by an aggregate amount of $125,000, subject to the terms and conditions set forth in the Credit Agreement. The Credit Facility has a 5-year term that matures in December 2026 and bears interest at a rate of LIBOR plus 1.375% per annum, which will be reduced to a rate of LIBOR plus as low as 1.125% upon us reaching a consolidated net leverage ratio of less than 2.25x. The Credit Agreement contains customary benchmark replacement provisions pursuant to which, upon certain triggering events, the LIBOR benchmark used to calculate the LIBOR rate will be replaced with a secured overnight financing rate, as adjusted, on the terms and conditions in the Credit Agreement. The Credit Facility is guaranteed jointly and severally, fully and unconditionally by all of our significant wholly-owned subsidiaries and secured by substantially all of our assets. As of June 30, 2022, further advances were available under the Revolving Credit Facility in the amount of $271,805. The available amount is net of outstanding irrevocable letters of credit totaling $28,195, and as of June 30, 2022 no amount had been drawn.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income (loss),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84"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As of June 30, 2022 and December 31, 2021, our active interest rate derivative agreements had total notional amounts of $190,000 and $195,000, respectively. According to the terms of the agreements, we receive interest based on the 1-month LIBOR index, in some instances restricted by a 0.0% floor, and pay interest at a weighted average rate of approximately 2.20%. The agreements mature between May 2023 and June 2027.</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16" w:name="page17"/>
    <w:bookmarkEnd w:id="16"/>
    <w:p>
      <w:pPr>
        <w:ind w:right="140"/>
        <w:spacing w:after="0" w:line="301" w:lineRule="auto"/>
        <w:rPr>
          <w:sz w:val="20"/>
          <w:szCs w:val="20"/>
          <w:color w:val="auto"/>
        </w:rPr>
      </w:pPr>
      <w:r>
        <w:rPr>
          <w:rFonts w:ascii="Arial" w:cs="Arial" w:eastAsia="Arial" w:hAnsi="Arial"/>
          <w:sz w:val="16"/>
          <w:szCs w:val="16"/>
          <w:color w:val="auto"/>
        </w:rPr>
        <w:t>As of December 31, 2021, we had forward starting interest rate derivative agreements with a total notional amount of $85,000 outstanding. As of June 30, 2022, we have a forward starting interest rate derivative agreement with a total notional amount of $20,000 after considering any forward starting interest rate derivative agreements that became effective in the current period. According to the terms of this agreement, we will receive interest based on the 1-month LIBOR index, restricted by a 0.0% floor, and will pay interest at a rate of 1.29%. The agreement matures in May 2028.</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40" w:type="dxa"/>
            <w:vAlign w:val="bottom"/>
          </w:tcPr>
          <w:p>
            <w:pPr>
              <w:spacing w:after="0"/>
              <w:rPr>
                <w:sz w:val="11"/>
                <w:szCs w:val="11"/>
                <w:color w:val="auto"/>
              </w:rPr>
            </w:pPr>
          </w:p>
        </w:tc>
        <w:tc>
          <w:tcPr>
            <w:tcW w:w="5520" w:type="dxa"/>
            <w:vAlign w:val="bottom"/>
            <w:gridSpan w:val="2"/>
            <w:vMerge w:val="restart"/>
          </w:tcPr>
          <w:p>
            <w:pPr>
              <w:ind w:left="2000"/>
              <w:spacing w:after="0"/>
              <w:rPr>
                <w:sz w:val="20"/>
                <w:szCs w:val="20"/>
                <w:color w:val="auto"/>
              </w:rPr>
            </w:pPr>
            <w:r>
              <w:rPr>
                <w:rFonts w:ascii="Arial" w:cs="Arial" w:eastAsia="Arial" w:hAnsi="Arial"/>
                <w:sz w:val="14"/>
                <w:szCs w:val="14"/>
                <w:b w:val="1"/>
                <w:bCs w:val="1"/>
                <w:color w:val="auto"/>
              </w:rPr>
              <w:t>Balance Sheet Location</w:t>
            </w:r>
          </w:p>
        </w:tc>
        <w:tc>
          <w:tcPr>
            <w:tcW w:w="300" w:type="dxa"/>
            <w:vAlign w:val="bottom"/>
          </w:tcPr>
          <w:p>
            <w:pPr>
              <w:spacing w:after="0"/>
              <w:rPr>
                <w:sz w:val="11"/>
                <w:szCs w:val="11"/>
                <w:color w:val="auto"/>
              </w:rPr>
            </w:pPr>
          </w:p>
        </w:tc>
        <w:tc>
          <w:tcPr>
            <w:tcW w:w="12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1"/>
                <w:szCs w:val="11"/>
                <w:color w:val="auto"/>
              </w:rPr>
            </w:pPr>
          </w:p>
        </w:tc>
        <w:tc>
          <w:tcPr>
            <w:tcW w:w="1140" w:type="dxa"/>
            <w:vAlign w:val="bottom"/>
          </w:tcPr>
          <w:p>
            <w:pPr>
              <w:jc w:val="right"/>
              <w:ind w:right="213"/>
              <w:spacing w:after="0" w:line="135"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5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w:t>
            </w:r>
          </w:p>
        </w:tc>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48"/>
        </w:trPr>
        <w:tc>
          <w:tcPr>
            <w:tcW w:w="2740" w:type="dxa"/>
            <w:vAlign w:val="bottom"/>
            <w:tcBorders>
              <w:top w:val="single" w:sz="8" w:color="CCEEFF"/>
              <w:bottom w:val="single" w:sz="8" w:color="CCEEFF"/>
            </w:tcBorders>
            <w:shd w:val="clear" w:color="auto" w:fill="CCEEFF"/>
          </w:tcPr>
          <w:p>
            <w:pPr>
              <w:spacing w:after="0"/>
              <w:rPr>
                <w:sz w:val="21"/>
                <w:szCs w:val="21"/>
                <w:color w:val="auto"/>
              </w:rPr>
            </w:pPr>
          </w:p>
        </w:tc>
        <w:tc>
          <w:tcPr>
            <w:tcW w:w="54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net of tax</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 - tax effect</w:t>
            </w:r>
          </w:p>
        </w:tc>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income (loss), net of tax</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 summary of the amount of expense on cash flow hedging relationships related to interest rate swaps reclassified from accumulated other comprehensive income (loss), net of tax into earnings follows:</w:t>
      </w:r>
    </w:p>
    <w:tbl>
      <w:tblPr>
        <w:tblLayout w:type="fixed"/>
        <w:tblInd w:w="0" w:type="dxa"/>
        <w:tblCellMar>
          <w:top w:w="0" w:type="dxa"/>
          <w:left w:w="0" w:type="dxa"/>
          <w:bottom w:w="0" w:type="dxa"/>
          <w:right w:w="0" w:type="dxa"/>
        </w:tblCellMar>
      </w:tblPr>
      <w:tr>
        <w:trPr>
          <w:trHeight w:val="144"/>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4"/>
          </w:tcPr>
          <w:p>
            <w:pPr>
              <w:jc w:val="center"/>
              <w:ind w:left="422"/>
              <w:spacing w:after="0" w:line="145" w:lineRule="exact"/>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2"/>
                <w:szCs w:val="12"/>
                <w:color w:val="auto"/>
              </w:rPr>
            </w:pPr>
          </w:p>
        </w:tc>
      </w:tr>
      <w:tr>
        <w:trPr>
          <w:trHeight w:val="186"/>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379"/>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184"/>
        </w:trPr>
        <w:tc>
          <w:tcPr>
            <w:tcW w:w="5240" w:type="dxa"/>
            <w:vAlign w:val="bottom"/>
            <w:gridSpan w:val="2"/>
          </w:tcPr>
          <w:p>
            <w:pPr>
              <w:ind w:left="1520"/>
              <w:spacing w:after="0"/>
              <w:rPr>
                <w:sz w:val="20"/>
                <w:szCs w:val="20"/>
                <w:color w:val="auto"/>
              </w:rPr>
            </w:pPr>
            <w:r>
              <w:rPr>
                <w:rFonts w:ascii="Arial" w:cs="Arial" w:eastAsia="Arial" w:hAnsi="Arial"/>
                <w:sz w:val="14"/>
                <w:szCs w:val="14"/>
                <w:b w:val="1"/>
                <w:bCs w:val="1"/>
                <w:color w:val="auto"/>
              </w:rPr>
              <w:t>Statement of Operations Location</w:t>
            </w:r>
          </w:p>
        </w:tc>
        <w:tc>
          <w:tcPr>
            <w:tcW w:w="960" w:type="dxa"/>
            <w:vAlign w:val="bottom"/>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jc w:val="right"/>
              <w:ind w:right="499"/>
              <w:spacing w:after="0"/>
              <w:rPr>
                <w:sz w:val="20"/>
                <w:szCs w:val="20"/>
                <w:color w:val="auto"/>
              </w:rPr>
            </w:pPr>
            <w:r>
              <w:rPr>
                <w:rFonts w:ascii="Arial" w:cs="Arial" w:eastAsia="Arial" w:hAnsi="Arial"/>
                <w:sz w:val="14"/>
                <w:szCs w:val="14"/>
                <w:b w:val="1"/>
                <w:bCs w:val="1"/>
                <w:color w:val="auto"/>
                <w:w w:val="89"/>
              </w:rPr>
              <w:t>2021</w:t>
            </w: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1,202</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7"/>
              </w:rPr>
              <w:t>2,122</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damages or injunctive relief, or both. These actions fall within various procedural stages at any point in time, and some are covered in part by insurance.</w:t>
      </w:r>
    </w:p>
    <w:p>
      <w:pPr>
        <w:spacing w:after="0" w:line="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We have recorded an aggregate accrual of $1,291 relating to our outstanding legal proceedings as of June 30, 2022.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FASB ASC 450-20. We disclose outstanding matters that we believe could have a material adverse effect on our financial condition, results of operations or cash flows.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 Expansion Permit</w:t>
      </w:r>
    </w:p>
    <w:p>
      <w:pPr>
        <w:spacing w:after="0" w:line="11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October 9, 2020, our subsidiary, North Country Environmental Services, Inc. ("NCES"), received a Type I-A Permit Modification (the "Permit") for Expansion in the Stage VI area of the NCES landfill located in Bethlehem, New Hampshire. On November 9, 2020, the Conservation Law Foundation ("CLF") filed an appeal of the Permit to the New Hampshire Waste Management Council (the “Council”) on the grounds it failed to meet the public benefit criteria. On January 19, 2021, CLF filed a Complaint for Injunctive Relief with the Grafton Superior Court to enjoin NCES from accepting waste pursuant to the new Permit until such a time as CLF has exhausted its appeal rights. A hearing on the Complaint for Injunctive Relief was held on March 10, 2021; the Grafton Superior Court denied the motion on May 14, 2021. CLF did not appeal this decision. The Council denied NCES’s Motion to Dismiss CLF’s appeal for lack of standing by Order dated March 17, 2021. NCES filed a Motion to Reconsider on March 26, 2021, which was denied by the Council on May 11, 2021. A prehearing conference was held and a schedule for the case was established on June 8, 2021. NCES filed a Motion to Dismiss on the merits of the appeal on June 30, 2021. On July 16, 2021, CLF filed its objection to the Motion to Dismiss, and NCES filed its reply on July 26, 2021. The Council issued an Order on September 3, 2021 granting NCES’s Motion to Dismiss, in part. CLF filed a Motion for Reconsideration on September 23, 2021, and NCES filed its objection on September 28, 2021 and CLF filed a reply on September 30, 2021. CLF’s Motion for Reconsideration was granted on November 19, 2021, and its dismissed claims reinstated. On January 14, 2022, NCES filed a Motion in Limine seeking to exclude from evidence four potential evidentiary items on the basis that those items were either not directly related, or were not included in CLF’s Notice of Appeal. On January 21, 2022, CLF filed an objection to NCES’s motion, and NCES filed a reply on January 26, 2022. On January 31, 2022, the Council issued an Order granting NCES’s Motion in Limine with respect to three of the four items it sought to exclude from evidence, and denying its motion with respect to the remaining item. On February 18 and February 22, 2022, a quorum of the Council and Hearing Officer held a hearing on the appeal. Council deliberations occurred and were concluded on February 22, 2022,with the Council ruling in favor of NCES on all motions concerning questions of fact, and indicating that a written decision incorporating the Hearing Officer’s decision as to questions of law would follow. On May 11, 2022, an Order was issued denying all of CLF’s arguments on appeal, with the exception of one; the Hearing Officer held that based on his interpretation of the relevant statute, the public benefit determination made by the New Hampshire Department of Environmental Services (“DES”), in issuing the Permit to NCES, was unlawful, and remanded the Permit to the DES with regard to this determination. DES filed a Motion for Reconsideration with the Council on May 31, 2022 (the “DES Reconsideration Motion”) and NCES filed a Motion for Rehearing on June 10, 2022 (the “NCES Rehearing Motion”). The Hearing Officer suspended his May 11, 2022 decision by Order dated June 20, 2022, pending consideration of the DES Reconsideration Motion and NCES Rehearing Motion. On June 24, 2022, CLF filed an Objection and Motion to Strike with respect to the NCES Rehearing Motion as well as an Objection to the DES Reconsideration Motion, and DES filed a Limited Objection to the NCES Rehearing Motion, each to which NCES submitted a Reply on July 6, 2022. On July 18, 2022, CLF filed a Reply in Support of its Motion to Strike and Limited Surreply in Support of Objection to the NCES Motion for Rehearing. On July 21, 2022, NCES filed an Assented to Motion for Leave to File Limited Surreply to CLF’s Motion to Strike together with a Limited Surreply to CLF’s Motion to Strike. The outcome remains pending. NCES will continue to vigorously defend against this litigation.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Liabilities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w:t>
      </w:r>
    </w:p>
    <w:p>
      <w:pPr>
        <w:spacing w:after="0" w:line="8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Future changes in our estimates of the cost, timing or duration of the required actions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8" w:name="page19"/>
    <w:bookmarkEnd w:id="18"/>
    <w:p>
      <w:pPr>
        <w:spacing w:after="0" w:line="311" w:lineRule="auto"/>
        <w:rPr>
          <w:sz w:val="20"/>
          <w:szCs w:val="20"/>
          <w:color w:val="auto"/>
        </w:rPr>
      </w:pPr>
      <w:r>
        <w:rPr>
          <w:rFonts w:ascii="Arial" w:cs="Arial" w:eastAsia="Arial" w:hAnsi="Arial"/>
          <w:sz w:val="16"/>
          <w:szCs w:val="16"/>
          <w:color w:val="auto"/>
        </w:rPr>
        <w:t>We inflate the estimated costs in current dollars to the expected time of payment and discount the total cost to present value using a risk-free interest rate. The weighted average risk-free interest rate associated with our environmental remediation liabilities as of June 30, 2022 ranges between 1.5% and 2.6%. A summary of the changes to the aggregate environmental remediation liabilities for the six months ended June 30, 2022 and 2021 follows:</w:t>
      </w:r>
    </w:p>
    <w:p>
      <w:pPr>
        <w:spacing w:after="0" w:line="63"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Six Months Ended</w:t>
      </w:r>
    </w:p>
    <w:p>
      <w:pPr>
        <w:jc w:val="center"/>
        <w:ind w:left="66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6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2021</w:t>
            </w:r>
          </w:p>
        </w:tc>
      </w:tr>
      <w:tr>
        <w:trPr>
          <w:trHeight w:val="224"/>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520" w:type="dxa"/>
            <w:vAlign w:val="bottom"/>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r>
      <w:tr>
        <w:trPr>
          <w:trHeight w:val="230"/>
        </w:trPr>
        <w:tc>
          <w:tcPr>
            <w:tcW w:w="6660" w:type="dxa"/>
            <w:vAlign w:val="bottom"/>
          </w:tcPr>
          <w:p>
            <w:pPr>
              <w:ind w:left="360"/>
              <w:spacing w:after="0"/>
              <w:rPr>
                <w:sz w:val="20"/>
                <w:szCs w:val="20"/>
                <w:color w:val="auto"/>
              </w:rPr>
            </w:pPr>
            <w:r>
              <w:rPr>
                <w:rFonts w:ascii="Arial" w:cs="Arial" w:eastAsia="Arial" w:hAnsi="Arial"/>
                <w:sz w:val="18"/>
                <w:szCs w:val="18"/>
                <w:color w:val="auto"/>
              </w:rPr>
              <w:t>Accretion expense</w:t>
            </w: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Obligations settled (1)</w:t>
            </w:r>
          </w:p>
        </w:tc>
        <w:tc>
          <w:tcPr>
            <w:tcW w:w="15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4,975</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5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Long-term portion</w:t>
            </w:r>
          </w:p>
        </w:tc>
        <w:tc>
          <w:tcPr>
            <w:tcW w:w="1520" w:type="dxa"/>
            <w:vAlign w:val="bottom"/>
            <w:tcBorders>
              <w:bottom w:val="single" w:sz="8" w:color="auto"/>
            </w:tcBorders>
          </w:tcPr>
          <w:p>
            <w:pPr>
              <w:jc w:val="right"/>
              <w:ind w:right="13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r>
      <w:tr>
        <w:trPr>
          <w:trHeight w:val="20"/>
        </w:trPr>
        <w:tc>
          <w:tcPr>
            <w:tcW w:w="66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8"/>
          <w:szCs w:val="18"/>
          <w:color w:val="auto"/>
        </w:rPr>
        <w:t>May include amounts paid and amounts that are being processed through accounts payable as a part of our disbursement cycle.</w:t>
      </w:r>
    </w:p>
    <w:p>
      <w:pPr>
        <w:spacing w:after="0" w:line="221" w:lineRule="exact"/>
        <w:rPr>
          <w:sz w:val="20"/>
          <w:szCs w:val="20"/>
          <w:color w:val="auto"/>
        </w:rPr>
      </w:pPr>
    </w:p>
    <w:p>
      <w:pPr>
        <w:ind w:right="8600" w:firstLine="8"/>
        <w:spacing w:after="0" w:line="377" w:lineRule="auto"/>
        <w:tabs>
          <w:tab w:leader="none" w:pos="31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Based Compensation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June 30, 2022, there were 868 Class A common stock equivalents available for future grant under the 2016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one-year to four-year period from the date of grant.</w:t>
      </w:r>
    </w:p>
    <w:p>
      <w:pPr>
        <w:spacing w:after="0" w:line="6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12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5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Stock Options</w:t>
            </w: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 (years)</w:t>
            </w:r>
          </w:p>
        </w:tc>
        <w:tc>
          <w:tcPr>
            <w:tcW w:w="2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420" w:type="dxa"/>
            <w:vAlign w:val="bottom"/>
            <w:tcBorders>
              <w:top w:val="single" w:sz="8" w:color="auto"/>
            </w:tcBorders>
            <w:shd w:val="clear" w:color="auto" w:fill="CCEEFF"/>
          </w:tcPr>
          <w:p>
            <w:pPr>
              <w:jc w:val="center"/>
              <w:ind w:left="1033"/>
              <w:spacing w:after="0"/>
              <w:rPr>
                <w:sz w:val="20"/>
                <w:szCs w:val="20"/>
                <w:color w:val="auto"/>
              </w:rPr>
            </w:pPr>
            <w:r>
              <w:rPr>
                <w:rFonts w:ascii="Arial" w:cs="Arial" w:eastAsia="Arial" w:hAnsi="Arial"/>
                <w:sz w:val="18"/>
                <w:szCs w:val="18"/>
                <w:color w:val="auto"/>
                <w:w w:val="89"/>
              </w:rPr>
              <w:t>77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center"/>
              <w:ind w:left="913"/>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center"/>
              <w:ind w:left="993"/>
              <w:spacing w:after="0"/>
              <w:rPr>
                <w:sz w:val="20"/>
                <w:szCs w:val="20"/>
                <w:color w:val="auto"/>
              </w:rPr>
            </w:pPr>
            <w:r>
              <w:rPr>
                <w:rFonts w:ascii="Arial" w:cs="Arial" w:eastAsia="Arial" w:hAnsi="Arial"/>
                <w:sz w:val="18"/>
                <w:szCs w:val="18"/>
                <w:color w:val="auto"/>
                <w:w w:val="93"/>
              </w:rPr>
              <w:t>(23)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center"/>
              <w:ind w:left="913"/>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June 30, 2022</w:t>
            </w:r>
          </w:p>
        </w:tc>
        <w:tc>
          <w:tcPr>
            <w:tcW w:w="1420" w:type="dxa"/>
            <w:vAlign w:val="bottom"/>
            <w:tcBorders>
              <w:top w:val="single" w:sz="8" w:color="auto"/>
              <w:bottom w:val="single" w:sz="8" w:color="auto"/>
            </w:tcBorders>
            <w:shd w:val="clear" w:color="auto" w:fill="CCEEFF"/>
          </w:tcPr>
          <w:p>
            <w:pPr>
              <w:jc w:val="center"/>
              <w:ind w:left="1033"/>
              <w:spacing w:after="0"/>
              <w:rPr>
                <w:sz w:val="20"/>
                <w:szCs w:val="20"/>
                <w:color w:val="auto"/>
              </w:rPr>
            </w:pPr>
            <w:r>
              <w:rPr>
                <w:rFonts w:ascii="Arial" w:cs="Arial" w:eastAsia="Arial" w:hAnsi="Arial"/>
                <w:sz w:val="18"/>
                <w:szCs w:val="18"/>
                <w:color w:val="auto"/>
                <w:w w:val="89"/>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June 30, 2022</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1420" w:type="dxa"/>
            <w:vAlign w:val="bottom"/>
            <w:tcBorders>
              <w:bottom w:val="single" w:sz="8" w:color="auto"/>
            </w:tcBorders>
          </w:tcPr>
          <w:p>
            <w:pPr>
              <w:jc w:val="center"/>
              <w:ind w:left="1033"/>
              <w:spacing w:after="0" w:line="203" w:lineRule="exact"/>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9.49</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Stock-based compensation expense related to stock options was $17 and $33 during the three and six months ended June 30, 2022, respectively. We did not record any stock-based compensation expense for stock options during the three and six months ended June 30, 2021. As of June 30, 2022, we had $139 of unrecognized stock-based compensation expense related to outstanding stock options to be recognized over a weighted average period of 2.1 years.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ind w:right="660"/>
        <w:spacing w:after="0" w:line="375" w:lineRule="auto"/>
        <w:rPr>
          <w:sz w:val="20"/>
          <w:szCs w:val="20"/>
          <w:color w:val="auto"/>
        </w:rPr>
      </w:pPr>
      <w:r>
        <w:rPr>
          <w:rFonts w:ascii="Arial" w:cs="Arial" w:eastAsia="Arial" w:hAnsi="Arial"/>
          <w:sz w:val="18"/>
          <w:szCs w:val="18"/>
          <w:color w:val="auto"/>
        </w:rPr>
        <w:t xml:space="preserve">During the three and six months ended June 30, 2022, the aggregate intrinsic value of stock options exercised was $1,156 and $1,467, respectively. </w:t>
      </w:r>
      <w:r>
        <w:rPr>
          <w:rFonts w:ascii="Arial" w:cs="Arial" w:eastAsia="Arial" w:hAnsi="Arial"/>
          <w:sz w:val="18"/>
          <w:szCs w:val="18"/>
          <w:b w:val="1"/>
          <w:bCs w:val="1"/>
          <w:i w:val="1"/>
          <w:iCs w:val="1"/>
          <w:color w:val="auto"/>
        </w:rPr>
        <w:t>Other Stock Awards</w:t>
      </w:r>
    </w:p>
    <w:p>
      <w:pPr>
        <w:spacing w:after="0" w:line="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if applicable, the value of dividends of our Class A common stock as compared to the Russell 2000 Index over the requisite service period.</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Generally, restricted stock awards granted to non-employee directors vest incrementally over a three year period beginning on the first anniversary of the date of grant. Restricted stock units granted to non-employee directors vest in full on the first anniversary of the grant date. Restricted stock units granted to employees vest incrementally over an identified service period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Restricted Stock,</w:t>
            </w:r>
          </w:p>
        </w:tc>
        <w:tc>
          <w:tcPr>
            <w:tcW w:w="15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Restricted Stock Units,</w:t>
            </w:r>
          </w:p>
        </w:tc>
        <w:tc>
          <w:tcPr>
            <w:tcW w:w="15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Average Grant Date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12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and Performance Stock Units</w:t>
            </w:r>
          </w:p>
        </w:tc>
        <w:tc>
          <w:tcPr>
            <w:tcW w:w="920" w:type="dxa"/>
            <w:vAlign w:val="bottom"/>
          </w:tcPr>
          <w:p>
            <w:pPr>
              <w:jc w:val="center"/>
              <w:ind w:left="377"/>
              <w:spacing w:after="0" w:line="135"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6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920" w:type="dxa"/>
            <w:vAlign w:val="bottom"/>
          </w:tcPr>
          <w:p>
            <w:pPr>
              <w:jc w:val="center"/>
              <w:ind w:left="417"/>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 (years)</w:t>
            </w:r>
          </w:p>
        </w:tc>
        <w:tc>
          <w:tcPr>
            <w:tcW w:w="2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4"/>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55.40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920" w:type="dxa"/>
            <w:vAlign w:val="bottom"/>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94.31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 Vested</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67.73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June 30, 2022</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68.86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Unvested, June 30, 2022</w:t>
            </w: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1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418</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17"/>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68.97</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30,407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right="460" w:hanging="652"/>
        <w:spacing w:after="0" w:line="342" w:lineRule="auto"/>
        <w:tabs>
          <w:tab w:leader="none" w:pos="654" w:val="left"/>
        </w:tabs>
        <w:numPr>
          <w:ilvl w:val="0"/>
          <w:numId w:val="6"/>
        </w:numPr>
        <w:rPr>
          <w:rFonts w:ascii="Arial" w:cs="Arial" w:eastAsia="Arial" w:hAnsi="Arial"/>
          <w:sz w:val="16"/>
          <w:szCs w:val="16"/>
          <w:color w:val="auto"/>
        </w:rPr>
      </w:pPr>
      <w:r>
        <w:rPr>
          <w:rFonts w:ascii="Arial" w:cs="Arial" w:eastAsia="Arial" w:hAnsi="Arial"/>
          <w:sz w:val="16"/>
          <w:szCs w:val="16"/>
          <w:color w:val="auto"/>
        </w:rPr>
        <w:t>Market-based performance stock unit grants are included at the 100% attainment level. Attainment of the maximum performance targets and market achievements would result in the issuance of an additional 184 shares of Class A common stock currently included in unvested.</w:t>
      </w:r>
    </w:p>
    <w:p>
      <w:pPr>
        <w:spacing w:after="0" w:line="1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Stock-based compensation expense related to restricted stock, restricted stock units and performance stock units was $828 and $2,979 during the three and six months ended June 30, 2022, respectively, as compared to $3,044 and $5,928 during the three and six months ended June 30, 2021,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2022, the total fair value of other stock awards vested was $814 and $5,359, respectively.</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As of June 30, 2022, total unrecognized stock-based compensation expense related to outstanding restricted stock was $58, which will be recognized over a weighted average period of 1.5 years. As of June 30, 2022, total unrecognized stock-based compensation expense related to outstanding restricted stock units was $5,543, which will be recognized over a weighted average period of 1.9 years. As of June 30, 2022, total expected unrecognized stock-based compensation expense related to outstanding performance stock units was $6,882 to be recognized over a weighted average period of 1.8 years.</w:t>
      </w:r>
    </w:p>
    <w:p>
      <w:pPr>
        <w:spacing w:after="0" w:line="4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also recorded $93 and $166 of stock-based compensation expense related to our Amended and Restated 1997 Employee Stock Purchase Plan during the three and six months ended June 30, 2022, respectively, as compared to $72 and $128 during the three and six months ended June 30, 2021, respectively.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Accumulated Other Comprehensive Income (Loss), Net of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balances of each component of accumulated other comprehensive income (loss), net of tax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7"/>
              </w:rPr>
              <w:t>Interest Rate Swaps</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4"/>
              </w:rPr>
              <w:t>(5,103)</w:t>
            </w:r>
          </w:p>
        </w:tc>
      </w:tr>
      <w:tr>
        <w:trPr>
          <w:trHeight w:val="230"/>
        </w:trPr>
        <w:tc>
          <w:tcPr>
            <w:tcW w:w="9800" w:type="dxa"/>
            <w:vAlign w:val="bottom"/>
          </w:tcPr>
          <w:p>
            <w:pPr>
              <w:ind w:left="220"/>
              <w:spacing w:after="0"/>
              <w:rPr>
                <w:sz w:val="20"/>
                <w:szCs w:val="20"/>
                <w:color w:val="auto"/>
              </w:rPr>
            </w:pPr>
            <w:r>
              <w:rPr>
                <w:rFonts w:ascii="Arial" w:cs="Arial" w:eastAsia="Arial" w:hAnsi="Arial"/>
                <w:sz w:val="18"/>
                <w:szCs w:val="18"/>
                <w:color w:val="auto"/>
              </w:rPr>
              <w:t>Other comprehensive income before reclassifications</w:t>
            </w:r>
          </w:p>
        </w:tc>
        <w:tc>
          <w:tcPr>
            <w:tcW w:w="500" w:type="dxa"/>
            <w:vAlign w:val="bottom"/>
          </w:tcPr>
          <w:p>
            <w:pPr>
              <w:spacing w:after="0"/>
              <w:rPr>
                <w:sz w:val="19"/>
                <w:szCs w:val="19"/>
                <w:color w:val="auto"/>
              </w:rPr>
            </w:pPr>
          </w:p>
        </w:tc>
        <w:tc>
          <w:tcPr>
            <w:tcW w:w="940" w:type="dxa"/>
            <w:vAlign w:val="bottom"/>
          </w:tcPr>
          <w:p>
            <w:pPr>
              <w:jc w:val="center"/>
              <w:ind w:left="290"/>
              <w:spacing w:after="0"/>
              <w:rPr>
                <w:sz w:val="20"/>
                <w:szCs w:val="20"/>
                <w:color w:val="auto"/>
              </w:rPr>
            </w:pPr>
            <w:r>
              <w:rPr>
                <w:rFonts w:ascii="Arial" w:cs="Arial" w:eastAsia="Arial" w:hAnsi="Arial"/>
                <w:sz w:val="18"/>
                <w:szCs w:val="18"/>
                <w:color w:val="auto"/>
                <w:w w:val="88"/>
              </w:rPr>
              <w:t>9,774</w:t>
            </w:r>
          </w:p>
        </w:tc>
      </w:tr>
      <w:tr>
        <w:trPr>
          <w:trHeight w:val="229"/>
        </w:trPr>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2,122</w:t>
            </w:r>
          </w:p>
        </w:tc>
      </w:tr>
      <w:tr>
        <w:trPr>
          <w:trHeight w:val="229"/>
        </w:trPr>
        <w:tc>
          <w:tcPr>
            <w:tcW w:w="9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provision related to items of other comprehensive income</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4"/>
              </w:rPr>
              <w:t>(2,773)</w:t>
            </w:r>
          </w:p>
        </w:tc>
      </w:tr>
      <w:tr>
        <w:trPr>
          <w:trHeight w:val="223"/>
        </w:trPr>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current-period other comprehensive income</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88"/>
              </w:rPr>
              <w:t>9,123</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Balance, June 30, 2022</w:t>
            </w: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88"/>
              </w:rPr>
              <w:t>4,020</w:t>
            </w:r>
          </w:p>
        </w:tc>
      </w:tr>
      <w:tr>
        <w:trPr>
          <w:trHeight w:val="21"/>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accumulated other comprehensive income (loss), net of tax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94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Six Months Ended</w:t>
            </w:r>
          </w:p>
        </w:tc>
        <w:tc>
          <w:tcPr>
            <w:tcW w:w="3180" w:type="dxa"/>
            <w:vAlign w:val="bottom"/>
          </w:tcPr>
          <w:p>
            <w:pPr>
              <w:spacing w:after="0"/>
              <w:rPr>
                <w:sz w:val="14"/>
                <w:szCs w:val="14"/>
                <w:color w:val="auto"/>
              </w:rPr>
            </w:pPr>
          </w:p>
        </w:tc>
      </w:tr>
      <w:tr>
        <w:trPr>
          <w:trHeight w:val="188"/>
        </w:trPr>
        <w:tc>
          <w:tcPr>
            <w:tcW w:w="3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3180" w:type="dxa"/>
            <w:vAlign w:val="bottom"/>
          </w:tcPr>
          <w:p>
            <w:pPr>
              <w:spacing w:after="0"/>
              <w:rPr>
                <w:sz w:val="16"/>
                <w:szCs w:val="16"/>
                <w:color w:val="auto"/>
              </w:rPr>
            </w:pPr>
          </w:p>
        </w:tc>
      </w:tr>
      <w:tr>
        <w:trPr>
          <w:trHeight w:val="181"/>
        </w:trPr>
        <w:tc>
          <w:tcPr>
            <w:tcW w:w="3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3180" w:type="dxa"/>
            <w:vAlign w:val="bottom"/>
          </w:tcPr>
          <w:p>
            <w:pPr>
              <w:spacing w:after="0"/>
              <w:rPr>
                <w:sz w:val="15"/>
                <w:szCs w:val="15"/>
                <w:color w:val="auto"/>
              </w:rPr>
            </w:pPr>
          </w:p>
        </w:tc>
      </w:tr>
      <w:tr>
        <w:trPr>
          <w:trHeight w:val="131"/>
        </w:trPr>
        <w:tc>
          <w:tcPr>
            <w:tcW w:w="3600" w:type="dxa"/>
            <w:vAlign w:val="bottom"/>
          </w:tcPr>
          <w:p>
            <w:pPr>
              <w:jc w:val="center"/>
              <w:ind w:right="2"/>
              <w:spacing w:after="0" w:line="131" w:lineRule="exact"/>
              <w:rPr>
                <w:sz w:val="20"/>
                <w:szCs w:val="20"/>
                <w:color w:val="auto"/>
              </w:rPr>
            </w:pPr>
            <w:r>
              <w:rPr>
                <w:rFonts w:ascii="Arial" w:cs="Arial" w:eastAsia="Arial" w:hAnsi="Arial"/>
                <w:sz w:val="14"/>
                <w:szCs w:val="14"/>
                <w:b w:val="1"/>
                <w:bCs w:val="1"/>
                <w:color w:val="auto"/>
                <w:w w:val="92"/>
              </w:rPr>
              <w:t>Details About Accumulated Other Comprehensive</w:t>
            </w:r>
          </w:p>
        </w:tc>
        <w:tc>
          <w:tcPr>
            <w:tcW w:w="160" w:type="dxa"/>
            <w:vAlign w:val="bottom"/>
          </w:tcPr>
          <w:p>
            <w:pPr>
              <w:spacing w:after="0"/>
              <w:rPr>
                <w:sz w:val="11"/>
                <w:szCs w:val="11"/>
                <w:color w:val="auto"/>
              </w:rPr>
            </w:pPr>
          </w:p>
        </w:tc>
        <w:tc>
          <w:tcPr>
            <w:tcW w:w="4260" w:type="dxa"/>
            <w:vAlign w:val="bottom"/>
            <w:gridSpan w:val="10"/>
          </w:tcPr>
          <w:p>
            <w:pPr>
              <w:jc w:val="center"/>
              <w:ind w:right="94"/>
              <w:spacing w:after="0" w:line="131" w:lineRule="exact"/>
              <w:rPr>
                <w:sz w:val="20"/>
                <w:szCs w:val="20"/>
                <w:color w:val="auto"/>
              </w:rPr>
            </w:pPr>
            <w:r>
              <w:rPr>
                <w:rFonts w:ascii="Arial" w:cs="Arial" w:eastAsia="Arial" w:hAnsi="Arial"/>
                <w:sz w:val="14"/>
                <w:szCs w:val="14"/>
                <w:b w:val="1"/>
                <w:bCs w:val="1"/>
                <w:color w:val="auto"/>
                <w:w w:val="92"/>
              </w:rPr>
              <w:t>Amounts Reclassified Out of Accumulated Other Comprehensive</w:t>
            </w:r>
          </w:p>
        </w:tc>
        <w:tc>
          <w:tcPr>
            <w:tcW w:w="3180" w:type="dxa"/>
            <w:vAlign w:val="bottom"/>
          </w:tcPr>
          <w:p>
            <w:pPr>
              <w:ind w:left="440"/>
              <w:spacing w:after="0" w:line="131" w:lineRule="exact"/>
              <w:rPr>
                <w:sz w:val="20"/>
                <w:szCs w:val="20"/>
                <w:color w:val="auto"/>
              </w:rPr>
            </w:pPr>
            <w:r>
              <w:rPr>
                <w:rFonts w:ascii="Arial" w:cs="Arial" w:eastAsia="Arial" w:hAnsi="Arial"/>
                <w:sz w:val="14"/>
                <w:szCs w:val="14"/>
                <w:b w:val="1"/>
                <w:bCs w:val="1"/>
                <w:color w:val="auto"/>
              </w:rPr>
              <w:t>Affected Line Item in the Consolidated</w:t>
            </w:r>
          </w:p>
        </w:tc>
      </w:tr>
      <w:tr>
        <w:trPr>
          <w:trHeight w:val="188"/>
        </w:trPr>
        <w:tc>
          <w:tcPr>
            <w:tcW w:w="3600" w:type="dxa"/>
            <w:vAlign w:val="bottom"/>
          </w:tcPr>
          <w:p>
            <w:pPr>
              <w:jc w:val="center"/>
              <w:ind w:right="22"/>
              <w:spacing w:after="0"/>
              <w:rPr>
                <w:sz w:val="20"/>
                <w:szCs w:val="20"/>
                <w:color w:val="auto"/>
              </w:rPr>
            </w:pPr>
            <w:r>
              <w:rPr>
                <w:rFonts w:ascii="Arial" w:cs="Arial" w:eastAsia="Arial" w:hAnsi="Arial"/>
                <w:sz w:val="14"/>
                <w:szCs w:val="14"/>
                <w:b w:val="1"/>
                <w:bCs w:val="1"/>
                <w:color w:val="auto"/>
                <w:w w:val="91"/>
              </w:rPr>
              <w:t>Income (Loss), Net of Tax Components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Income (Loss), Net of Tax</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180" w:type="dxa"/>
            <w:vAlign w:val="bottom"/>
          </w:tcPr>
          <w:p>
            <w:pPr>
              <w:ind w:left="860"/>
              <w:spacing w:after="0"/>
              <w:rPr>
                <w:sz w:val="20"/>
                <w:szCs w:val="20"/>
                <w:color w:val="auto"/>
              </w:rPr>
            </w:pPr>
            <w:r>
              <w:rPr>
                <w:rFonts w:ascii="Arial" w:cs="Arial" w:eastAsia="Arial" w:hAnsi="Arial"/>
                <w:sz w:val="14"/>
                <w:szCs w:val="14"/>
                <w:b w:val="1"/>
                <w:bCs w:val="1"/>
                <w:color w:val="auto"/>
              </w:rPr>
              <w:t>Statements of Operations</w:t>
            </w:r>
          </w:p>
        </w:tc>
      </w:tr>
      <w:tr>
        <w:trPr>
          <w:trHeight w:val="231"/>
        </w:trPr>
        <w:tc>
          <w:tcPr>
            <w:tcW w:w="3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rate swaps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r>
      <w:tr>
        <w:trPr>
          <w:trHeight w:val="223"/>
        </w:trPr>
        <w:tc>
          <w:tcPr>
            <w:tcW w:w="3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(2,347)</w:t>
            </w:r>
          </w:p>
        </w:tc>
        <w:tc>
          <w:tcPr>
            <w:tcW w:w="3180" w:type="dxa"/>
            <w:vAlign w:val="bottom"/>
          </w:tcPr>
          <w:p>
            <w:pPr>
              <w:ind w:left="100"/>
              <w:spacing w:after="0"/>
              <w:rPr>
                <w:sz w:val="20"/>
                <w:szCs w:val="20"/>
                <w:color w:val="auto"/>
              </w:rPr>
            </w:pPr>
            <w:r>
              <w:rPr>
                <w:rFonts w:ascii="Arial" w:cs="Arial" w:eastAsia="Arial" w:hAnsi="Arial"/>
                <w:sz w:val="18"/>
                <w:szCs w:val="18"/>
                <w:color w:val="auto"/>
              </w:rPr>
              <w:t>Income before income taxes</w:t>
            </w:r>
          </w:p>
        </w:tc>
      </w:tr>
      <w:tr>
        <w:trPr>
          <w:trHeight w:val="229"/>
        </w:trPr>
        <w:tc>
          <w:tcPr>
            <w:tcW w:w="3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Provision for income taxes</w:t>
            </w:r>
          </w:p>
        </w:tc>
      </w:tr>
      <w:tr>
        <w:trPr>
          <w:trHeight w:val="223"/>
        </w:trPr>
        <w:tc>
          <w:tcPr>
            <w:tcW w:w="3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3180" w:type="dxa"/>
            <w:vAlign w:val="bottom"/>
          </w:tcPr>
          <w:p>
            <w:pPr>
              <w:ind w:left="100"/>
              <w:spacing w:after="0"/>
              <w:rPr>
                <w:sz w:val="20"/>
                <w:szCs w:val="20"/>
                <w:color w:val="auto"/>
              </w:rPr>
            </w:pPr>
            <w:r>
              <w:rPr>
                <w:rFonts w:ascii="Arial" w:cs="Arial" w:eastAsia="Arial" w:hAnsi="Arial"/>
                <w:sz w:val="18"/>
                <w:szCs w:val="18"/>
                <w:color w:val="auto"/>
              </w:rPr>
              <w:t>Net income</w:t>
            </w:r>
          </w:p>
        </w:tc>
      </w:tr>
      <w:tr>
        <w:trPr>
          <w:trHeight w:val="21"/>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EARNINGS PER SHARE</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Basic earnings per share is computed by dividing net income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0" w:type="dxa"/>
            <w:vAlign w:val="bottom"/>
            <w:gridSpan w:val="4"/>
          </w:tcPr>
          <w:p>
            <w:pPr>
              <w:jc w:val="center"/>
              <w:ind w:left="482"/>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tcPr>
          <w:p>
            <w:pPr>
              <w:jc w:val="right"/>
              <w:ind w:right="66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17,796</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11,783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Number of shares outstanding, end of period:</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50,690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50,398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50,398</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Class B common stock</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Unvested restricted stock</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Effect of weighted average shares outstanding</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51,642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51,366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Impact of potentially dilutive securities: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stock options and other stock awards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51,781</w:t>
            </w: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51,546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51,720</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potentially issuable shares</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8200" w:firstLine="8"/>
        <w:spacing w:after="0" w:line="400" w:lineRule="auto"/>
        <w:tabs>
          <w:tab w:leader="none" w:pos="39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OTHER ITEMS AND CHARGES Expense from Acquisition Activities</w:t>
      </w:r>
    </w:p>
    <w:p>
      <w:pPr>
        <w:ind w:right="200"/>
        <w:spacing w:after="0" w:line="263" w:lineRule="auto"/>
        <w:rPr>
          <w:sz w:val="20"/>
          <w:szCs w:val="20"/>
          <w:color w:val="auto"/>
        </w:rPr>
      </w:pPr>
      <w:r>
        <w:rPr>
          <w:rFonts w:ascii="Arial" w:cs="Arial" w:eastAsia="Arial" w:hAnsi="Arial"/>
          <w:sz w:val="18"/>
          <w:szCs w:val="18"/>
          <w:color w:val="auto"/>
        </w:rPr>
        <w:t>In the three and six months ended June 30, 2022, we recorded charges of $1,019 and $3,062, respectively, and in the three and six months ended June 30, 2021, we recorded charges of $1,632 and $2,046, respectively, comprised primarily of legal, consulting and other similar costs associated with due diligence and the acquisition and integration of acquired businesses or select development projects.</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FAIR VALUE OF FINANCIAL INSTRUMENTS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Accounted for at Fair Value</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financial instruments include cash and cash equivalents, accounts receivable, restricted investment securities held in trust on deposit with various banks as collateral for our obligations relative to our landfill final capping, closure and post-closure costs, interest rate derivatives, contingent consideration related to acquisitions, trade payables and debt. The carrying values of cash and cash equivalents, restricted cash,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derivatives included in the Level 2 tier below is calculated using discounted cash flow valuation methodologies based upon the one-month LIBOR yield curves that are observable at commonly quoted intervals for the full term of the swaps. We recognize all derivatives accounted for on the balance sheet at fair value.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follow: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3"/>
              </w:rPr>
              <w:t>Fair Value Measurement at June 30, 2022 Using:</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1"/>
                <w:szCs w:val="11"/>
                <w:color w:val="auto"/>
              </w:rPr>
            </w:pPr>
          </w:p>
        </w:tc>
        <w:tc>
          <w:tcPr>
            <w:tcW w:w="150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1"/>
                <w:szCs w:val="11"/>
                <w:color w:val="auto"/>
              </w:rPr>
            </w:pPr>
          </w:p>
        </w:tc>
        <w:tc>
          <w:tcPr>
            <w:tcW w:w="150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50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360"/>
              <w:spacing w:after="0"/>
              <w:rPr>
                <w:sz w:val="20"/>
                <w:szCs w:val="20"/>
                <w:color w:val="auto"/>
              </w:rPr>
            </w:pPr>
            <w:r>
              <w:rPr>
                <w:rFonts w:ascii="Arial" w:cs="Arial" w:eastAsia="Arial" w:hAnsi="Arial"/>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6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3"/>
              </w:rPr>
              <w:t>Fair Value Measurement at December 31, 2021 Using:</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1"/>
                <w:szCs w:val="11"/>
                <w:color w:val="auto"/>
              </w:rPr>
            </w:pPr>
          </w:p>
        </w:tc>
        <w:tc>
          <w:tcPr>
            <w:tcW w:w="15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1"/>
                <w:szCs w:val="11"/>
                <w:color w:val="auto"/>
              </w:rPr>
            </w:pPr>
          </w:p>
        </w:tc>
        <w:tc>
          <w:tcPr>
            <w:tcW w:w="150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50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5,176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of June 30, 2022, the fair value of our fixed rate debt, including our FAME Bonds 2005R-3, FAME Bonds 2015R-1, FAME Bonds 2015R-2, Vermont Bonds 2013, Vermont Bonds 2022A-1, New York Bonds 2014R-1, New York Bonds 2014R-2, New York Bonds 2020 and New Hampshire Bonds (collectively, the "Industrial Revenue Bonds") was approximately $189,558 and the carrying value was $197,000. The fair value of the Industrial Revenue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of June 30, 2022, the carrying value of our Term Loan Facility was $350,000 and the carrying value of our Revolving Credit Facility was $0. Their fair values are based on current borrowing rates for similar types of borrowing arrangements, or Level 2 inputs, and approximate their carrying values.</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we have determined the estimated fair value amounts of the Industrial Revenue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3" w:name="page24"/>
    <w:bookmarkEnd w:id="23"/>
    <w:p>
      <w:pPr>
        <w:spacing w:after="0"/>
        <w:tabs>
          <w:tab w:leader="none" w:pos="400" w:val="left"/>
        </w:tabs>
        <w:rPr>
          <w:sz w:val="20"/>
          <w:szCs w:val="20"/>
          <w:color w:val="auto"/>
        </w:rPr>
      </w:pPr>
      <w:r>
        <w:rPr>
          <w:rFonts w:ascii="Arial" w:cs="Arial" w:eastAsia="Arial" w:hAnsi="Arial"/>
          <w:sz w:val="18"/>
          <w:szCs w:val="18"/>
          <w:b w:val="1"/>
          <w:bCs w:val="1"/>
          <w:color w:val="auto"/>
        </w:rPr>
        <w:t>13.</w:t>
        <w:tab/>
        <w:t>SEGMENT REPORTING</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report selected information about our reportable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transfer, transportation and disposal, landfill gas-to-energy, processing, and recycling services in the northeastern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derived from two lines-of-service: processing and non-processing. Revenues from processing services are derived from municipalities and customers in the form of processing fees, tipping fees, commodity sales, and organic material sales. Revenues from non-processing services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Corporate Entities results reflect those costs not allocated to our reportable operating segments.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Inter-company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7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3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74"/>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24"/>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362,942</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114,884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39,491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697,252</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189,820</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120,705</w:t>
            </w:r>
          </w:p>
        </w:tc>
        <w:tc>
          <w:tcPr>
            <w:tcW w:w="0" w:type="dxa"/>
            <w:vAlign w:val="bottom"/>
          </w:tcPr>
          <w:p>
            <w:pPr>
              <w:spacing w:after="0"/>
              <w:rPr>
                <w:sz w:val="1"/>
                <w:szCs w:val="1"/>
                <w:color w:val="auto"/>
              </w:rPr>
            </w:pPr>
          </w:p>
        </w:tc>
      </w:tr>
      <w:tr>
        <w:trPr>
          <w:trHeight w:val="229"/>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283,666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31,150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1,370,719</w:t>
            </w:r>
          </w:p>
        </w:tc>
        <w:tc>
          <w:tcPr>
            <w:tcW w:w="0" w:type="dxa"/>
            <w:vAlign w:val="bottom"/>
          </w:tcPr>
          <w:p>
            <w:pPr>
              <w:spacing w:after="0"/>
              <w:rPr>
                <w:sz w:val="1"/>
                <w:szCs w:val="1"/>
                <w:color w:val="auto"/>
              </w:rPr>
            </w:pPr>
          </w:p>
        </w:tc>
      </w:tr>
      <w:tr>
        <w:trPr>
          <w:trHeight w:val="20"/>
        </w:trPr>
        <w:tc>
          <w:tcPr>
            <w:tcW w:w="3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Three Months Ended June 30, 2021</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Inter-company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8"/>
        </w:trPr>
        <w:tc>
          <w:tcPr>
            <w:tcW w:w="3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income (loss)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54"/>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224"/>
        </w:trPr>
        <w:tc>
          <w:tcPr>
            <w:tcW w:w="3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226,157</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98,852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654,314</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95,664</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251,698</w:t>
            </w:r>
          </w:p>
        </w:tc>
        <w:tc>
          <w:tcPr>
            <w:tcW w:w="0" w:type="dxa"/>
            <w:vAlign w:val="bottom"/>
          </w:tcPr>
          <w:p>
            <w:pPr>
              <w:spacing w:after="0"/>
              <w:rPr>
                <w:sz w:val="1"/>
                <w:szCs w:val="1"/>
                <w:color w:val="auto"/>
              </w:rPr>
            </w:pPr>
          </w:p>
        </w:tc>
      </w:tr>
      <w:tr>
        <w:trPr>
          <w:trHeight w:val="229"/>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1,227,833</w:t>
            </w:r>
          </w:p>
        </w:tc>
        <w:tc>
          <w:tcPr>
            <w:tcW w:w="0" w:type="dxa"/>
            <w:vAlign w:val="bottom"/>
          </w:tcPr>
          <w:p>
            <w:pPr>
              <w:spacing w:after="0"/>
              <w:rPr>
                <w:sz w:val="1"/>
                <w:szCs w:val="1"/>
                <w:color w:val="auto"/>
              </w:rPr>
            </w:pPr>
          </w:p>
        </w:tc>
      </w:tr>
      <w:tr>
        <w:trPr>
          <w:trHeight w:val="21"/>
        </w:trPr>
        <w:tc>
          <w:tcPr>
            <w:tcW w:w="3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Six Months Ended June 30, 2022</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37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Inter-company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86"/>
              </w:rPr>
              <w:t>Total assets</w:t>
            </w:r>
          </w:p>
        </w:tc>
        <w:tc>
          <w:tcPr>
            <w:tcW w:w="0" w:type="dxa"/>
            <w:vAlign w:val="bottom"/>
          </w:tcPr>
          <w:p>
            <w:pPr>
              <w:spacing w:after="0"/>
              <w:rPr>
                <w:sz w:val="1"/>
                <w:szCs w:val="1"/>
                <w:color w:val="auto"/>
              </w:rPr>
            </w:pPr>
          </w:p>
        </w:tc>
      </w:tr>
      <w:tr>
        <w:trPr>
          <w:trHeight w:val="188"/>
        </w:trPr>
        <w:tc>
          <w:tcPr>
            <w:tcW w:w="3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income (loss)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6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158,582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362,942</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210,723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71,983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697,252</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189,820</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120,705</w:t>
            </w:r>
          </w:p>
        </w:tc>
        <w:tc>
          <w:tcPr>
            <w:tcW w:w="0" w:type="dxa"/>
            <w:vAlign w:val="bottom"/>
          </w:tcPr>
          <w:p>
            <w:pPr>
              <w:spacing w:after="0"/>
              <w:rPr>
                <w:sz w:val="1"/>
                <w:szCs w:val="1"/>
                <w:color w:val="auto"/>
              </w:rPr>
            </w:pPr>
          </w:p>
        </w:tc>
      </w:tr>
      <w:tr>
        <w:trPr>
          <w:trHeight w:val="229"/>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517,693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41,887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1,370,719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Six Months Ended June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1140" w:type="dxa"/>
            <w:vAlign w:val="bottom"/>
          </w:tcPr>
          <w:p>
            <w:pPr>
              <w:jc w:val="right"/>
              <w:ind w:right="375"/>
              <w:spacing w:after="0"/>
              <w:rPr>
                <w:sz w:val="20"/>
                <w:szCs w:val="20"/>
                <w:color w:val="auto"/>
              </w:rPr>
            </w:pPr>
            <w:r>
              <w:rPr>
                <w:rFonts w:ascii="Arial" w:cs="Arial" w:eastAsia="Arial" w:hAnsi="Arial"/>
                <w:sz w:val="14"/>
                <w:szCs w:val="14"/>
                <w:b w:val="1"/>
                <w:bCs w:val="1"/>
                <w:color w:val="auto"/>
              </w:rPr>
              <w:t>Outside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Inter-company</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Depreciation and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Operating</w:t>
            </w:r>
          </w:p>
        </w:tc>
        <w:tc>
          <w:tcPr>
            <w:tcW w:w="280" w:type="dxa"/>
            <w:vAlign w:val="bottom"/>
          </w:tcPr>
          <w:p>
            <w:pPr>
              <w:spacing w:after="0"/>
              <w:rPr>
                <w:sz w:val="14"/>
                <w:szCs w:val="14"/>
                <w:color w:val="auto"/>
              </w:rPr>
            </w:pPr>
          </w:p>
        </w:tc>
        <w:tc>
          <w:tcPr>
            <w:tcW w:w="11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93"/>
              </w:rPr>
              <w:t>Total assets</w:t>
            </w:r>
          </w:p>
        </w:tc>
        <w:tc>
          <w:tcPr>
            <w:tcW w:w="0" w:type="dxa"/>
            <w:vAlign w:val="bottom"/>
          </w:tcPr>
          <w:p>
            <w:pPr>
              <w:spacing w:after="0"/>
              <w:rPr>
                <w:sz w:val="1"/>
                <w:szCs w:val="1"/>
                <w:color w:val="auto"/>
              </w:rPr>
            </w:pPr>
          </w:p>
        </w:tc>
      </w:tr>
      <w:tr>
        <w:trPr>
          <w:trHeight w:val="188"/>
        </w:trPr>
        <w:tc>
          <w:tcPr>
            <w:tcW w:w="37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55"/>
              <w:spacing w:after="0"/>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amortization</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income (loss)</w:t>
            </w: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113,403</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226,157</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Western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184,616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62,248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654,314</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107,387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95,664</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Corporate Entities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251,698</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2"/>
              </w:rPr>
              <w:t>(93,982)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405,406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47,019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33,955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1,227,833</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5120" w:type="dxa"/>
            <w:vAlign w:val="bottom"/>
            <w:gridSpan w:val="4"/>
          </w:tcPr>
          <w:p>
            <w:pPr>
              <w:spacing w:after="0"/>
              <w:rPr>
                <w:sz w:val="20"/>
                <w:szCs w:val="20"/>
                <w:color w:val="auto"/>
              </w:rPr>
            </w:pPr>
            <w:r>
              <w:rPr>
                <w:rFonts w:ascii="Arial" w:cs="Arial" w:eastAsia="Arial" w:hAnsi="Arial"/>
                <w:sz w:val="18"/>
                <w:szCs w:val="18"/>
                <w:color w:val="auto"/>
                <w:w w:val="93"/>
              </w:rPr>
              <w:t>A summary of our revenues attributable to services provided follows: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7"/>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6"/>
          </w:tcPr>
          <w:p>
            <w:pPr>
              <w:jc w:val="right"/>
              <w:ind w:right="8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204,796</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Disposal</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60,204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103,356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87,026</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Power generation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Processing</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23"/>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Solid waste operations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298,019</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Processing</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61,263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38,302</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69,085</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Resource Solutions operations</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148,388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107,387</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405,406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following discussion should be read in conjunction with our unaudited consolidated financial statements and notes thereto included under Item 1. In addition, reference should be made to our audited consolidated financial statements and notes thereto and related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appearing in our Annual Report on Form 10-K for the fiscal year ended December 31, 2021 filed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and Exchange Commission (“SEC”) on February 18, 2022.</w:t>
      </w:r>
    </w:p>
    <w:p>
      <w:pPr>
        <w:spacing w:after="0" w:line="7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This Quarterly Report on Form 10-Q and, in particular, this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may contain or incorporate a number of forward-looking statements within the meaning of Section 27A of the Securities Act of 1933, as amended, and Section 21E of the Exchange Act of 1934, as amended, including statements regarding:</w:t>
      </w:r>
    </w:p>
    <w:p>
      <w:pPr>
        <w:spacing w:after="0" w:line="7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117" w:lineRule="exact"/>
        <w:rPr>
          <w:rFonts w:ascii="Arial" w:cs="Arial" w:eastAsia="Arial" w:hAnsi="Arial"/>
          <w:sz w:val="18"/>
          <w:szCs w:val="18"/>
          <w:color w:val="auto"/>
        </w:rPr>
      </w:pPr>
    </w:p>
    <w:p>
      <w:pPr>
        <w:ind w:left="660" w:right="840" w:hanging="652"/>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commodity pricing of our recyclables, increases in landfill tipping fees and fuel costs and general economic and weather conditions;</w:t>
      </w:r>
    </w:p>
    <w:p>
      <w:pPr>
        <w:spacing w:after="0" w:line="62" w:lineRule="exact"/>
        <w:rPr>
          <w:rFonts w:ascii="Arial" w:cs="Arial" w:eastAsia="Arial" w:hAnsi="Arial"/>
          <w:sz w:val="18"/>
          <w:szCs w:val="18"/>
          <w:color w:val="auto"/>
        </w:rPr>
      </w:pPr>
    </w:p>
    <w:p>
      <w:pPr>
        <w:ind w:left="660" w:right="280" w:hanging="652"/>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Arial" w:cs="Arial" w:eastAsia="Arial" w:hAnsi="Arial"/>
          <w:sz w:val="17"/>
          <w:szCs w:val="17"/>
          <w:i w:val="1"/>
          <w:iCs w:val="1"/>
          <w:color w:val="auto"/>
        </w:rPr>
        <w:t>Risk Factors</w:t>
      </w:r>
      <w:r>
        <w:rPr>
          <w:rFonts w:ascii="Arial" w:cs="Arial" w:eastAsia="Arial" w:hAnsi="Arial"/>
          <w:sz w:val="17"/>
          <w:szCs w:val="17"/>
          <w:color w:val="auto"/>
        </w:rPr>
        <w:t>” in our Annual Report on Form 10-K for the fiscal year ended December 31, 2021 and those included under Part II, Item 1A of this Quarterly Report on Form 10-Q.</w:t>
      </w:r>
    </w:p>
    <w:p>
      <w:pPr>
        <w:spacing w:after="0" w:line="5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a result of new information, future events or otherwise, except as otherwise required by law.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Casella Waste Systems, Inc., a Delaware corporation, and its wholly-owned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We provide integrated solid waste services in seven states: Vermont, New Hampshire, New York, Massachusetts, Connecticut, Maine and Pennsylvania, with our headquarters located in Rutland, Vermont. 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Our Resources Solutions operations consist of two lines-of-service: processing and non-processing. Processing services consist of the receipt of recycled, sludge or other organic materials at one of our materials recovery, processing or disposal facilities, where it is then sorted, mixed and/or processed, and then disposed of or sold. Non-processing services consist of brokerage services and overall resource management services, which provide a wide range of environmental services and resource management solutions to large and complex organizations, as well as traditional collection, disposal and recycling services provided to large account multi-site customers.</w:t>
      </w:r>
    </w:p>
    <w:p>
      <w:pPr>
        <w:spacing w:after="0" w:line="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July 15, 2022, we owned and/or operated 50 solid waste collection operations, 65 transfer stations, 25 recycling facilities, eight Subtitle D landfills, three landfill gas-to-energy facilities and one landfill permitted to accept construction and demolition (“C&amp;D”)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services, including landfill, transfer and transportation, landfill gas-to-energy, and processing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We manage our resource-renewal operations through the Resource Solutions operating segment, which includes processing and non-processing services. Revenues from processing services are derived from municipalities and customers in the form of processing fees, tipping fees, and commodity sales, primarily comprised of newspaper, corrugated containers, plastics, ferrous and aluminum, and organic materials such as our earthlife® soils products including fertilizers, composts and mulches. Revenues from non-processing services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 summary of revenues attributable to services provided (dollars in millions and as a percentage of total revenues)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w w:val="93"/>
              </w:rPr>
              <w:t>Three Months Ended 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Six Months Ended 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r>
      <w:tr>
        <w:trPr>
          <w:trHeight w:val="201"/>
        </w:trPr>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gridSpan w:val="3"/>
          </w:tcPr>
          <w:p>
            <w:pPr>
              <w:jc w:val="right"/>
              <w:ind w:right="69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Change</w:t>
            </w:r>
          </w:p>
        </w:tc>
      </w:tr>
      <w:tr>
        <w:trPr>
          <w:trHeight w:val="224"/>
        </w:trPr>
        <w:tc>
          <w:tcPr>
            <w:tcW w:w="1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49.6 %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30"/>
        </w:trPr>
        <w:tc>
          <w:tcPr>
            <w:tcW w:w="1800" w:type="dxa"/>
            <w:vAlign w:val="bottom"/>
          </w:tcPr>
          <w:p>
            <w:pPr>
              <w:ind w:left="20"/>
              <w:spacing w:after="0"/>
              <w:rPr>
                <w:sz w:val="20"/>
                <w:szCs w:val="20"/>
                <w:color w:val="auto"/>
              </w:rPr>
            </w:pPr>
            <w:r>
              <w:rPr>
                <w:rFonts w:ascii="Arial" w:cs="Arial" w:eastAsia="Arial" w:hAnsi="Arial"/>
                <w:sz w:val="18"/>
                <w:szCs w:val="18"/>
                <w:color w:val="auto"/>
              </w:rPr>
              <w:t>Disposal</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103.4</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8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18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Solid waste</w:t>
            </w:r>
          </w:p>
        </w:tc>
        <w:tc>
          <w:tcPr>
            <w:tcW w:w="2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29"/>
        </w:trPr>
        <w:tc>
          <w:tcPr>
            <w:tcW w:w="18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61.3</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1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Resource solutions</w:t>
            </w: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28.7 %</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25.9 %</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28.7 %</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26.5 %</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r>
      <w:tr>
        <w:trPr>
          <w:trHeight w:val="248"/>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2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Period-to-Period Change for the Three Months</w:t>
            </w:r>
          </w:p>
        </w:tc>
        <w:tc>
          <w:tcPr>
            <w:tcW w:w="180" w:type="dxa"/>
            <w:vAlign w:val="bottom"/>
          </w:tcPr>
          <w:p>
            <w:pPr>
              <w:spacing w:after="0"/>
              <w:rPr>
                <w:sz w:val="14"/>
                <w:szCs w:val="14"/>
                <w:color w:val="auto"/>
              </w:rPr>
            </w:pPr>
          </w:p>
        </w:tc>
        <w:tc>
          <w:tcPr>
            <w:tcW w:w="3000" w:type="dxa"/>
            <w:vAlign w:val="bottom"/>
            <w:gridSpan w:val="3"/>
          </w:tcPr>
          <w:p>
            <w:pPr>
              <w:jc w:val="right"/>
              <w:ind w:right="133"/>
              <w:spacing w:after="0"/>
              <w:rPr>
                <w:sz w:val="20"/>
                <w:szCs w:val="20"/>
                <w:color w:val="auto"/>
              </w:rPr>
            </w:pPr>
            <w:r>
              <w:rPr>
                <w:rFonts w:ascii="Arial" w:cs="Arial" w:eastAsia="Arial" w:hAnsi="Arial"/>
                <w:sz w:val="14"/>
                <w:szCs w:val="14"/>
                <w:b w:val="1"/>
                <w:bCs w:val="1"/>
                <w:color w:val="auto"/>
                <w:w w:val="94"/>
              </w:rPr>
              <w:t>Period-to-Period Change for the Six Months</w:t>
            </w:r>
          </w:p>
        </w:tc>
      </w:tr>
      <w:tr>
        <w:trPr>
          <w:trHeight w:val="188"/>
        </w:trPr>
        <w:tc>
          <w:tcPr>
            <w:tcW w:w="4780" w:type="dxa"/>
            <w:vAlign w:val="bottom"/>
          </w:tcPr>
          <w:p>
            <w:pPr>
              <w:spacing w:after="0"/>
              <w:rPr>
                <w:sz w:val="16"/>
                <w:szCs w:val="16"/>
                <w:color w:val="auto"/>
              </w:rPr>
            </w:pPr>
          </w:p>
        </w:tc>
        <w:tc>
          <w:tcPr>
            <w:tcW w:w="3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Ended June 30, 2022 vs. 2021</w:t>
            </w:r>
          </w:p>
        </w:tc>
        <w:tc>
          <w:tcPr>
            <w:tcW w:w="180" w:type="dxa"/>
            <w:vAlign w:val="bottom"/>
          </w:tcPr>
          <w:p>
            <w:pPr>
              <w:spacing w:after="0"/>
              <w:rPr>
                <w:sz w:val="16"/>
                <w:szCs w:val="16"/>
                <w:color w:val="auto"/>
              </w:rPr>
            </w:pPr>
          </w:p>
        </w:tc>
        <w:tc>
          <w:tcPr>
            <w:tcW w:w="3000" w:type="dxa"/>
            <w:vAlign w:val="bottom"/>
            <w:gridSpan w:val="3"/>
          </w:tcPr>
          <w:p>
            <w:pPr>
              <w:jc w:val="right"/>
              <w:ind w:right="593"/>
              <w:spacing w:after="0"/>
              <w:rPr>
                <w:sz w:val="20"/>
                <w:szCs w:val="20"/>
                <w:color w:val="auto"/>
              </w:rPr>
            </w:pPr>
            <w:r>
              <w:rPr>
                <w:rFonts w:ascii="Arial" w:cs="Arial" w:eastAsia="Arial" w:hAnsi="Arial"/>
                <w:sz w:val="14"/>
                <w:szCs w:val="14"/>
                <w:b w:val="1"/>
                <w:bCs w:val="1"/>
                <w:color w:val="auto"/>
              </w:rPr>
              <w:t>Ended June 30, 2022 vs. 2021</w:t>
            </w:r>
          </w:p>
        </w:tc>
      </w:tr>
      <w:tr>
        <w:trPr>
          <w:trHeight w:val="183"/>
        </w:trPr>
        <w:tc>
          <w:tcPr>
            <w:tcW w:w="478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Growth</w:t>
            </w: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11.1</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19.4</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Solid waste revenues</w:t>
            </w:r>
          </w:p>
        </w:tc>
        <w:tc>
          <w:tcPr>
            <w:tcW w:w="1040" w:type="dxa"/>
            <w:vAlign w:val="bottom"/>
            <w:tcBorders>
              <w:bottom w:val="single" w:sz="8" w:color="auto"/>
            </w:tcBorders>
          </w:tcPr>
          <w:p>
            <w:pPr>
              <w:jc w:val="right"/>
              <w:ind w:right="84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42.2</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23.9 %</w:t>
            </w:r>
          </w:p>
        </w:tc>
      </w:tr>
      <w:tr>
        <w:trPr>
          <w:trHeight w:val="21"/>
        </w:trPr>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waste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$8.3 million from favorable collection pricing; and</w:t>
      </w:r>
    </w:p>
    <w:p>
      <w:pPr>
        <w:spacing w:after="0" w:line="63" w:lineRule="exact"/>
        <w:rPr>
          <w:rFonts w:ascii="Arial" w:cs="Arial" w:eastAsia="Arial" w:hAnsi="Arial"/>
          <w:sz w:val="18"/>
          <w:szCs w:val="18"/>
          <w:color w:val="auto"/>
        </w:rPr>
      </w:pPr>
    </w:p>
    <w:p>
      <w:pPr>
        <w:ind w:left="460" w:right="600" w:hanging="331"/>
        <w:spacing w:after="0" w:line="277"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$2.8 million from favorable disposal pricing associated with our landfills, transfer stations and to a lesser extent transportation services in our Western region.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year-to-date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$14.6 million from favorable collection pricing; and</w:t>
      </w:r>
    </w:p>
    <w:p>
      <w:pPr>
        <w:spacing w:after="0" w:line="63" w:lineRule="exact"/>
        <w:rPr>
          <w:rFonts w:ascii="Arial" w:cs="Arial" w:eastAsia="Arial" w:hAnsi="Arial"/>
          <w:sz w:val="18"/>
          <w:szCs w:val="18"/>
          <w:color w:val="auto"/>
        </w:rPr>
      </w:pPr>
    </w:p>
    <w:p>
      <w:pPr>
        <w:ind w:left="460" w:right="600" w:hanging="331"/>
        <w:spacing w:after="0" w:line="277" w:lineRule="auto"/>
        <w:tabs>
          <w:tab w:leader="none" w:pos="4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$4.3 million from favorable disposal pricing associated with our landfills, transfer stations and to a lesser extent transportation services in our Western region.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quarterly solid waste revenues growth from the prior year period is the result of the following:</w:t>
      </w:r>
    </w:p>
    <w:p>
      <w:pPr>
        <w:spacing w:after="0" w:line="63" w:lineRule="exact"/>
        <w:rPr>
          <w:sz w:val="20"/>
          <w:szCs w:val="20"/>
          <w:color w:val="auto"/>
        </w:rPr>
      </w:pPr>
    </w:p>
    <w:p>
      <w:pPr>
        <w:ind w:left="460" w:right="60" w:hanging="331"/>
        <w:spacing w:after="0" w:line="277"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$3.1 million from higher disposal volumes (of which $1.4 million relates to higher third-party landfill volumes, $1.2 million relates to higher transfer station volumes and $0.5 million relates to higher transportation volumes); and</w:t>
      </w:r>
    </w:p>
    <w:p>
      <w:pPr>
        <w:spacing w:after="0" w:line="8"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$0.2 million from higher processing volumes; partially offset by</w:t>
      </w:r>
    </w:p>
    <w:p>
      <w:pPr>
        <w:spacing w:after="0" w:line="63" w:lineRule="exact"/>
        <w:rPr>
          <w:rFonts w:ascii="Arial" w:cs="Arial" w:eastAsia="Arial" w:hAnsi="Arial"/>
          <w:sz w:val="18"/>
          <w:szCs w:val="18"/>
          <w:color w:val="auto"/>
        </w:rPr>
      </w:pPr>
    </w:p>
    <w:p>
      <w:pPr>
        <w:ind w:left="460" w:right="140" w:hanging="331"/>
        <w:spacing w:after="0" w:line="277"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$(0.7) million from lower collection volumes in our Western region with higher customer churn due to higher pricing, implementation of the energy and environmental fee ("E&amp;E Fee"), and customer deselection.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year-to-date solid waste revenues growth from the prior year period is the result of the following:</w:t>
      </w:r>
    </w:p>
    <w:p>
      <w:pPr>
        <w:spacing w:after="0" w:line="63" w:lineRule="exact"/>
        <w:rPr>
          <w:sz w:val="20"/>
          <w:szCs w:val="20"/>
          <w:color w:val="auto"/>
        </w:rPr>
      </w:pPr>
    </w:p>
    <w:p>
      <w:pPr>
        <w:ind w:left="460" w:right="100" w:hanging="331"/>
        <w:spacing w:after="0" w:line="277"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$3.4 million from higher disposal volumes (of which $1.5 million relates to higher transfer station volumes, $1.1 million relates to higher third-party landfill volumes and $0.7 million relates to higher transportation volumes);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ind w:left="440" w:hanging="311"/>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$0.1 million from higher processing volumes; partially offset by</w:t>
      </w:r>
    </w:p>
    <w:p>
      <w:pPr>
        <w:spacing w:after="0" w:line="63" w:lineRule="exact"/>
        <w:rPr>
          <w:rFonts w:ascii="Arial" w:cs="Arial" w:eastAsia="Arial" w:hAnsi="Arial"/>
          <w:sz w:val="18"/>
          <w:szCs w:val="18"/>
          <w:color w:val="auto"/>
        </w:rPr>
      </w:pPr>
    </w:p>
    <w:p>
      <w:pPr>
        <w:ind w:left="460" w:right="260" w:hanging="331"/>
        <w:spacing w:after="0" w:line="277" w:lineRule="auto"/>
        <w:tabs>
          <w:tab w:leader="none" w:pos="4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$(0.2) million from lower collection volumes in our Western region with higher customer churn due to higher pricing, implementation of the E&amp;E Fee, and customer deselection.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surcharges and other fees change components in quarterly and year-to-date solid waste revenues growth from the prior year periods are the result of higher energy fee revenues on higher diesel fuel prices, partially offset by lower sustainability recycling adjustment fees ("SRA Fee") year-to-date on higher recycled commodity prices.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commodity price and volume change component in quarterly solid waste revenues growth from the prior year period is the result of $0.6 million primarily from favorable energy pricing and $0.1 million from higher landfill gas-to-energy volumes.</w:t>
      </w:r>
    </w:p>
    <w:p>
      <w:pPr>
        <w:spacing w:after="0" w:line="6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commodity price and volume change component in year-to-date solid waste revenues growth from the prior year period is the result of $1.9 million primarily from favorable energy pricing and $0.4 million from higher landfill gas-to-energy and commodity processing volumes.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acquisitions change components in quarterly and year-to-date solid waste revenues growth from the prior year periods are the result of increased acquisition activity in line with our growth strategy, including the timing and acquisition of eight businesses in the six months ended June 30, 2022 and ten businesses in the fiscal year ended December 31,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Solutions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change component in quarterly Resource Solutions revenues growth of $25.6 million from the prior year period is the result of the following:</w:t>
      </w:r>
    </w:p>
    <w:p>
      <w:pPr>
        <w:spacing w:after="0" w:line="75" w:lineRule="exact"/>
        <w:rPr>
          <w:sz w:val="20"/>
          <w:szCs w:val="20"/>
          <w:color w:val="auto"/>
        </w:rPr>
      </w:pPr>
    </w:p>
    <w:p>
      <w:pPr>
        <w:ind w:left="440" w:hanging="31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$17.2 million from acquisition activity;</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$5.9 million from higher non-processing revenues due to higher volumes on organic business growth, favorable pricing and increased fees; and</w:t>
      </w:r>
    </w:p>
    <w:p>
      <w:pPr>
        <w:spacing w:after="0" w:line="74" w:lineRule="exact"/>
        <w:rPr>
          <w:rFonts w:ascii="Arial" w:cs="Arial" w:eastAsia="Arial" w:hAnsi="Arial"/>
          <w:sz w:val="17"/>
          <w:szCs w:val="17"/>
          <w:color w:val="auto"/>
        </w:rPr>
      </w:pPr>
    </w:p>
    <w:p>
      <w:pPr>
        <w:ind w:left="440" w:hanging="31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$3.1 million from the favorable impact of recycling commodity pricing on processing revenues; partially offset by</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$(0.6) million from lower processing volumes mainly driven by lower recycling commodity volumes.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change component in year-to-date Resource Solutions revenues growth of $41.0 million from the prior year period is the result of the following:</w:t>
      </w:r>
    </w:p>
    <w:p>
      <w:pPr>
        <w:spacing w:after="0" w:line="129" w:lineRule="exact"/>
        <w:rPr>
          <w:sz w:val="20"/>
          <w:szCs w:val="20"/>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$26.5 million from acquisition activity;</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$9.3 million from higher non-processing revenues due to higher volumes on organic business growth, favorable pricing and increased fees; and</w:t>
      </w:r>
    </w:p>
    <w:p>
      <w:pPr>
        <w:spacing w:after="0" w:line="74" w:lineRule="exact"/>
        <w:rPr>
          <w:rFonts w:ascii="Arial" w:cs="Arial" w:eastAsia="Arial" w:hAnsi="Arial"/>
          <w:sz w:val="17"/>
          <w:szCs w:val="17"/>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$5.4 million from the favorable impact of recycling commodity pricing on processing revenues; partially offset by</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$(0.2) million from lower processing volumes mainly driven by lower recycling commodity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cost of operations, general and administration expense, and depreciation and amortization expense (dollars in millions and as a percentage of total revenues) is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75"/>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r>
      <w:tr>
        <w:trPr>
          <w:trHeight w:val="201"/>
        </w:trPr>
        <w:tc>
          <w:tcPr>
            <w:tcW w:w="2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617"/>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77"/>
              <w:spacing w:after="0"/>
              <w:rPr>
                <w:sz w:val="20"/>
                <w:szCs w:val="20"/>
                <w:color w:val="auto"/>
              </w:rPr>
            </w:pPr>
            <w:r>
              <w:rPr>
                <w:rFonts w:ascii="Arial" w:cs="Arial" w:eastAsia="Arial" w:hAnsi="Arial"/>
                <w:sz w:val="14"/>
                <w:szCs w:val="14"/>
                <w:b w:val="1"/>
                <w:bCs w:val="1"/>
                <w:color w:val="auto"/>
                <w:w w:val="97"/>
              </w:rPr>
              <w:t>Change</w:t>
            </w:r>
          </w:p>
        </w:tc>
      </w:tr>
      <w:tr>
        <w:trPr>
          <w:trHeight w:val="224"/>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8"/>
                <w:szCs w:val="18"/>
                <w:color w:val="auto"/>
                <w:w w:val="97"/>
              </w:rPr>
              <w:t>186.0</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65.6 %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rPr>
              <w:t>138.6</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w w:val="97"/>
              </w:rPr>
              <w:t>265.7</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65.5 %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General and administration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7"/>
              <w:spacing w:after="0"/>
              <w:rPr>
                <w:sz w:val="20"/>
                <w:szCs w:val="20"/>
                <w:color w:val="auto"/>
              </w:rPr>
            </w:pPr>
            <w:r>
              <w:rPr>
                <w:rFonts w:ascii="Arial" w:cs="Arial" w:eastAsia="Arial" w:hAnsi="Arial"/>
                <w:sz w:val="18"/>
                <w:szCs w:val="18"/>
                <w:color w:val="auto"/>
              </w:rPr>
              <w:t>33.6</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11.8 %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5"/>
              <w:spacing w:after="0"/>
              <w:rPr>
                <w:sz w:val="20"/>
                <w:szCs w:val="20"/>
                <w:color w:val="auto"/>
              </w:rPr>
            </w:pPr>
            <w:r>
              <w:rPr>
                <w:rFonts w:ascii="Arial" w:cs="Arial" w:eastAsia="Arial" w:hAnsi="Arial"/>
                <w:sz w:val="18"/>
                <w:szCs w:val="18"/>
                <w:color w:val="auto"/>
              </w:rPr>
              <w:t>29.2</w:t>
            </w:r>
          </w:p>
        </w:tc>
        <w:tc>
          <w:tcPr>
            <w:tcW w:w="620" w:type="dxa"/>
            <w:vAlign w:val="bottom"/>
          </w:tcPr>
          <w:p>
            <w:pPr>
              <w:jc w:val="right"/>
              <w:spacing w:after="0"/>
              <w:rPr>
                <w:sz w:val="20"/>
                <w:szCs w:val="20"/>
                <w:color w:val="auto"/>
              </w:rPr>
            </w:pPr>
            <w:r>
              <w:rPr>
                <w:rFonts w:ascii="Arial" w:cs="Arial" w:eastAsia="Arial" w:hAnsi="Arial"/>
                <w:sz w:val="18"/>
                <w:szCs w:val="18"/>
                <w:color w:val="auto"/>
              </w:rPr>
              <w:t>13.5 %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63.4</w:t>
            </w:r>
          </w:p>
        </w:tc>
        <w:tc>
          <w:tcPr>
            <w:tcW w:w="1000" w:type="dxa"/>
            <w:vAlign w:val="bottom"/>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5"/>
              <w:spacing w:after="0"/>
              <w:rPr>
                <w:sz w:val="20"/>
                <w:szCs w:val="20"/>
                <w:color w:val="auto"/>
              </w:rPr>
            </w:pPr>
            <w:r>
              <w:rPr>
                <w:rFonts w:ascii="Arial" w:cs="Arial" w:eastAsia="Arial" w:hAnsi="Arial"/>
                <w:sz w:val="18"/>
                <w:szCs w:val="18"/>
                <w:color w:val="auto"/>
              </w:rPr>
              <w:t>56.3</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13.9 %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31.2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24.3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47.0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Cost of operations includes labor costs, tipping fees paid to third-party disposal facilities, fuel costs, maintenance and repair costs of vehicles and equipment, workers’ compensation and vehicle insurance costs, the cost of purchasing materials to be recycled,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9" w:name="page30"/>
    <w:bookmarkEnd w:id="29"/>
    <w:p>
      <w:pPr>
        <w:ind w:right="120"/>
        <w:spacing w:after="0" w:line="263" w:lineRule="auto"/>
        <w:rPr>
          <w:sz w:val="20"/>
          <w:szCs w:val="20"/>
          <w:color w:val="auto"/>
        </w:rPr>
      </w:pPr>
      <w:r>
        <w:rPr>
          <w:rFonts w:ascii="Arial" w:cs="Arial" w:eastAsia="Arial" w:hAnsi="Arial"/>
          <w:sz w:val="18"/>
          <w:szCs w:val="18"/>
          <w:color w:val="auto"/>
        </w:rPr>
        <w:t>As a percentage of revenues, cost of operations increased approximately 140 basis points and 180 basis points during the three and six months ended June 30, 2022, respectively, from the same periods of the prior year. The period-to-period changes in cost of operations can be primarily attributed to the following:</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Third-party direct costs increased $19.6 million quarterly, while increasing approximately 90 basis points as a percentage of revenues, and increased $32.3 million year-to-date, while increasing approximately 80 basis points as a percentage of revenues, due to the following:</w:t>
      </w:r>
    </w:p>
    <w:p>
      <w:pPr>
        <w:spacing w:after="0" w:line="8" w:lineRule="exact"/>
        <w:rPr>
          <w:sz w:val="20"/>
          <w:szCs w:val="20"/>
          <w:color w:val="auto"/>
        </w:rPr>
      </w:pPr>
    </w:p>
    <w:p>
      <w:pPr>
        <w:ind w:left="480" w:hanging="310"/>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primarily with:</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increased solid waste volumes on acquisition activity;</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higher fuel surcharges from third-party transporters; and</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higher non-processing volumes in our Resource Solutions operating segment; partially offset by</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lower Western region collection volumes in the quarter.</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purchased material costs associated primarily with:</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acquisition activity; and</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higher recycling commodity prices in our Resource Solutions operating segment.</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third-party disposal costs associated primarily with:</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increased solid waste volumes on acquisition activity and to a lesser extent organic business growth; and</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higher fuel surcharges from third-party transporters.</w:t>
      </w:r>
    </w:p>
    <w:p>
      <w:pPr>
        <w:spacing w:after="0" w:line="117" w:lineRule="exact"/>
        <w:rPr>
          <w:sz w:val="20"/>
          <w:szCs w:val="20"/>
          <w:color w:val="auto"/>
        </w:rPr>
      </w:pPr>
    </w:p>
    <w:p>
      <w:pPr>
        <w:ind w:right="20"/>
        <w:spacing w:after="0" w:line="298" w:lineRule="auto"/>
        <w:rPr>
          <w:sz w:val="20"/>
          <w:szCs w:val="20"/>
          <w:color w:val="auto"/>
        </w:rPr>
      </w:pPr>
      <w:r>
        <w:rPr>
          <w:rFonts w:ascii="Arial" w:cs="Arial" w:eastAsia="Arial" w:hAnsi="Arial"/>
          <w:sz w:val="17"/>
          <w:szCs w:val="17"/>
          <w:color w:val="auto"/>
        </w:rPr>
        <w:t>Direct labor costs increased $8.8 million quarterly, while increasing approximately 10 basis points as a percentage of revenues, and increased $17.3 million year-to-date, while increasing approximately 50 basis points as a percentage of revenues, due primarily to the following:</w:t>
      </w:r>
    </w:p>
    <w:p>
      <w:pPr>
        <w:spacing w:after="0" w:line="1" w:lineRule="exact"/>
        <w:rPr>
          <w:sz w:val="20"/>
          <w:szCs w:val="20"/>
          <w:color w:val="auto"/>
        </w:rPr>
      </w:pPr>
    </w:p>
    <w:p>
      <w:pPr>
        <w:ind w:left="500" w:right="260" w:hanging="330"/>
        <w:spacing w:after="0" w:line="277"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wage inflation in our markets and increased overtime and outside labor costs on higher solid waste volumes on acquisition activity and to a lesser extent organic business growth;</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non-processing volumes on acquisition activity and organic business growth;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workers compensation costs on claim activity.</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Maintenance and repair costs increased $8.2 million quarterly, while decreasing approximately (60) basis points as a percentage of revenues, and increased $15.5 million year-to-date, while decreasing approximately (30) basis points as a percentage of revenues, due primarily to higher fleet, facility and container maintenance costs associated with inflation and acquisition activity.</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Fuel costs increased $7.4 million quarterly, while increasing approximately 200 basis points as a percentage of revenues, and increased $11.8 million year-to-date, while increasing approximately 170 basis points as a percentage of revenues, due primarily to higher fuel prices and higher volumes driven by acquisition activity and to a lesser extent organic business growth.</w:t>
      </w:r>
    </w:p>
    <w:p>
      <w:pPr>
        <w:spacing w:after="0" w:line="76"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Direct operational costs increased $3.4 million quarterly, while decreasing approximately (100) basis points as a percentage of revenues, and increased $5.9 million year-to-date, while decreasing approximately (90) basis points as a percentage of revenues, due primarily to the following:</w:t>
      </w:r>
    </w:p>
    <w:p>
      <w:pPr>
        <w:spacing w:after="0" w:line="1" w:lineRule="exact"/>
        <w:rPr>
          <w:sz w:val="20"/>
          <w:szCs w:val="20"/>
          <w:color w:val="auto"/>
        </w:rPr>
      </w:pPr>
    </w:p>
    <w:p>
      <w:pPr>
        <w:ind w:left="480" w:hanging="310"/>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host community and royalty fees;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non-landfill operating lease expense; more than offset by</w:t>
      </w:r>
    </w:p>
    <w:p>
      <w:pPr>
        <w:spacing w:after="0" w:line="63" w:lineRule="exact"/>
        <w:rPr>
          <w:rFonts w:ascii="Arial" w:cs="Arial" w:eastAsia="Arial" w:hAnsi="Arial"/>
          <w:sz w:val="18"/>
          <w:szCs w:val="18"/>
          <w:color w:val="auto"/>
        </w:rPr>
      </w:pPr>
    </w:p>
    <w:p>
      <w:pPr>
        <w:ind w:left="500" w:right="460" w:hanging="330"/>
        <w:spacing w:after="0" w:line="277"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landfill operating costs in our Western region due to severe winter weather earlier in the year and construction delays compounded with higher quarterly landfill volumes;</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vehicle insurance costs;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repair and replacement part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General and administration expense includes (i) management, clerical and administrative compensation, (ii) bad debt expense, and (iii) overhead costs, professional service fees and costs associated with marketing, sales force and community relations efforts.</w:t>
      </w:r>
    </w:p>
    <w:p>
      <w:pPr>
        <w:spacing w:after="0" w:line="6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period-to-period changes in general and administration expenses of $4.4 million quarterly and $7.1 million year-to-date due primarily to increased overhead costs associated with wage inflation, organic business growth, acquisition activity, higher accrued incentive compensation on improved performance, and higher bad debt expense, partially offset by lower equity compensation costs.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using either an economic benefit provided approach or on a straight-line basis over the definitive terms of the related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w w:val="96"/>
              </w:rPr>
              <w:t>Three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97"/>
              </w:rPr>
              <w:t>Six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76"/>
              <w:spacing w:after="0"/>
              <w:rPr>
                <w:sz w:val="20"/>
                <w:szCs w:val="20"/>
                <w:color w:val="auto"/>
              </w:rPr>
            </w:pPr>
            <w:r>
              <w:rPr>
                <w:rFonts w:ascii="Arial" w:cs="Arial" w:eastAsia="Arial" w:hAnsi="Arial"/>
                <w:sz w:val="14"/>
                <w:szCs w:val="14"/>
                <w:b w:val="1"/>
                <w:bCs w:val="1"/>
                <w:color w:val="auto"/>
              </w:rPr>
              <w:t>$</w:t>
            </w:r>
          </w:p>
        </w:tc>
      </w:tr>
      <w:tr>
        <w:trPr>
          <w:trHeight w:val="201"/>
        </w:trPr>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3"/>
          </w:tcPr>
          <w:p>
            <w:pPr>
              <w:jc w:val="right"/>
              <w:ind w:right="63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Change</w:t>
            </w:r>
          </w:p>
        </w:tc>
      </w:tr>
      <w:tr>
        <w:trPr>
          <w:trHeight w:val="224"/>
        </w:trPr>
        <w:tc>
          <w:tcPr>
            <w:tcW w:w="2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Landfill amortization</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amortization</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2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11.0 %</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period-to-period increases in depreciation and other amortization expense can be primarily attributed to acquisition activity, which included $1.5 million of additional depreciation and other amortization expense related to a purchase price allocation adjustment in the quarter ended March 31, 2022, and increased investments in our fleet. Landfill amortization expense increased in the three months ended June 30, 2022, remaining slightly down year-to-date, on higher landfill volumes in our Western region.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from Acquisition Activities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the three and six months ended June 30, 2022, we recorded charges of $1.0 million and $3.1 million, respectively, and in the three and six months ended June 30, 2021, we recorded charges of $1.6 million and $2.0 million, respectively, comprised primarily of legal, consulting and other similar costs associated with due diligence and the acquisition and integration of acquired businesses or select development projects.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Our interest expense, net increased $0.4 million quarterly and $0.2 million year-to-date due primarily to rising interest rates and higher average debt balances associated with the issuance of $35.0 million aggregate principal amount of Vermont Economic Development Authority Solid Waste Disposal Long-Term Revenue Bonds Series 2022A-1 ("Vermont Bonds 2022A-1").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provision for income taxes increased $3.1 million quarterly and $1.7 million year-to-date as compared to the same periods in the prior year, primarily due to higher income from operations between the periods, and one-time adjustments for the tax benefit on equity compensation awards between the periods and for a decrease in the current period in our state deferred tax asset from a change in state law in our footprint. The provision for income taxes in the six months ended June 30, 2022 included $2.4 million of current income taxes and $7.1 million of deferred income taxes. For the six months ended June 30, 2021, the provision included a $0.8 million of current income taxes and $7.1 million of deferred income taxes. The effective rate for the six months ended June 30, 2022 was 31% before the one-time adjustments, and was computed based on the statutory rate of 21% adjusted primarily for state taxes and nondeductible officer compensation.</w:t>
      </w:r>
    </w:p>
    <w:p>
      <w:pPr>
        <w:spacing w:after="0" w:line="6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On December 22, 2017, the Tax Cuts and Jobs Act (the “TCJ Act”) was enacted. The TCJ Act significantly changed U.S. corporate income tax laws by, among other things, changing carryforward rules for net operating losses. Our $52.4 million in federal net operating loss carryforwards generated as of the end of 2017 continue to be carried forward for 20 years and are expected to be available to fully offset taxable income earned in the fiscal year ending December 31, 2022 ("fiscal year 2022") and future tax years. Federal net operating losses generated after 2017, totaling $46.5 million carried forward to fiscal year 2022, will be carried forward indefinitely, but generally may only offset up to 80% of taxable income earned in a tax year.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operating segment (in millions)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8"/>
        </w:trPr>
        <w:tc>
          <w:tcPr>
            <w:tcW w:w="4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41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416"/>
              <w:spacing w:after="0"/>
              <w:rPr>
                <w:sz w:val="20"/>
                <w:szCs w:val="20"/>
                <w:color w:val="auto"/>
              </w:rPr>
            </w:pPr>
            <w:r>
              <w:rPr>
                <w:rFonts w:ascii="Arial" w:cs="Arial" w:eastAsia="Arial" w:hAnsi="Arial"/>
                <w:sz w:val="14"/>
                <w:szCs w:val="14"/>
                <w:b w:val="1"/>
                <w:bCs w:val="1"/>
                <w:color w:val="auto"/>
              </w:rPr>
              <w:t>$</w:t>
            </w:r>
          </w:p>
        </w:tc>
      </w:tr>
      <w:tr>
        <w:trPr>
          <w:trHeight w:val="196"/>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7"/>
                <w:szCs w:val="17"/>
                <w:color w:val="auto"/>
              </w:rPr>
            </w:pPr>
          </w:p>
        </w:tc>
        <w:tc>
          <w:tcPr>
            <w:tcW w:w="840" w:type="dxa"/>
            <w:vAlign w:val="bottom"/>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2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Western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r>
      <w:tr>
        <w:trPr>
          <w:trHeight w:val="21"/>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2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Period-to-Period Change for the Three Months</w:t>
            </w:r>
          </w:p>
        </w:tc>
        <w:tc>
          <w:tcPr>
            <w:tcW w:w="180" w:type="dxa"/>
            <w:vAlign w:val="bottom"/>
          </w:tcPr>
          <w:p>
            <w:pPr>
              <w:spacing w:after="0"/>
              <w:rPr>
                <w:sz w:val="14"/>
                <w:szCs w:val="14"/>
                <w:color w:val="auto"/>
              </w:rPr>
            </w:pPr>
          </w:p>
        </w:tc>
        <w:tc>
          <w:tcPr>
            <w:tcW w:w="3000" w:type="dxa"/>
            <w:vAlign w:val="bottom"/>
            <w:gridSpan w:val="3"/>
          </w:tcPr>
          <w:p>
            <w:pPr>
              <w:jc w:val="right"/>
              <w:ind w:right="133"/>
              <w:spacing w:after="0"/>
              <w:rPr>
                <w:sz w:val="20"/>
                <w:szCs w:val="20"/>
                <w:color w:val="auto"/>
              </w:rPr>
            </w:pPr>
            <w:r>
              <w:rPr>
                <w:rFonts w:ascii="Arial" w:cs="Arial" w:eastAsia="Arial" w:hAnsi="Arial"/>
                <w:sz w:val="14"/>
                <w:szCs w:val="14"/>
                <w:b w:val="1"/>
                <w:bCs w:val="1"/>
                <w:color w:val="auto"/>
                <w:w w:val="94"/>
              </w:rPr>
              <w:t>Period-to-Period Change for the Six Months</w:t>
            </w:r>
          </w:p>
        </w:tc>
      </w:tr>
      <w:tr>
        <w:trPr>
          <w:trHeight w:val="188"/>
        </w:trPr>
        <w:tc>
          <w:tcPr>
            <w:tcW w:w="4780" w:type="dxa"/>
            <w:vAlign w:val="bottom"/>
          </w:tcPr>
          <w:p>
            <w:pPr>
              <w:spacing w:after="0"/>
              <w:rPr>
                <w:sz w:val="16"/>
                <w:szCs w:val="16"/>
                <w:color w:val="auto"/>
              </w:rPr>
            </w:pPr>
          </w:p>
        </w:tc>
        <w:tc>
          <w:tcPr>
            <w:tcW w:w="3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Ended June 30, 2022 vs. 2021</w:t>
            </w:r>
          </w:p>
        </w:tc>
        <w:tc>
          <w:tcPr>
            <w:tcW w:w="180" w:type="dxa"/>
            <w:vAlign w:val="bottom"/>
          </w:tcPr>
          <w:p>
            <w:pPr>
              <w:spacing w:after="0"/>
              <w:rPr>
                <w:sz w:val="16"/>
                <w:szCs w:val="16"/>
                <w:color w:val="auto"/>
              </w:rPr>
            </w:pPr>
          </w:p>
        </w:tc>
        <w:tc>
          <w:tcPr>
            <w:tcW w:w="3000" w:type="dxa"/>
            <w:vAlign w:val="bottom"/>
            <w:gridSpan w:val="3"/>
          </w:tcPr>
          <w:p>
            <w:pPr>
              <w:jc w:val="right"/>
              <w:ind w:right="593"/>
              <w:spacing w:after="0"/>
              <w:rPr>
                <w:sz w:val="20"/>
                <w:szCs w:val="20"/>
                <w:color w:val="auto"/>
              </w:rPr>
            </w:pPr>
            <w:r>
              <w:rPr>
                <w:rFonts w:ascii="Arial" w:cs="Arial" w:eastAsia="Arial" w:hAnsi="Arial"/>
                <w:sz w:val="14"/>
                <w:szCs w:val="14"/>
                <w:b w:val="1"/>
                <w:bCs w:val="1"/>
                <w:color w:val="auto"/>
              </w:rPr>
              <w:t>Ended June 30, 2022 vs. 2021</w:t>
            </w:r>
          </w:p>
        </w:tc>
      </w:tr>
      <w:tr>
        <w:trPr>
          <w:trHeight w:val="183"/>
        </w:trPr>
        <w:tc>
          <w:tcPr>
            <w:tcW w:w="478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Growth</w:t>
            </w: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Acquisitions</w:t>
            </w: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15.5</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26.2 %</w:t>
            </w:r>
          </w:p>
        </w:tc>
      </w:tr>
      <w:tr>
        <w:trPr>
          <w:trHeight w:val="248"/>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Solid waste revenues</w:t>
            </w:r>
          </w:p>
        </w:tc>
        <w:tc>
          <w:tcPr>
            <w:tcW w:w="104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$3.5 million from favorable collection pricing; and</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$1.3 million from favorable disposal pricing related to transfer stations and to a lesser extent landfills.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year-to-date solid waste revenues growth from the prior year period is the result of the following:</w:t>
      </w:r>
    </w:p>
    <w:p>
      <w:pPr>
        <w:spacing w:after="0" w:line="117" w:lineRule="exact"/>
        <w:rPr>
          <w:sz w:val="20"/>
          <w:szCs w:val="20"/>
          <w:color w:val="auto"/>
        </w:rPr>
      </w:pPr>
    </w:p>
    <w:p>
      <w:pPr>
        <w:ind w:left="480" w:hanging="310"/>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$6.3 million from favorable collection pricing; and</w:t>
      </w:r>
    </w:p>
    <w:p>
      <w:pPr>
        <w:spacing w:after="0" w:line="117" w:lineRule="exact"/>
        <w:rPr>
          <w:rFonts w:ascii="Arial" w:cs="Arial" w:eastAsia="Arial" w:hAnsi="Arial"/>
          <w:sz w:val="18"/>
          <w:szCs w:val="18"/>
          <w:color w:val="auto"/>
        </w:rPr>
      </w:pPr>
    </w:p>
    <w:p>
      <w:pPr>
        <w:ind w:right="3420" w:firstLine="170"/>
        <w:spacing w:after="0" w:line="375" w:lineRule="auto"/>
        <w:tabs>
          <w:tab w:leader="none" w:pos="481" w:val="left"/>
        </w:tabs>
        <w:numPr>
          <w:ilvl w:val="0"/>
          <w:numId w:val="20"/>
        </w:numPr>
        <w:rPr>
          <w:rFonts w:ascii="Arial" w:cs="Arial" w:eastAsia="Arial" w:hAnsi="Arial"/>
          <w:sz w:val="18"/>
          <w:szCs w:val="18"/>
          <w:color w:val="auto"/>
        </w:rPr>
      </w:pPr>
      <w:r>
        <w:rPr>
          <w:rFonts w:ascii="Arial" w:cs="Arial" w:eastAsia="Arial" w:hAnsi="Arial"/>
          <w:sz w:val="18"/>
          <w:szCs w:val="18"/>
          <w:color w:val="auto"/>
        </w:rPr>
        <w:t>$2.0 million from favorable disposal pricing related to transfer stations and to a lesser extent landfills. Volume.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quarterly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$1.1 million from higher disposal volumes related to transfer stations and to a lesser extent landfills;</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$0.8 million from higher collection volumes as a result of organic business growth; and</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$0.2 million from higher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year-to-date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$1.3 million from higher disposal volumes related to transfer stations, partially offset by lower landfill volumes;</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$1.4 million from higher collection volumes as a result of organic business growth; and</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$0.1 million from higher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23"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The surcharges and other fees change components in quarterly and year-to-date solid waste revenues growth from the prior year periods are the result of higher energy fee revenues on higher diesel fuel prices, partially offset by lower SRA Fees on higher recycled commodity prices.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acquisitions change components in quarterly and year-to-date solid waste revenues growth from the prior year periods are the result of increased acquisition activity in line with our growth strategy, including the timing and acquisition of two businesses in the six months ended June 30, 2022 and five businesses in the fiscal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2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Period-to-Period Change for the Three Months</w:t>
            </w:r>
          </w:p>
        </w:tc>
        <w:tc>
          <w:tcPr>
            <w:tcW w:w="180" w:type="dxa"/>
            <w:vAlign w:val="bottom"/>
          </w:tcPr>
          <w:p>
            <w:pPr>
              <w:spacing w:after="0"/>
              <w:rPr>
                <w:sz w:val="14"/>
                <w:szCs w:val="14"/>
                <w:color w:val="auto"/>
              </w:rPr>
            </w:pPr>
          </w:p>
        </w:tc>
        <w:tc>
          <w:tcPr>
            <w:tcW w:w="3000" w:type="dxa"/>
            <w:vAlign w:val="bottom"/>
            <w:gridSpan w:val="3"/>
          </w:tcPr>
          <w:p>
            <w:pPr>
              <w:jc w:val="right"/>
              <w:ind w:right="133"/>
              <w:spacing w:after="0"/>
              <w:rPr>
                <w:sz w:val="20"/>
                <w:szCs w:val="20"/>
                <w:color w:val="auto"/>
              </w:rPr>
            </w:pPr>
            <w:r>
              <w:rPr>
                <w:rFonts w:ascii="Arial" w:cs="Arial" w:eastAsia="Arial" w:hAnsi="Arial"/>
                <w:sz w:val="14"/>
                <w:szCs w:val="14"/>
                <w:b w:val="1"/>
                <w:bCs w:val="1"/>
                <w:color w:val="auto"/>
                <w:w w:val="94"/>
              </w:rPr>
              <w:t>Period-to-Period Change for the Six Months</w:t>
            </w:r>
          </w:p>
        </w:tc>
      </w:tr>
      <w:tr>
        <w:trPr>
          <w:trHeight w:val="188"/>
        </w:trPr>
        <w:tc>
          <w:tcPr>
            <w:tcW w:w="4780" w:type="dxa"/>
            <w:vAlign w:val="bottom"/>
          </w:tcPr>
          <w:p>
            <w:pPr>
              <w:spacing w:after="0"/>
              <w:rPr>
                <w:sz w:val="16"/>
                <w:szCs w:val="16"/>
                <w:color w:val="auto"/>
              </w:rPr>
            </w:pPr>
          </w:p>
        </w:tc>
        <w:tc>
          <w:tcPr>
            <w:tcW w:w="3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Ended June 30, 2022 vs. 2021</w:t>
            </w:r>
          </w:p>
        </w:tc>
        <w:tc>
          <w:tcPr>
            <w:tcW w:w="180" w:type="dxa"/>
            <w:vAlign w:val="bottom"/>
          </w:tcPr>
          <w:p>
            <w:pPr>
              <w:spacing w:after="0"/>
              <w:rPr>
                <w:sz w:val="16"/>
                <w:szCs w:val="16"/>
                <w:color w:val="auto"/>
              </w:rPr>
            </w:pPr>
          </w:p>
        </w:tc>
        <w:tc>
          <w:tcPr>
            <w:tcW w:w="3000" w:type="dxa"/>
            <w:vAlign w:val="bottom"/>
            <w:gridSpan w:val="3"/>
          </w:tcPr>
          <w:p>
            <w:pPr>
              <w:jc w:val="right"/>
              <w:ind w:right="593"/>
              <w:spacing w:after="0"/>
              <w:rPr>
                <w:sz w:val="20"/>
                <w:szCs w:val="20"/>
                <w:color w:val="auto"/>
              </w:rPr>
            </w:pPr>
            <w:r>
              <w:rPr>
                <w:rFonts w:ascii="Arial" w:cs="Arial" w:eastAsia="Arial" w:hAnsi="Arial"/>
                <w:sz w:val="14"/>
                <w:szCs w:val="14"/>
                <w:b w:val="1"/>
                <w:bCs w:val="1"/>
                <w:color w:val="auto"/>
              </w:rPr>
              <w:t>Ended June 30, 2022 vs. 2021</w:t>
            </w:r>
          </w:p>
        </w:tc>
      </w:tr>
      <w:tr>
        <w:trPr>
          <w:trHeight w:val="183"/>
        </w:trPr>
        <w:tc>
          <w:tcPr>
            <w:tcW w:w="478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Growth</w:t>
            </w: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Solid waste revenues</w:t>
            </w:r>
          </w:p>
        </w:tc>
        <w:tc>
          <w:tcPr>
            <w:tcW w:w="1040" w:type="dxa"/>
            <w:vAlign w:val="bottom"/>
            <w:tcBorders>
              <w:bottom w:val="single" w:sz="8" w:color="auto"/>
            </w:tcBorders>
          </w:tcPr>
          <w:p>
            <w:pPr>
              <w:jc w:val="right"/>
              <w:ind w:right="84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16.0</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14.1 %</w:t>
            </w:r>
          </w:p>
        </w:tc>
      </w:tr>
      <w:tr>
        <w:trPr>
          <w:trHeight w:val="21"/>
        </w:trPr>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$4.8 million from favorable collection pricing; and</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 million from favorable disposal pricing related to landfills, transfer stations, and to a lesser extent transportation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year-to-date solid waste revenues growth from the prior year period is the result of the following:</w:t>
      </w:r>
    </w:p>
    <w:p>
      <w:pPr>
        <w:spacing w:after="0" w:line="63" w:lineRule="exact"/>
        <w:rPr>
          <w:sz w:val="20"/>
          <w:szCs w:val="20"/>
          <w:color w:val="auto"/>
        </w:rPr>
      </w:pPr>
    </w:p>
    <w:p>
      <w:pPr>
        <w:ind w:left="480" w:hanging="310"/>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$8.3 million from favorable collection pricing;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$2.3 million from favorable disposal pricing related to landfills, transfer stations, and to a lesser extent transportation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volume change components in quarterly and year-to-date solid waste revenues growth from the prior year periods are the result of the following:</w:t>
      </w:r>
    </w:p>
    <w:p>
      <w:pPr>
        <w:spacing w:after="0" w:line="75" w:lineRule="exact"/>
        <w:rPr>
          <w:sz w:val="20"/>
          <w:szCs w:val="20"/>
          <w:color w:val="auto"/>
        </w:rPr>
      </w:pPr>
    </w:p>
    <w:p>
      <w:pPr>
        <w:ind w:left="480" w:hanging="310"/>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 million from higher disposal volumes related to landfills, transfer stations, and transportation services; partially offset by</w:t>
      </w:r>
    </w:p>
    <w:p>
      <w:pPr>
        <w:spacing w:after="0" w:line="63" w:lineRule="exact"/>
        <w:rPr>
          <w:rFonts w:ascii="Arial" w:cs="Arial" w:eastAsia="Arial" w:hAnsi="Arial"/>
          <w:sz w:val="18"/>
          <w:szCs w:val="18"/>
          <w:color w:val="auto"/>
        </w:rPr>
      </w:pPr>
    </w:p>
    <w:p>
      <w:pPr>
        <w:ind w:left="500" w:right="480" w:hanging="330"/>
        <w:spacing w:after="0" w:line="277" w:lineRule="auto"/>
        <w:tabs>
          <w:tab w:leader="none" w:pos="4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$(1.6) million from lower collection volumes with higher customer churn due to higher pricing, implementation of the E&amp;E Fee, and customer deselection.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surcharges and other fees change components in quarterly and year-to-date solid waste revenues growth from the prior year periods are the result of higher energy fee revenues on higher diesel fuel prices, partially offset by lower SRA Fees year-to-date on higher recycled commodity prices.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commodity price and volume change components in quarterly and year-to-date solid waste revenues growth from the prior year periods are primarily the result of favorable landfill gas-to-energy pricing.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acquisitions change components in quarterly and year-to-date solid waste revenues growth from the prior year periods is the result of increased acquisition activity in line with our growth strategy, including the timing and acquisition of five businesses in the six months ended June 30, 2022 and five businesses in the fiscal year ended December 31,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 (in millions)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0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8"/>
        </w:trPr>
        <w:tc>
          <w:tcPr>
            <w:tcW w:w="4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1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435"/>
              <w:spacing w:after="0"/>
              <w:rPr>
                <w:sz w:val="20"/>
                <w:szCs w:val="20"/>
                <w:color w:val="auto"/>
              </w:rPr>
            </w:pPr>
            <w:r>
              <w:rPr>
                <w:rFonts w:ascii="Arial" w:cs="Arial" w:eastAsia="Arial" w:hAnsi="Arial"/>
                <w:sz w:val="14"/>
                <w:szCs w:val="14"/>
                <w:b w:val="1"/>
                <w:bCs w:val="1"/>
                <w:color w:val="auto"/>
              </w:rPr>
              <w:t>$</w:t>
            </w:r>
          </w:p>
        </w:tc>
      </w:tr>
      <w:tr>
        <w:trPr>
          <w:trHeight w:val="196"/>
        </w:trPr>
        <w:tc>
          <w:tcPr>
            <w:tcW w:w="4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Change</w:t>
            </w: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7"/>
              </w:rPr>
              <w:t>(2.1)</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Western</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19.9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14.9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center"/>
              <w:ind w:left="435"/>
              <w:spacing w:after="0"/>
              <w:rPr>
                <w:sz w:val="20"/>
                <w:szCs w:val="20"/>
                <w:color w:val="auto"/>
              </w:rPr>
            </w:pPr>
            <w:r>
              <w:rPr>
                <w:rFonts w:ascii="Arial" w:cs="Arial" w:eastAsia="Arial" w:hAnsi="Arial"/>
                <w:sz w:val="18"/>
                <w:szCs w:val="18"/>
                <w:color w:val="auto"/>
                <w:w w:val="87"/>
              </w:rPr>
              <w:t>6.5</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87"/>
              </w:rPr>
              <w:t>3.8</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Corporate entities</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7"/>
              </w:rPr>
              <w:t>(0.5)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7"/>
              </w:rPr>
              <w:t>(0.5)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center"/>
              <w:ind w:left="415"/>
              <w:spacing w:after="0"/>
              <w:rPr>
                <w:sz w:val="20"/>
                <w:szCs w:val="20"/>
                <w:color w:val="auto"/>
              </w:rPr>
            </w:pPr>
            <w:r>
              <w:rPr>
                <w:rFonts w:ascii="Arial" w:cs="Arial" w:eastAsia="Arial" w:hAnsi="Arial"/>
                <w:sz w:val="18"/>
                <w:szCs w:val="18"/>
                <w:color w:val="auto"/>
                <w:w w:val="97"/>
              </w:rPr>
              <w:t>(0.3)</w:t>
            </w:r>
          </w:p>
        </w:tc>
      </w:tr>
      <w:tr>
        <w:trPr>
          <w:trHeight w:val="248"/>
        </w:trPr>
        <w:tc>
          <w:tcPr>
            <w:tcW w:w="41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700" w:type="dxa"/>
            <w:vAlign w:val="bottom"/>
            <w:tcBorders>
              <w:top w:val="single" w:sz="8" w:color="auto"/>
              <w:bottom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center"/>
              <w:ind w:left="435"/>
              <w:spacing w:after="0"/>
              <w:rPr>
                <w:sz w:val="20"/>
                <w:szCs w:val="20"/>
                <w:color w:val="auto"/>
              </w:rPr>
            </w:pPr>
            <w:r>
              <w:rPr>
                <w:rFonts w:ascii="Arial" w:cs="Arial" w:eastAsia="Arial" w:hAnsi="Arial"/>
                <w:sz w:val="18"/>
                <w:szCs w:val="18"/>
                <w:color w:val="auto"/>
                <w:w w:val="87"/>
              </w:rPr>
              <w:t>7.9</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Operating income increased $2.3 million quarterly and decreased $(2.1) million year-to-date from the prior year periods. Excluding the impact of the Southbridge Landfill closure charge and the expense from acquisition activities, our operating performance in the three and six months ended June 30, 2022 was driven by revenue growth, inclusive of inter-company revenues, and the following cost changes.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operations</w:t>
      </w:r>
      <w:r>
        <w:rPr>
          <w:rFonts w:ascii="Arial" w:cs="Arial" w:eastAsia="Arial" w:hAnsi="Arial"/>
          <w:sz w:val="16"/>
          <w:szCs w:val="16"/>
          <w:color w:val="auto"/>
        </w:rPr>
        <w:t>: Cost of operations increased $24.3 million quarterly and $44.7 million year-to-date from the prior year periods due to the following:</w:t>
      </w:r>
    </w:p>
    <w:p>
      <w:pPr>
        <w:spacing w:after="0" w:line="86" w:lineRule="exact"/>
        <w:rPr>
          <w:sz w:val="20"/>
          <w:szCs w:val="20"/>
          <w:color w:val="auto"/>
        </w:rPr>
      </w:pPr>
    </w:p>
    <w:p>
      <w:pPr>
        <w:ind w:left="500" w:right="40" w:hanging="330"/>
        <w:spacing w:after="0" w:line="277"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third-party disposal costs and higher hauling and third-party transportation costs associated with increased solid waste volumes on acquisition activity and to a lesser extent organic business growth, and higher fuel surcharges from third-party transporters;</w:t>
      </w:r>
    </w:p>
    <w:p>
      <w:pPr>
        <w:spacing w:after="0" w:line="8" w:lineRule="exact"/>
        <w:rPr>
          <w:rFonts w:ascii="Arial" w:cs="Arial" w:eastAsia="Arial" w:hAnsi="Arial"/>
          <w:sz w:val="18"/>
          <w:szCs w:val="18"/>
          <w:color w:val="auto"/>
        </w:rPr>
      </w:pPr>
    </w:p>
    <w:p>
      <w:pPr>
        <w:jc w:val="both"/>
        <w:ind w:left="500" w:right="760" w:hanging="330"/>
        <w:spacing w:after="0" w:line="263"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labor and related benefit costs due primarily to wage inflation in our markets and increased overtime on higher solid waste volumes associated primarily with acquisition activity and to a lesser extent organic business growth, higher outside labor costs, and higher workers compensation costs on claim activity;</w:t>
      </w:r>
    </w:p>
    <w:p>
      <w:pPr>
        <w:spacing w:after="0" w:line="21" w:lineRule="exact"/>
        <w:rPr>
          <w:rFonts w:ascii="Arial" w:cs="Arial" w:eastAsia="Arial" w:hAnsi="Arial"/>
          <w:sz w:val="18"/>
          <w:szCs w:val="18"/>
          <w:color w:val="auto"/>
        </w:rPr>
      </w:pPr>
    </w:p>
    <w:p>
      <w:pPr>
        <w:ind w:left="500" w:right="160" w:hanging="330"/>
        <w:spacing w:after="0" w:line="277"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maintenance and repair costs due primarily to higher fleet, facility and container maintenance costs associated with inflation and acquisition activity;</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higher fuel costs due to higher fuel prices and higher volumes driven by acquisition activity and to a lesser extent an organic business growth; and</w:t>
      </w:r>
    </w:p>
    <w:p>
      <w:pPr>
        <w:spacing w:after="0" w:line="86" w:lineRule="exact"/>
        <w:rPr>
          <w:rFonts w:ascii="Arial" w:cs="Arial" w:eastAsia="Arial" w:hAnsi="Arial"/>
          <w:sz w:val="16"/>
          <w:szCs w:val="16"/>
          <w:color w:val="auto"/>
        </w:rPr>
      </w:pPr>
    </w:p>
    <w:p>
      <w:pPr>
        <w:ind w:left="480" w:hanging="310"/>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direct operational costs due to increased vehicle insurance costs and higher repair and replacement part costs.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General and administration</w:t>
      </w:r>
      <w:r>
        <w:rPr>
          <w:rFonts w:ascii="Arial" w:cs="Arial" w:eastAsia="Arial" w:hAnsi="Arial"/>
          <w:sz w:val="17"/>
          <w:szCs w:val="17"/>
          <w:color w:val="auto"/>
        </w:rPr>
        <w:t>: General and administration expense increased $2.5 million quarterly and $4.2 million year-to-date from the prior year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increased overhead costs associated with wage inflation, organic business growth, acquisition activity, higher accrued incentive compensation on improved performance, and higher bad debt expense, partially offset by lower equity compensation costs.</w:t>
      </w:r>
    </w:p>
    <w:p>
      <w:pPr>
        <w:spacing w:after="0" w:line="5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$4.2 million quarterly and $9.0 million year-to-date from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due primarily to acquisition activity, which included additional depreciation and other amortization expense related to a purchase price allocation adjustment in the quarter ended March 31, 2022, and increased investment in our fleet.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Operating income increased $5.0 million quarterly and $6.5 million year-to-date from the prior year periods. Excluding the impact of the expense from acquisition activities, our improved operating performance in the three and six months ended June 30, 2022 was driven by revenue growth, inclusive of inter-company revenues, more than offsetting the following cost changes.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$15.1 million quarterly and $25.9 million year-to-date from the prior year periods due to:</w:t>
      </w:r>
    </w:p>
    <w:p>
      <w:pPr>
        <w:spacing w:after="0" w:line="117" w:lineRule="exact"/>
        <w:rPr>
          <w:sz w:val="20"/>
          <w:szCs w:val="20"/>
          <w:color w:val="auto"/>
        </w:rPr>
      </w:pPr>
    </w:p>
    <w:p>
      <w:pPr>
        <w:ind w:left="460" w:right="80" w:hanging="331"/>
        <w:spacing w:after="0" w:line="298" w:lineRule="auto"/>
        <w:tabs>
          <w:tab w:leader="none" w:pos="4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higher third-party disposal costs and higher hauling and third-party transportation costs associated with increased solid waste volumes on acquisition activity, partially offset by lower collection volumes in the quarter and higher fuel surcharges from third-party transporters;</w:t>
      </w:r>
    </w:p>
    <w:p>
      <w:pPr>
        <w:ind w:left="460" w:right="20" w:hanging="331"/>
        <w:spacing w:after="0" w:line="277" w:lineRule="auto"/>
        <w:tabs>
          <w:tab w:leader="none" w:pos="4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labor and related benefit costs due primarily to wage inflation in our markets and increased overtime on higher solid waste volumes associated with acquisition activity and higher workers compensation costs on claim activity;</w:t>
      </w:r>
    </w:p>
    <w:p>
      <w:pPr>
        <w:spacing w:after="0" w:line="8" w:lineRule="exact"/>
        <w:rPr>
          <w:rFonts w:ascii="Arial" w:cs="Arial" w:eastAsia="Arial" w:hAnsi="Arial"/>
          <w:sz w:val="18"/>
          <w:szCs w:val="18"/>
          <w:color w:val="auto"/>
        </w:rPr>
      </w:pPr>
    </w:p>
    <w:p>
      <w:pPr>
        <w:ind w:left="440" w:hanging="311"/>
        <w:spacing w:after="0"/>
        <w:tabs>
          <w:tab w:leader="none" w:pos="4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higher maintenance and repair costs due primarily to higher fleet and facility maintenance costs associated with inflation and acquisition activity;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ind w:left="440" w:hanging="311"/>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fuel costs due to higher fuel prices and higher volumes driven by acquisition activity; and</w:t>
      </w:r>
    </w:p>
    <w:p>
      <w:pPr>
        <w:spacing w:after="0" w:line="63" w:lineRule="exact"/>
        <w:rPr>
          <w:rFonts w:ascii="Arial" w:cs="Arial" w:eastAsia="Arial" w:hAnsi="Arial"/>
          <w:sz w:val="18"/>
          <w:szCs w:val="18"/>
          <w:color w:val="auto"/>
        </w:rPr>
      </w:pPr>
    </w:p>
    <w:p>
      <w:pPr>
        <w:ind w:left="460" w:right="140" w:hanging="331"/>
        <w:spacing w:after="0" w:line="263" w:lineRule="auto"/>
        <w:tabs>
          <w:tab w:leader="none" w:pos="4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direct operational costs due to higher landfill operating costs due to severe winter weather earlier in the year and construction delays compounded with higher quarterly landfill volumes, higher vehicle insurance costs, and higher repair and replacement part costs, partially offset by lower host community and royalty fees.</w:t>
      </w:r>
    </w:p>
    <w:p>
      <w:pPr>
        <w:spacing w:after="0" w:line="7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General and administration</w:t>
      </w:r>
      <w:r>
        <w:rPr>
          <w:rFonts w:ascii="Arial" w:cs="Arial" w:eastAsia="Arial" w:hAnsi="Arial"/>
          <w:sz w:val="17"/>
          <w:szCs w:val="17"/>
          <w:color w:val="auto"/>
        </w:rPr>
        <w:t>: General and administration expense increased $0.4 million quarterly and $0.7 million year-to-date from the prior year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increased overhead costs associated with wage inflation, organic business growth, acquisition activity, higher accrued incentive compensation on improved performance, and higher bad debt expense, partially offset by lower equity compensation costs.</w:t>
      </w:r>
    </w:p>
    <w:p>
      <w:pPr>
        <w:spacing w:after="0" w:line="5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$0.8 million quarterly and $1.5 million year-to-date from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primarily due to increased investments in our fleet and acquisition activity. Landfill amortization expense increased in the quarter, remaining slightly down year-to-date, on higher landfill volumes.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Solutions</w:t>
      </w:r>
    </w:p>
    <w:p>
      <w:pPr>
        <w:spacing w:after="0" w:line="11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Operating income increased $2.5 million quarterly and $3.8 million year-to-date from the prior year periods. Excluding the impact of the expense from acquisition activities, our improved operating performance in the three and six months ended June 30, 2022 was driven by revenue growth, inclusive of inter-company revenues, more than offsetting the following cost changes.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$19.3 million quarterly and $30.6 million year-to-date from the prior year periods due to:</w:t>
      </w:r>
    </w:p>
    <w:p>
      <w:pPr>
        <w:spacing w:after="0" w:line="63" w:lineRule="exact"/>
        <w:rPr>
          <w:sz w:val="20"/>
          <w:szCs w:val="20"/>
          <w:color w:val="auto"/>
        </w:rPr>
      </w:pPr>
    </w:p>
    <w:p>
      <w:pPr>
        <w:ind w:left="440" w:hanging="311"/>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purchased material costs associated with acquisition activity and higher recycling commodity prices;</w:t>
      </w:r>
    </w:p>
    <w:p>
      <w:pPr>
        <w:spacing w:after="0" w:line="63" w:lineRule="exact"/>
        <w:rPr>
          <w:rFonts w:ascii="Arial" w:cs="Arial" w:eastAsia="Arial" w:hAnsi="Arial"/>
          <w:sz w:val="18"/>
          <w:szCs w:val="18"/>
          <w:color w:val="auto"/>
        </w:rPr>
      </w:pPr>
    </w:p>
    <w:p>
      <w:pPr>
        <w:ind w:left="460" w:right="180" w:hanging="331"/>
        <w:spacing w:after="0" w:line="277" w:lineRule="auto"/>
        <w:tabs>
          <w:tab w:leader="none" w:pos="4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primarily with higher non-processing volumes and higher fuel surcharges from third-party transporters;</w:t>
      </w:r>
    </w:p>
    <w:p>
      <w:pPr>
        <w:spacing w:after="0" w:line="8" w:lineRule="exact"/>
        <w:rPr>
          <w:rFonts w:ascii="Arial" w:cs="Arial" w:eastAsia="Arial" w:hAnsi="Arial"/>
          <w:sz w:val="18"/>
          <w:szCs w:val="18"/>
          <w:color w:val="auto"/>
        </w:rPr>
      </w:pPr>
    </w:p>
    <w:p>
      <w:pPr>
        <w:ind w:left="460" w:right="580" w:hanging="331"/>
        <w:spacing w:after="0" w:line="298" w:lineRule="auto"/>
        <w:tabs>
          <w:tab w:leader="none" w:pos="4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higher labor and related benefit costs due primarily to wage inflation in our markets and increased overtime and outside labor costs on higher commodity and non-processing volumes associated with acquisition activity and to a lesser extent organic business growth; and</w:t>
      </w:r>
    </w:p>
    <w:p>
      <w:pPr>
        <w:ind w:left="460" w:hanging="331"/>
        <w:spacing w:after="0" w:line="277" w:lineRule="auto"/>
        <w:tabs>
          <w:tab w:leader="none" w:pos="4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maintenance and repair costs due primarily to higher facility and container maintenance costs and to a lesser extent vehicle maintenance costs, associated with inflation, acquisition activity, and organic business growth.</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$1.5 million quarterly and $1.8 million year-to-date from the prior year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increased overhead costs associated with wage inflation, organic business growth, acquisition activity and higher quarterly bad debt expense, partially offset by lower equity compensation costs.</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$1.6 million quarterly and $2.8 million year-to-date from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due to acquisition activity, which included additional depreciation and other amortization expense related to a purchase price allocation adjustment in the quarter ended March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continually monitor our actual and forecasted cash flows, our liquidity, and our capital requirements in order to properly manage our liquidity needs as we move forward based on the capital intensive nature of our business and our growth acquisition strategy. We have $271.8 million of undrawn capacity from our $300.0 million Revolving Credit Facility as of June 30, 2022 to help meet our short-term and long-term liquidity needs. We expect existing cash, cash equivalents and restricted cash combined with cash flows from operations and financing activities to continue to be sufficient to fund our operating activities and cash commitments for investing and financing activities for at least the next 12 months and thereafter for the foreseeable future. Our known current- and long-term uses of cash include, among other possible demands: (1) capital expenditures and leases, (2) acquisitions, (3) repayments to service debt and other long-term obligations, and (4) payments for final capping, closure and post-closure asset retirement obligations and environmental remediation liabilities.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 summary of cash and cash equivalents, restricted assets and debt balances, excluding any debt issuance costs (in millions)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Restricted assets: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360"/>
              <w:spacing w:after="0" w:line="202" w:lineRule="exact"/>
              <w:rPr>
                <w:sz w:val="20"/>
                <w:szCs w:val="20"/>
                <w:color w:val="auto"/>
              </w:rPr>
            </w:pPr>
            <w:r>
              <w:rPr>
                <w:rFonts w:ascii="Arial" w:cs="Arial" w:eastAsia="Arial" w:hAnsi="Arial"/>
                <w:sz w:val="18"/>
                <w:szCs w:val="18"/>
                <w:color w:val="auto"/>
              </w:rPr>
              <w:t>Restricted investment securities - landfill closure</w:t>
            </w: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Debt:</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Current portion</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portion</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1"/>
        </w:trPr>
        <w:tc>
          <w:tcPr>
            <w:tcW w:w="6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Summary of Cash Flow Activity</w:t>
            </w: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7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tcPr>
          <w:p>
            <w:pPr>
              <w:spacing w:after="0"/>
              <w:rPr>
                <w:sz w:val="20"/>
                <w:szCs w:val="20"/>
                <w:color w:val="auto"/>
              </w:rPr>
            </w:pPr>
            <w:r>
              <w:rPr>
                <w:rFonts w:ascii="Arial" w:cs="Arial" w:eastAsia="Arial" w:hAnsi="Arial"/>
                <w:sz w:val="18"/>
                <w:szCs w:val="18"/>
                <w:color w:val="auto"/>
              </w:rPr>
              <w:t>A summary of cash flows (in millions) follows:</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5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(110.6)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expense from acquisition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assets and liabilities,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 summary of the most significant items affecting the change in our operating cash flows follows: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Net cash provided by operating activities increased $13.2 million in the six months ended June 30, 2022 as compared to the six months ended June 30, 2021. This was the result of improved operational performance, partially offset by an increase in the unfavorable cash flow impact associated with the changes in our assets and liabilities, net of effects of acquisitions and divestitures. For discussion of our improved operational performance in the six months ended June 30, 2022 as compared to the six months ended June 30, 2021, see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above. The increase in the unfavorable cash flow impact associated with the changes in our assets and liabilities, net of effects of acquisitions and divestitures, which are affected by both cost changes and the timing of payments, in the six months ended June 30, 2022 as compared to the six months ended June 30, 2021 was primarily due to the following:</w:t>
      </w:r>
    </w:p>
    <w:p>
      <w:pPr>
        <w:spacing w:after="0" w:line="2" w:lineRule="exact"/>
        <w:rPr>
          <w:sz w:val="20"/>
          <w:szCs w:val="20"/>
          <w:color w:val="auto"/>
        </w:rPr>
      </w:pPr>
    </w:p>
    <w:p>
      <w:pPr>
        <w:ind w:left="460" w:right="240" w:hanging="331"/>
        <w:spacing w:after="0" w:line="277" w:lineRule="auto"/>
        <w:tabs>
          <w:tab w:leader="none" w:pos="4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$(10.0) million unfavorable impact to operating cash flows associated with the change in accounts receivable associated with increased revenues growth; and</w:t>
      </w:r>
    </w:p>
    <w:p>
      <w:pPr>
        <w:spacing w:after="0" w:line="8" w:lineRule="exact"/>
        <w:rPr>
          <w:rFonts w:ascii="Arial" w:cs="Arial" w:eastAsia="Arial" w:hAnsi="Arial"/>
          <w:sz w:val="18"/>
          <w:szCs w:val="18"/>
          <w:color w:val="auto"/>
        </w:rPr>
      </w:pPr>
    </w:p>
    <w:p>
      <w:pPr>
        <w:ind w:left="440" w:hanging="311"/>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$(0.7) million unfavorable impact to operating cash flows associated with the change in accounts payable; partially offset by</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$6.3 million favorable impact to operating cash flows associated with the change in accrued expenses and other liabilities; and</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$1.1 million favorable impact to operating cash flows associated with the change in prepaid expenses, inventories and other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Acquisitions, net of cash acquired. </w:t>
      </w:r>
      <w:r>
        <w:rPr>
          <w:rFonts w:ascii="Arial" w:cs="Arial" w:eastAsia="Arial" w:hAnsi="Arial"/>
          <w:sz w:val="18"/>
          <w:szCs w:val="18"/>
          <w:color w:val="auto"/>
        </w:rPr>
        <w:t>In the six months ended June 30, 2022, we acquired eight businesses for total consideration of $58.9 million,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$55.1 million in cash, and paid $1.2 million in holdback payments on businesses previously acquired, as compared to the six months ended June 30, 2021 during which we acquired four businesses for total consideration of $4.9 million, including $4.4 million in cash, and paid $1.1 million in holdback payments on businesses previously acquired.</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Capital expenditures were $(1.2) million lower in the six months ended June 30, 2022 as compared to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primarily due to lower post-acquisition capital spend and the completion of construction and development of phase VI at our Subtitle D landfill in Coventry, Vermont in the fiscal year ended December 31, 2021, partially offset by higher capital spend associated with landfill development and the retrofitting of a single-stream material recovery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long-term borrowings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Principal payments on debt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debt issuance costs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Payments of contingent consideration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exercise of share based awards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Debt activity</w:t>
      </w:r>
      <w:r>
        <w:rPr>
          <w:rFonts w:ascii="Arial" w:cs="Arial" w:eastAsia="Arial" w:hAnsi="Arial"/>
          <w:sz w:val="18"/>
          <w:szCs w:val="18"/>
          <w:color w:val="auto"/>
        </w:rPr>
        <w:t>. Net cash associated with debt activity increased $32.0 million. The increase in financing cash flows in the six months ended June 30, 2022 is</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the issuance of $35.0 million aggregate principal amount of Vermont Bonds 2022A-1.</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Payment of debt issuance costs</w:t>
      </w:r>
      <w:r>
        <w:rPr>
          <w:rFonts w:ascii="Arial" w:cs="Arial" w:eastAsia="Arial" w:hAnsi="Arial"/>
          <w:sz w:val="18"/>
          <w:szCs w:val="18"/>
          <w:color w:val="auto"/>
        </w:rPr>
        <w:t>. We paid $1.2 million of debt issuance costs in the six months ended June 30, 2022 related to the issuance of of Vermont</w:t>
      </w:r>
      <w:r>
        <w:rPr>
          <w:rFonts w:ascii="Arial" w:cs="Arial" w:eastAsia="Arial" w:hAnsi="Arial"/>
          <w:sz w:val="18"/>
          <w:szCs w:val="18"/>
          <w:i w:val="1"/>
          <w:iCs w:val="1"/>
          <w:color w:val="auto"/>
        </w:rPr>
        <w:t xml:space="preserve"> </w:t>
      </w:r>
      <w:r>
        <w:rPr>
          <w:rFonts w:ascii="Arial" w:cs="Arial" w:eastAsia="Arial" w:hAnsi="Arial"/>
          <w:sz w:val="18"/>
          <w:szCs w:val="18"/>
          <w:color w:val="auto"/>
        </w:rPr>
        <w:t>Bonds 2022A-1.</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Payment of contingent consideration</w:t>
      </w:r>
      <w:r>
        <w:rPr>
          <w:rFonts w:ascii="Arial" w:cs="Arial" w:eastAsia="Arial" w:hAnsi="Arial"/>
          <w:sz w:val="18"/>
          <w:szCs w:val="18"/>
          <w:color w:val="auto"/>
        </w:rPr>
        <w:t>. We paid $1.0 million of contingent consideration associated with an acquisition based on the completion of a permit</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application.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of June 30, 2022, we had outstanding $350.0 million aggregate principal amount of borrowings under our term loan A facility ("Term Loan Facility") and $0.0 million in borrowings under our $300.0 million revolving credit facility ("Revolving Credit Facility"), with a $75.0 million sublimit for letters of credit (the Term Loan Facility and the Revolving Credit Facility together, the “Credit Facility”). The Credit Facility has a 5-year term that matures in December 2026 and bears interest at a rate of London Inter-Bank Offered Rate ("LIBOR") plus 1.375% per annum, which will be reduced to a rate of LIBOR plus as low as 1.125% upon us reaching a consolidated net leverage ratio of less than 2.25x. The Credit Facility contains customary benchmark replacement provisions pursuant to which, upon certain triggering events, the LIBOR benchmark used to calculate the LIBOR rate will be replaced with a secured overnight financing rate, as adjusted, on the terms and conditions in the amended and restated credit agreement ("Credit Agreement"). The Credit Facility is guaranteed jointly and severally, fully and unconditionally by all of our significant wholly-owned subsidiaries and secured by substantially all of our assets. As of June 30, 2022, further advances were available under the Revolving Credit Facility in the amount of $271.8 million. The available amount is net of outstanding irrevocable letters of credit totaling $28.2 million, and as of June 30, 2022 no amount had been drawn. We have the right to request, at our discretion, an increase in the amount of loans under the Credit Facility by an aggregate amount of $125.0 million, subject to the terms and conditions set forth in the Credit Agreement.</w:t>
      </w:r>
    </w:p>
    <w:p>
      <w:pPr>
        <w:spacing w:after="0" w:line="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Credit Agreement requires us to maintain a minimum interest coverage ratio and a maximum consolidated net leverage ratio, to be measured at the end of each fiscal quarter. In addition to these financial covenants, the Credit Agreement also contains a number of important customary affirmative and negative covenants which restrict, among other things, our ability to sell assets, incur additional debt, create liens, make investments, and pay dividends. As of June 30, 2022, we were in compliance with the covenants contained in the Credit Agreement. We do not believe that these restrictions impact our ability to meet future liquidity needs.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 and Other Debt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As of June 30, 2022, we had outstanding $197.0 million aggregate principal amount of tax exempt bonds, including the issuance of $35.0 million aggregate principal amount of Vermont Bonds 2022A-1, $45.9 million aggregate principal amount of finance leases and $0.8 million aggregate principal amount of notes payable. 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our consolidated financial statements included in Part I, Item 1 of this Quarterly Report on Form 10-Q for further disclosure over debt.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Inflationary increases in costs, including current inflationary pressures associated primarily with fuel, labor and certain other cost categories and capital items, have materially affected, and may continue to materially affect, our operating margins and cash flows. While rapid inflation negatively impacted operating results and margins during the three and six months ended June 30, 2022, we believe that our flexible pricing structures and mature cost recovery fees are allowing us to recover and will continue to allow us to recover certain inflationary costs from our customer base. Consistent with industry practice, most of our contracts and service agreements provide for a pass-through of certain costs to our customers, including increases in landfill tipping fees and in most cases fuel costs, intended to mitigate the impact of inflation on our operating results. We have also implemented a number of operating efficiency programs that seek to improve productivity and reduce our service costs, and the E&amp;E Fee, which is designed to recover escalating fuel price fluctuations above a periodically reset floor. Despite these programs,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12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12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 the volume of waste relating to C&amp;D activities decreases substantially during the winter months in the northeastern United States.</w:t>
      </w:r>
    </w:p>
    <w:p>
      <w:pPr>
        <w:spacing w:after="0" w:line="7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processing line-of-business in the Resource Solutions operating segment experiences increased volumes of fiber in November and December due to increased retail activity during the holiday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financial statements have been prepared in accordance with generally accepted accounting principles in the United States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Our critical accounting estimates are more fully discussed in Item 7,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of our Annual Report on Form 10-K for the fiscal year ended December 31,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under Part I, Item 1 of this Quarterly Report on Form 10-Q.</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Interest Rate Volatility</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income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5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of June 30, 2022, our active interest rate derivative agreements had total notional amounts of $190.0 million. According to the terms of the agreements, we receive interest based on the 1-month LIBOR index, in some instances restricted by a 0.0% floor, and pay interest at a weighted average rate of approximately 2.20% as of June 30, 2022. The agreements mature between May 2023 and June 2027. Additionally, as of June 30, 2022, we have a forward starting interest rate derivative agreement with a total notional amount of $20.0 million that matures in May 2028. We will receive interest based on the 1-month LIBOR index, restricted by a 0.0% floor, and will pay interest at a rate of 1.29%.</w:t>
      </w:r>
    </w:p>
    <w:p>
      <w:pPr>
        <w:spacing w:after="0" w:line="6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June 30, 2022, we had $243.7 million of fixed rate debt in addition to the $190.0 million fixed through our interest rate derivative agreements. We had interest rate risk relating to approximately $160.0 million of long-term debt as of June 30, 2022. The weighted average interest rate on the variable rate portion of long-term debt was approximately 2.7% at June 30, 2022. Should the average interest rate on the variable rate portion of long-term debt change by 100 basis points, we estimate that our annual interest expense would change by up to approximately $1.6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Information about commodity price volatility market risk as of June 30, 2022 does not differ materially from that discussed in Item 7A, "</w:t>
      </w:r>
      <w:r>
        <w:rPr>
          <w:rFonts w:ascii="Arial" w:cs="Arial" w:eastAsia="Arial" w:hAnsi="Arial"/>
          <w:sz w:val="17"/>
          <w:szCs w:val="17"/>
          <w:i w:val="1"/>
          <w:iCs w:val="1"/>
          <w:color w:val="auto"/>
        </w:rPr>
        <w:t>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Qualitative Disclosures About Market Risk</w:t>
      </w:r>
      <w:r>
        <w:rPr>
          <w:rFonts w:ascii="Arial" w:cs="Arial" w:eastAsia="Arial" w:hAnsi="Arial"/>
          <w:sz w:val="17"/>
          <w:szCs w:val="17"/>
          <w:color w:val="auto"/>
        </w:rPr>
        <w:t>" of our Annual Report on Form 10-K for the fiscal year ended December 31, 2021.</w:t>
      </w:r>
    </w:p>
    <w:p>
      <w:pPr>
        <w:spacing w:after="0" w:line="14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June 30, 2022.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7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three months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Legal Proceedings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The information required by this Item is provided in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in Part I, Item 1 of this Quarterly Report on Form 10-Q.</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 over Certain Environmental Matters Involving Governmental Authorities with Possible Sanctions of $1,000,000 or More</w:t>
      </w:r>
    </w:p>
    <w:p>
      <w:pPr>
        <w:spacing w:after="0" w:line="13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Item 103 of the SEC's Regulation S-K requires disclosure of certain environmental matters when a governmental authority is a party to the proceedings and the proceedings involve potential monetary sanctions unless we reasonably believe the monetary sanctions will not equal or exceed a specified threshold which we determine is reasonably designed to result in disclosure of any such proceeding that is material to our business or financial condition. Pursuant to Item 103, we have determined such disclosure threshold to be $1,000,000. We have no matters to disclose in accordance with that requirement.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1" w:name="page42"/>
    <w:bookmarkEnd w:id="41"/>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business is subject to a number of risks, including those identified in Item 1A, “</w:t>
      </w:r>
      <w:r>
        <w:rPr>
          <w:rFonts w:ascii="Arial" w:cs="Arial" w:eastAsia="Arial" w:hAnsi="Arial"/>
          <w:sz w:val="17"/>
          <w:szCs w:val="17"/>
          <w:i w:val="1"/>
          <w:iCs w:val="1"/>
          <w:color w:val="auto"/>
        </w:rPr>
        <w:t>Risk Factors</w:t>
      </w:r>
      <w:r>
        <w:rPr>
          <w:rFonts w:ascii="Arial" w:cs="Arial" w:eastAsia="Arial" w:hAnsi="Arial"/>
          <w:sz w:val="17"/>
          <w:szCs w:val="17"/>
          <w:color w:val="auto"/>
        </w:rPr>
        <w:t>” of our Annual Report on Form 10-K for the fiscal year ended December 31, 2021, and the updated risk factor set forth below, that could have a material effect on our business, results of operations, financial condition and/or liquidity and that could cause our operating results to vary significantly from period to period. We may disclose additional changes to our risk factors or disclose additional factors from time to time in our future filings with the Securities and Exchange Commission.</w:t>
      </w:r>
    </w:p>
    <w:p>
      <w:pPr>
        <w:spacing w:after="0" w:line="6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The waste industry is subject to extensive government regulations, including environmental laws and regulations, and we incur substantial costs to comply with such laws and regulations. Failure to comply with environmental or other laws and regulations, as well as enforcement actions and litigation arising from an actual or perceived breach of such laws and regulations, could subject us to fines, penalties, and judgments, and impose limits on our ability to operate and expand.</w:t>
      </w:r>
    </w:p>
    <w:p>
      <w:pPr>
        <w:spacing w:after="0" w:line="7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are subject to potential liability and restrictions under environmental laws and regulations, including potential liability and restrictions arising from or relating to the transportation, handling, recycling, generation, treatment, storage and disposal of wastes, the presence, release, discharge or emission of pollutants, and the investigation, remediation and monitoring of impacts to soil, surface water, groundwater and other environmental media including natural resources, as a result of the actual or alleged presence, release, discharge or emission of hazardous substances, pollutants or contaminants on, at, under or migrating from our properties, or in connection with our operations. The waste management industry has been and will continue to be subject to regulation, including permitting and related financial assurance requirements, as well as attempts to further regulate the industry, including efforts to regulate and limit the emission of greenhouse gases to ameliorate the effect of climate change. Our solid waste operations are subject to a wide range of federal, state and, in some cases, local environmental, odor and noise and land use restrictions. If we are not able to comply with the requirements that apply to a particular facility or if we operate in violation of the terms and conditions of, or without the necessary approvals or permits, we could be subject to administrative or civil, and possibly criminal, fines and penalties, and we may be required to spend substantial capital to bring an operation into compliance, to temporarily or permanently discontinue activities, and/or take corrective actions, possibly including removal of landfilled materials. Those costs or actions could be significant to us and affect our results of operations, cash flows, and available capital. Environmental and land use laws and regulations also affect our ability to expand and, in the case of our solid waste operations, may dictate those geographic areas from which we must, or, from which we may not, accept solid waste. Those laws and regulations may limit the overall size and daily solid waste volume that may be accepted by a solid waste operation. If we are not able to expand or otherwise operate one or more of our facilities because of limits imposed under such laws, we may be required to increase our utilization of disposal facilities owned by third-parties, which could reduce our revenues and/or operating margins.</w:t>
      </w:r>
    </w:p>
    <w:p>
      <w:pPr>
        <w:spacing w:after="0" w:line="6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historically grown through acquisitions, may make additional acquisitions in the future, and we have tried and will continue to try to evaluate and limit environmental risks and liabilities presented by businesses to be acquired prior to the acquisition. It is possible that some liabilities may prove to be more difficult or costly to address than we anticipate. It is also possible that government officials responsible for enforcing environmental laws and regulations may believe an issue is more serious than we expect, or that we will fail to identify or fully appreciate an existing liability before we become responsible for addressing it. Some of the legal sanctions to which we could become subject could cause the suspension or revocation of a permit, prevent us from, or delay us in, obtaining or renewing permits to operate or expand our facilities, or harm our reputation.</w:t>
      </w:r>
    </w:p>
    <w:p>
      <w:pPr>
        <w:spacing w:after="0" w:line="7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addition to the costs of complying with environmental laws and regulations, we incur costs in connection with environmental proceedings and litigation brought against us by government agencies and private parties. We are, and may be in the future, a defendant in lawsuits brought by parties alleging environmental damage, including natural resource damage, personal injury, and/or property damage or impairment, or seeking to impose civil penalties, injunctive relief or overturn or prevent the issuance of an operating permit or authorization, all of which may result in us incurring significant liabilities.</w:t>
      </w:r>
    </w:p>
    <w:p>
      <w:pPr>
        <w:spacing w:after="0" w:line="49"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conduct of our businesses is also subject to various other laws and regulations administered by federal, state and local governmental agencies, including tax laws, employment laws and competition laws, among others. New laws, regulations or governmental policy and their related interpretations, or changes in any of the foregoing, including taxes or other limitations on our services, may alter the environment in which we do business. This includes recent changes in solid waste laws of the State of Maine, which we do not anticipate will have a material effect on our business, results of operations, financial condition and/or liquidity, but may negatively impact our operating results in the form of lower revenues or increased costs and/or liabilities.</w:t>
      </w:r>
    </w:p>
    <w:p>
      <w:pPr>
        <w:spacing w:after="0" w:line="5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certain jurisdictions, we are subject to compliance with specific obligations under competition laws due to our competitive position in those jurisdictions. Failure to comply with these requirements or other laws or regulations could subject us to enforcement actions or financial penalties which could have a material adverse effect on our business.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2" w:name="page43"/>
    <w:bookmarkEnd w:id="42"/>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60" w:type="dxa"/>
            <w:vAlign w:val="bottom"/>
            <w:gridSpan w:val="18"/>
            <w:vMerge w:val="restart"/>
          </w:tcPr>
          <w:p>
            <w:pPr>
              <w:ind w:left="2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No.</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6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20" w:type="dxa"/>
            <w:vAlign w:val="bottom"/>
            <w:tcBorders>
              <w:top w:val="single" w:sz="8" w:color="auto"/>
            </w:tcBorders>
            <w:gridSpan w:val="22"/>
          </w:tcPr>
          <w:p>
            <w:pPr>
              <w:spacing w:after="0"/>
              <w:rPr>
                <w:rFonts w:ascii="Arial" w:cs="Arial" w:eastAsia="Arial" w:hAnsi="Arial"/>
                <w:sz w:val="18"/>
                <w:szCs w:val="18"/>
                <w:color w:val="0000FF"/>
                <w:w w:val="96"/>
              </w:rPr>
            </w:pPr>
            <w:hyperlink r:id="rId60">
              <w:r>
                <w:rPr>
                  <w:rFonts w:ascii="Arial" w:cs="Arial" w:eastAsia="Arial" w:hAnsi="Arial"/>
                  <w:sz w:val="18"/>
                  <w:szCs w:val="18"/>
                  <w:color w:val="0000FF"/>
                  <w:w w:val="96"/>
                </w:rPr>
                <w:t>Loan Agreement, dated as of June 1, 2022, between Vermont Economic Development Authority and Casella Waste Systems, Inc.</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22"/>
          </w:tcPr>
          <w:p>
            <w:pPr>
              <w:spacing w:after="0" w:line="169" w:lineRule="exact"/>
              <w:rPr>
                <w:rFonts w:ascii="Arial" w:cs="Arial" w:eastAsia="Arial" w:hAnsi="Arial"/>
                <w:sz w:val="18"/>
                <w:szCs w:val="18"/>
                <w:color w:val="0000FF"/>
                <w:w w:val="96"/>
              </w:rPr>
            </w:pPr>
            <w:hyperlink r:id="rId60">
              <w:r>
                <w:rPr>
                  <w:rFonts w:ascii="Arial" w:cs="Arial" w:eastAsia="Arial" w:hAnsi="Arial"/>
                  <w:sz w:val="18"/>
                  <w:szCs w:val="18"/>
                  <w:color w:val="0000FF"/>
                  <w:w w:val="96"/>
                </w:rPr>
                <w:t>(incorporated herein by reference to Exhibit 4.1 to the Current Report on Form 8-K of Casella as filed on June 1, 2022 (file no. 000-</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9"/>
              </w:rPr>
            </w:pPr>
            <w:hyperlink r:id="rId60">
              <w:r>
                <w:rPr>
                  <w:rFonts w:ascii="Arial" w:cs="Arial" w:eastAsia="Arial" w:hAnsi="Arial"/>
                  <w:sz w:val="18"/>
                  <w:szCs w:val="18"/>
                  <w:color w:val="0000FF"/>
                  <w:w w:val="89"/>
                </w:rPr>
                <w:t>23211)</w:t>
              </w:r>
              <w:r>
                <w:rPr>
                  <w:rFonts w:ascii="Arial" w:cs="Arial" w:eastAsia="Arial" w:hAnsi="Arial"/>
                  <w:sz w:val="18"/>
                  <w:szCs w:val="18"/>
                  <w:u w:val="single" w:color="auto"/>
                  <w:color w:val="0000FF"/>
                  <w:w w:val="89"/>
                </w:rPr>
                <w:t>)</w:t>
              </w:r>
              <w:r>
                <w:rPr>
                  <w:rFonts w:ascii="Arial" w:cs="Arial" w:eastAsia="Arial" w:hAnsi="Arial"/>
                  <w:sz w:val="18"/>
                  <w:szCs w:val="18"/>
                  <w:color w:val="0000FF"/>
                  <w:w w:val="89"/>
                </w:rPr>
                <w:t>.</w:t>
              </w:r>
            </w:hyperlink>
          </w:p>
        </w:tc>
        <w:tc>
          <w:tcPr>
            <w:tcW w:w="3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67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Arial" w:cs="Arial" w:eastAsia="Arial" w:hAnsi="Arial"/>
                <w:sz w:val="18"/>
                <w:szCs w:val="18"/>
                <w:color w:val="0000FF"/>
                <w:w w:val="93"/>
              </w:rPr>
            </w:pPr>
            <w:hyperlink r:id="rId61">
              <w:r>
                <w:rPr>
                  <w:rFonts w:ascii="Arial" w:cs="Arial" w:eastAsia="Arial" w:hAnsi="Arial"/>
                  <w:sz w:val="18"/>
                  <w:szCs w:val="18"/>
                  <w:color w:val="0000FF"/>
                  <w:w w:val="93"/>
                </w:rPr>
                <w:t>Guaranty Agreement, dated as of June 1, 2022, by and between the guarantors named therein and US. Bank Trust Company, National</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12"/>
          </w:tcPr>
          <w:p>
            <w:pPr>
              <w:spacing w:after="0" w:line="169"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Association, as trustee (incorporated herein by reference to Exhibit 4.2 to the Current Report on Form 8-K of Casella as filed on June</w:t>
              </w:r>
            </w:hyperlink>
          </w:p>
        </w:tc>
        <w:tc>
          <w:tcPr>
            <w:tcW w:w="200" w:type="dxa"/>
            <w:vAlign w:val="bottom"/>
            <w:gridSpan w:val="7"/>
          </w:tcPr>
          <w:p>
            <w:pPr>
              <w:jc w:val="right"/>
              <w:ind w:right="40"/>
              <w:spacing w:after="0" w:line="169"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1,</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61">
              <w:r>
                <w:rPr>
                  <w:rFonts w:ascii="Arial" w:cs="Arial" w:eastAsia="Arial" w:hAnsi="Arial"/>
                  <w:sz w:val="18"/>
                  <w:szCs w:val="18"/>
                  <w:color w:val="0000FF"/>
                </w:rPr>
                <w:t>2022 (file no. 000-23211)).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Arial" w:cs="Arial" w:eastAsia="Arial" w:hAnsi="Arial"/>
                <w:sz w:val="18"/>
                <w:szCs w:val="18"/>
                <w:color w:val="0000FF"/>
                <w:w w:val="94"/>
              </w:rPr>
            </w:pPr>
            <w:hyperlink r:id="rId62">
              <w:r>
                <w:rPr>
                  <w:rFonts w:ascii="Arial" w:cs="Arial" w:eastAsia="Arial" w:hAnsi="Arial"/>
                  <w:sz w:val="18"/>
                  <w:szCs w:val="18"/>
                  <w:color w:val="0000FF"/>
                  <w:w w:val="94"/>
                </w:rPr>
                <w:t>Employment Agreement between Casella Waste Systems, Inc. and Kevin Drohan effective as of April 1, 2022 (incorporated herein by</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62">
              <w:r>
                <w:rPr>
                  <w:rFonts w:ascii="Arial" w:cs="Arial" w:eastAsia="Arial" w:hAnsi="Arial"/>
                  <w:sz w:val="18"/>
                  <w:szCs w:val="18"/>
                  <w:color w:val="0000FF"/>
                </w:rPr>
                <w:t>reference to Exhibit 10.1 to the Current Report on Form 8-K of Casella as filed on March 31, 2022 (file no. 000-23211)).</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Amended and Restated Employment Agreement between Casella Waste Systems, Inc. and Edwin D. Johnson dated as of June 20, 2022</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tcBorders>
              <w:top w:val="single" w:sz="8" w:color="0000FF"/>
            </w:tcBorders>
            <w:gridSpan w:val="16"/>
          </w:tcPr>
          <w:p>
            <w:pPr>
              <w:spacing w:after="0" w:line="169"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(incorporated herein by reference to Exhibit 10.1 to the Current Report on Form 8-K of Casella as filed on June 22, 2022 (file no. 000-</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9"/>
              </w:rPr>
            </w:pPr>
            <w:hyperlink r:id="rId63">
              <w:r>
                <w:rPr>
                  <w:rFonts w:ascii="Arial" w:cs="Arial" w:eastAsia="Arial" w:hAnsi="Arial"/>
                  <w:sz w:val="18"/>
                  <w:szCs w:val="18"/>
                  <w:color w:val="0000FF"/>
                  <w:w w:val="89"/>
                </w:rPr>
                <w:t>23211)</w:t>
              </w:r>
              <w:r>
                <w:rPr>
                  <w:rFonts w:ascii="Arial" w:cs="Arial" w:eastAsia="Arial" w:hAnsi="Arial"/>
                  <w:sz w:val="18"/>
                  <w:szCs w:val="18"/>
                  <w:u w:val="single" w:color="auto"/>
                  <w:color w:val="0000FF"/>
                  <w:w w:val="89"/>
                </w:rPr>
                <w:t>)</w:t>
              </w:r>
              <w:r>
                <w:rPr>
                  <w:rFonts w:ascii="Arial" w:cs="Arial" w:eastAsia="Arial" w:hAnsi="Arial"/>
                  <w:sz w:val="18"/>
                  <w:szCs w:val="18"/>
                  <w:color w:val="0000FF"/>
                  <w:w w:val="89"/>
                </w:rPr>
                <w:t>.</w:t>
              </w:r>
            </w:hyperlink>
          </w:p>
        </w:tc>
        <w:tc>
          <w:tcPr>
            <w:tcW w:w="3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67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Amended and Restated Employment Agreement between Casella Waste Systems, Inc. and Edmond R. Coletta dated as of June 20, 2022</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bottom w:val="single" w:sz="8" w:color="0000FF"/>
            </w:tcBorders>
            <w:gridSpan w:val="19"/>
          </w:tcPr>
          <w:p>
            <w:pPr>
              <w:spacing w:after="0" w:line="169"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(incorporated herein by reference to Exhibit 10.1 to the Current Report on Form 8-K/A of Casella as filed on June 22, 2022 (file no. 000</w:t>
              </w:r>
            </w:hyperlink>
          </w:p>
        </w:tc>
        <w:tc>
          <w:tcPr>
            <w:tcW w:w="60" w:type="dxa"/>
            <w:vAlign w:val="bottom"/>
            <w:tcBorders>
              <w:bottom w:val="single" w:sz="8" w:color="0000FF"/>
            </w:tcBorders>
            <w:gridSpan w:val="2"/>
          </w:tcPr>
          <w:p>
            <w:pPr>
              <w:jc w:val="right"/>
              <w:spacing w:after="0" w:line="169" w:lineRule="exact"/>
              <w:rPr>
                <w:rFonts w:ascii="Arial" w:cs="Arial" w:eastAsia="Arial" w:hAnsi="Arial"/>
                <w:sz w:val="16"/>
                <w:szCs w:val="16"/>
                <w:color w:val="0000FF"/>
                <w:w w:val="74"/>
              </w:rPr>
            </w:pPr>
            <w:hyperlink r:id="rId64">
              <w:r>
                <w:rPr>
                  <w:rFonts w:ascii="Arial" w:cs="Arial" w:eastAsia="Arial" w:hAnsi="Arial"/>
                  <w:sz w:val="16"/>
                  <w:szCs w:val="16"/>
                  <w:color w:val="0000FF"/>
                  <w:w w:val="74"/>
                </w:rPr>
                <w:t>-</w:t>
              </w:r>
            </w:hyperlink>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0000FF"/>
            </w:tcBorders>
          </w:tcPr>
          <w:p>
            <w:pPr>
              <w:spacing w:after="0" w:line="169"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23211)</w:t>
              </w:r>
              <w:r>
                <w:rPr>
                  <w:rFonts w:ascii="Arial" w:cs="Arial" w:eastAsia="Arial" w:hAnsi="Arial"/>
                  <w:sz w:val="18"/>
                  <w:szCs w:val="18"/>
                  <w:u w:val="single" w:color="auto"/>
                  <w:color w:val="0000FF"/>
                  <w:w w:val="89"/>
                </w:rPr>
                <w:t>)</w:t>
              </w:r>
              <w:r>
                <w:rPr>
                  <w:rFonts w:ascii="Arial" w:cs="Arial" w:eastAsia="Arial" w:hAnsi="Arial"/>
                  <w:sz w:val="18"/>
                  <w:szCs w:val="18"/>
                  <w:color w:val="0000FF"/>
                  <w:w w:val="89"/>
                </w:rPr>
                <w:t>.</w:t>
              </w:r>
            </w:hyperlink>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Arial" w:cs="Arial" w:eastAsia="Arial" w:hAnsi="Arial"/>
                <w:sz w:val="18"/>
                <w:szCs w:val="18"/>
                <w:color w:val="0000FF"/>
                <w:w w:val="95"/>
              </w:rPr>
            </w:pPr>
            <w:hyperlink r:id="rId65">
              <w:r>
                <w:rPr>
                  <w:rFonts w:ascii="Arial" w:cs="Arial" w:eastAsia="Arial" w:hAnsi="Arial"/>
                  <w:sz w:val="18"/>
                  <w:szCs w:val="18"/>
                  <w:color w:val="0000FF"/>
                  <w:w w:val="95"/>
                </w:rPr>
                <w:t>Employment Agreement between Casella Waste Systems, Inc. and Sean Steves effective as of July 1, 2022 (incorporated herein by</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20" w:type="dxa"/>
            <w:vAlign w:val="bottom"/>
            <w:tcBorders>
              <w:top w:val="single" w:sz="8" w:color="0000FF"/>
            </w:tcBorders>
            <w:gridSpan w:val="10"/>
          </w:tcPr>
          <w:p>
            <w:pPr>
              <w:spacing w:after="0" w:line="169" w:lineRule="exact"/>
              <w:rPr>
                <w:rFonts w:ascii="Arial" w:cs="Arial" w:eastAsia="Arial" w:hAnsi="Arial"/>
                <w:sz w:val="18"/>
                <w:szCs w:val="18"/>
                <w:color w:val="0000FF"/>
                <w:w w:val="98"/>
              </w:rPr>
            </w:pPr>
            <w:hyperlink r:id="rId65">
              <w:r>
                <w:rPr>
                  <w:rFonts w:ascii="Arial" w:cs="Arial" w:eastAsia="Arial" w:hAnsi="Arial"/>
                  <w:sz w:val="18"/>
                  <w:szCs w:val="18"/>
                  <w:color w:val="0000FF"/>
                  <w:w w:val="98"/>
                </w:rPr>
                <w:t>reference to Exhibit 10.2 to the Current Report on Form 8-K/A of Casella as filed on June 22, 2022 (file no. 000-23211)).</w:t>
              </w:r>
            </w:hyperlink>
          </w:p>
        </w:tc>
        <w:tc>
          <w:tcPr>
            <w:tcW w:w="300" w:type="dxa"/>
            <w:vAlign w:val="bottom"/>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72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spacing w:after="0"/>
              <w:rPr>
                <w:sz w:val="20"/>
                <w:szCs w:val="20"/>
                <w:color w:val="auto"/>
              </w:rPr>
            </w:pPr>
            <w:r>
              <w:rPr>
                <w:rFonts w:ascii="Arial" w:cs="Arial" w:eastAsia="Arial" w:hAnsi="Arial"/>
                <w:sz w:val="18"/>
                <w:szCs w:val="18"/>
                <w:color w:val="auto"/>
                <w:w w:val="90"/>
              </w:rPr>
              <w:t>10.5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Amendment to Amended and Restated Employment Agreement between Casella Waste Systems, Inc. and Edwin D. Johnson dated as of</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w:anchor="page45">
              <w:r>
                <w:rPr>
                  <w:rFonts w:ascii="Arial" w:cs="Arial" w:eastAsia="Arial" w:hAnsi="Arial"/>
                  <w:sz w:val="18"/>
                  <w:szCs w:val="18"/>
                  <w:color w:val="0000FF"/>
                </w:rPr>
                <w:t>July 21, 2022.</w:t>
              </w:r>
            </w:hyperlink>
          </w:p>
        </w:tc>
        <w:tc>
          <w:tcPr>
            <w:tcW w:w="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spacing w:after="0"/>
              <w:rPr>
                <w:sz w:val="20"/>
                <w:szCs w:val="20"/>
                <w:color w:val="auto"/>
              </w:rPr>
            </w:pPr>
            <w:r>
              <w:rPr>
                <w:rFonts w:ascii="Arial" w:cs="Arial" w:eastAsia="Arial" w:hAnsi="Arial"/>
                <w:sz w:val="18"/>
                <w:szCs w:val="18"/>
                <w:color w:val="auto"/>
                <w:w w:val="90"/>
              </w:rPr>
              <w:t>31.1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 of John W. Casella, Principal Executive Officer, pursuant to Section 302 of the Sarbanes – Oxley Act of 2002.</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9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jc w:val="center"/>
              <w:spacing w:after="0"/>
              <w:rPr>
                <w:sz w:val="20"/>
                <w:szCs w:val="20"/>
                <w:color w:val="auto"/>
              </w:rPr>
            </w:pPr>
            <w:r>
              <w:rPr>
                <w:rFonts w:ascii="Arial" w:cs="Arial" w:eastAsia="Arial" w:hAnsi="Arial"/>
                <w:sz w:val="18"/>
                <w:szCs w:val="18"/>
                <w:color w:val="auto"/>
                <w:w w:val="90"/>
              </w:rPr>
              <w:t>31.2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2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of Edmond R. Coletta, Principal Financial Officer, pursuant to Section 302 of the Sarbanes – Oxley Act of 2002.</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140" w:type="dxa"/>
            <w:vAlign w:val="bottom"/>
            <w:gridSpan w:val="6"/>
            <w:shd w:val="clear" w:color="auto" w:fill="0000FF"/>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jc w:val="center"/>
              <w:spacing w:after="0"/>
              <w:rPr>
                <w:sz w:val="20"/>
                <w:szCs w:val="20"/>
                <w:color w:val="auto"/>
              </w:rPr>
            </w:pPr>
            <w:r>
              <w:rPr>
                <w:rFonts w:ascii="Arial" w:cs="Arial" w:eastAsia="Arial" w:hAnsi="Arial"/>
                <w:sz w:val="18"/>
                <w:szCs w:val="18"/>
                <w:color w:val="auto"/>
                <w:w w:val="91"/>
              </w:rPr>
              <w:t>32.1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22"/>
          </w:tcPr>
          <w:p>
            <w:pPr>
              <w:spacing w:after="0"/>
              <w:rPr>
                <w:rFonts w:ascii="Arial" w:cs="Arial" w:eastAsia="Arial" w:hAnsi="Arial"/>
                <w:sz w:val="18"/>
                <w:szCs w:val="18"/>
                <w:color w:val="0000FF"/>
                <w:w w:val="93"/>
              </w:rPr>
            </w:pPr>
            <w:hyperlink w:anchor="page48">
              <w:r>
                <w:rPr>
                  <w:rFonts w:ascii="Arial" w:cs="Arial" w:eastAsia="Arial" w:hAnsi="Arial"/>
                  <w:sz w:val="18"/>
                  <w:szCs w:val="18"/>
                  <w:color w:val="0000FF"/>
                  <w:w w:val="93"/>
                </w:rPr>
                <w:t>Certification of Chief Executive Officer pursuant to 18 U.S.C. Section 1350, as adopted pursuant to Section 906 of the Sarbanes- Oxley</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w:anchor="page48">
              <w:r>
                <w:rPr>
                  <w:rFonts w:ascii="Arial" w:cs="Arial" w:eastAsia="Arial" w:hAnsi="Arial"/>
                  <w:sz w:val="18"/>
                  <w:szCs w:val="18"/>
                  <w:color w:val="0000FF"/>
                  <w:w w:val="93"/>
                </w:rPr>
                <w:t>Act of 2002.</w:t>
              </w:r>
            </w:hyperlink>
          </w:p>
        </w:tc>
        <w:tc>
          <w:tcPr>
            <w:tcW w:w="8860" w:type="dxa"/>
            <w:vAlign w:val="bottom"/>
            <w:tcBorders>
              <w:top w:val="single" w:sz="8" w:color="0000FF"/>
            </w:tcBorders>
            <w:gridSpan w:val="15"/>
          </w:tcPr>
          <w:p>
            <w:pPr>
              <w:spacing w:after="0"/>
              <w:rPr>
                <w:sz w:val="13"/>
                <w:szCs w:val="13"/>
                <w:color w:val="auto"/>
              </w:rPr>
            </w:pPr>
          </w:p>
        </w:tc>
        <w:tc>
          <w:tcPr>
            <w:tcW w:w="2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60" w:type="dxa"/>
            <w:vAlign w:val="bottom"/>
          </w:tcPr>
          <w:p>
            <w:pPr>
              <w:jc w:val="center"/>
              <w:spacing w:after="0"/>
              <w:rPr>
                <w:sz w:val="20"/>
                <w:szCs w:val="20"/>
                <w:color w:val="auto"/>
              </w:rPr>
            </w:pPr>
            <w:r>
              <w:rPr>
                <w:rFonts w:ascii="Arial" w:cs="Arial" w:eastAsia="Arial" w:hAnsi="Arial"/>
                <w:sz w:val="18"/>
                <w:szCs w:val="18"/>
                <w:color w:val="auto"/>
                <w:w w:val="91"/>
              </w:rPr>
              <w:t>32.2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22"/>
          </w:tcPr>
          <w:p>
            <w:pPr>
              <w:spacing w:after="0"/>
              <w:rPr>
                <w:rFonts w:ascii="Arial" w:cs="Arial" w:eastAsia="Arial" w:hAnsi="Arial"/>
                <w:sz w:val="18"/>
                <w:szCs w:val="18"/>
                <w:color w:val="0000FF"/>
                <w:w w:val="93"/>
              </w:rPr>
            </w:pPr>
            <w:hyperlink w:anchor="page49">
              <w:r>
                <w:rPr>
                  <w:rFonts w:ascii="Arial" w:cs="Arial" w:eastAsia="Arial" w:hAnsi="Arial"/>
                  <w:sz w:val="18"/>
                  <w:szCs w:val="18"/>
                  <w:color w:val="0000FF"/>
                  <w:w w:val="93"/>
                </w:rPr>
                <w:t>Certification of Chief Financial Officer pursuant to 18 U.S.C. Section 1350, as adopted pursuant to Section 906 of the Sarbanes- Oxley</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w:anchor="page49">
              <w:r>
                <w:rPr>
                  <w:rFonts w:ascii="Arial" w:cs="Arial" w:eastAsia="Arial" w:hAnsi="Arial"/>
                  <w:sz w:val="18"/>
                  <w:szCs w:val="18"/>
                  <w:color w:val="0000FF"/>
                  <w:w w:val="93"/>
                </w:rPr>
                <w:t>Act of 2002.</w:t>
              </w:r>
            </w:hyperlink>
          </w:p>
        </w:tc>
        <w:tc>
          <w:tcPr>
            <w:tcW w:w="8800" w:type="dxa"/>
            <w:vAlign w:val="bottom"/>
            <w:tcBorders>
              <w:top w:val="single" w:sz="8" w:color="0000FF"/>
            </w:tcBorders>
            <w:gridSpan w:val="13"/>
          </w:tcPr>
          <w:p>
            <w:pPr>
              <w:spacing w:after="0"/>
              <w:rPr>
                <w:sz w:val="13"/>
                <w:szCs w:val="13"/>
                <w:color w:val="auto"/>
              </w:rPr>
            </w:pPr>
          </w:p>
        </w:tc>
        <w:tc>
          <w:tcPr>
            <w:tcW w:w="3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574"/>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10020" w:type="dxa"/>
            <w:vAlign w:val="bottom"/>
            <w:gridSpan w:val="22"/>
          </w:tcPr>
          <w:p>
            <w:pPr>
              <w:spacing w:after="0"/>
              <w:rPr>
                <w:sz w:val="20"/>
                <w:szCs w:val="20"/>
                <w:color w:val="auto"/>
              </w:rPr>
            </w:pPr>
            <w:r>
              <w:rPr>
                <w:rFonts w:ascii="Arial" w:cs="Arial" w:eastAsia="Arial" w:hAnsi="Arial"/>
                <w:sz w:val="18"/>
                <w:szCs w:val="18"/>
                <w:color w:val="auto"/>
                <w:w w:val="98"/>
              </w:rPr>
              <w:t>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1002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10020" w:type="dxa"/>
            <w:vAlign w:val="bottom"/>
            <w:gridSpan w:val="22"/>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10020" w:type="dxa"/>
            <w:vAlign w:val="bottom"/>
            <w:gridSpan w:val="22"/>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84"/>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10020" w:type="dxa"/>
            <w:vAlign w:val="bottom"/>
            <w:gridSpan w:val="22"/>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1002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06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sz w:val="20"/>
                <w:szCs w:val="20"/>
                <w:color w:val="auto"/>
              </w:rPr>
            </w:pPr>
            <w:r>
              <w:rPr>
                <w:rFonts w:ascii="Arial" w:cs="Arial" w:eastAsia="Arial" w:hAnsi="Arial"/>
                <w:sz w:val="18"/>
                <w:szCs w:val="18"/>
                <w:color w:val="auto"/>
                <w:w w:val="93"/>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200" w:right="40" w:hanging="742"/>
        <w:spacing w:after="0" w:line="233" w:lineRule="auto"/>
        <w:tabs>
          <w:tab w:leader="none" w:pos="1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Submitted Electronically Herewith. Attached as Exhibit 101 to this report are the following formatted in inline XBRL (Extensible Business Reporting Language): (i) Consolidated Balance Sheets as of June 30, 2022 and December 31, 2021, (ii) Consolidated Statements of Operations for the three and six months ended June 30, 2022 and 2021, (iii) Consolidated Statements of Comprehensive Income for the three and six months ended June 30, 2022 and 2021, (iv) Consolidated Statements of Stockholders’ Equity for the three and six months ended June 30, 2022 and 2021, (v) Consolidated Statements of Cash Flows for the six months ended June 30, 2022 and 2021, and</w:t>
      </w:r>
    </w:p>
    <w:p>
      <w:pPr>
        <w:ind w:left="1200"/>
        <w:spacing w:after="0"/>
        <w:rPr>
          <w:rFonts w:ascii="Arial" w:cs="Arial" w:eastAsia="Arial" w:hAnsi="Arial"/>
          <w:sz w:val="16"/>
          <w:szCs w:val="16"/>
          <w:color w:val="auto"/>
        </w:rPr>
      </w:pPr>
      <w:r>
        <w:rPr>
          <w:rFonts w:ascii="Arial" w:cs="Arial" w:eastAsia="Arial" w:hAnsi="Arial"/>
          <w:sz w:val="18"/>
          <w:szCs w:val="18"/>
          <w:color w:val="auto"/>
        </w:rPr>
        <w:t>(vi) Notes to Consolidated Financial Statements.</w:t>
      </w:r>
    </w:p>
    <w:p>
      <w:pPr>
        <w:spacing w:after="0" w:line="7" w:lineRule="exact"/>
        <w:rPr>
          <w:sz w:val="20"/>
          <w:szCs w:val="20"/>
          <w:color w:val="auto"/>
        </w:rPr>
      </w:pPr>
    </w:p>
    <w:p>
      <w:pPr>
        <w:ind w:left="1200" w:hanging="703"/>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00" w:hanging="753"/>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Casella Waste Systems, Inc.</w:t>
            </w:r>
          </w:p>
        </w:tc>
      </w:tr>
      <w:tr>
        <w:trPr>
          <w:trHeight w:val="499"/>
        </w:trPr>
        <w:tc>
          <w:tcPr>
            <w:tcW w:w="3700" w:type="dxa"/>
            <w:vAlign w:val="bottom"/>
          </w:tcPr>
          <w:p>
            <w:pPr>
              <w:spacing w:after="0"/>
              <w:rPr>
                <w:sz w:val="20"/>
                <w:szCs w:val="20"/>
                <w:color w:val="auto"/>
              </w:rPr>
            </w:pPr>
            <w:r>
              <w:rPr>
                <w:rFonts w:ascii="Arial" w:cs="Arial" w:eastAsia="Arial" w:hAnsi="Arial"/>
                <w:sz w:val="18"/>
                <w:szCs w:val="18"/>
                <w:color w:val="auto"/>
              </w:rPr>
              <w:t>Date: July 29, 2022</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Kevin Drohan</w:t>
            </w:r>
          </w:p>
        </w:tc>
      </w:tr>
      <w:tr>
        <w:trPr>
          <w:trHeight w:val="222"/>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Kevin Drohan</w:t>
            </w:r>
          </w:p>
        </w:tc>
      </w:tr>
      <w:tr>
        <w:trPr>
          <w:trHeight w:val="230"/>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499"/>
        </w:trPr>
        <w:tc>
          <w:tcPr>
            <w:tcW w:w="3700" w:type="dxa"/>
            <w:vAlign w:val="bottom"/>
          </w:tcPr>
          <w:p>
            <w:pPr>
              <w:spacing w:after="0"/>
              <w:rPr>
                <w:sz w:val="20"/>
                <w:szCs w:val="20"/>
                <w:color w:val="auto"/>
              </w:rPr>
            </w:pPr>
            <w:r>
              <w:rPr>
                <w:rFonts w:ascii="Arial" w:cs="Arial" w:eastAsia="Arial" w:hAnsi="Arial"/>
                <w:sz w:val="18"/>
                <w:szCs w:val="18"/>
                <w:color w:val="auto"/>
              </w:rPr>
              <w:t>Date: July 29, 2022</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29"/>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1350" w:right="37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10.5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AMENDED AND RESTATED EMPLOYMENT AGREEMENT</w:t>
      </w:r>
    </w:p>
    <w:p>
      <w:pPr>
        <w:spacing w:after="0" w:line="218" w:lineRule="exact"/>
        <w:rPr>
          <w:sz w:val="20"/>
          <w:szCs w:val="20"/>
          <w:color w:val="auto"/>
        </w:rPr>
      </w:pPr>
    </w:p>
    <w:p>
      <w:pPr>
        <w:jc w:val="both"/>
        <w:ind w:right="120" w:firstLine="648"/>
        <w:spacing w:after="0" w:line="256" w:lineRule="auto"/>
        <w:rPr>
          <w:sz w:val="20"/>
          <w:szCs w:val="20"/>
          <w:color w:val="auto"/>
        </w:rPr>
      </w:pPr>
      <w:r>
        <w:rPr>
          <w:rFonts w:ascii="Arial" w:cs="Arial" w:eastAsia="Arial" w:hAnsi="Arial"/>
          <w:sz w:val="20"/>
          <w:szCs w:val="20"/>
          <w:color w:val="auto"/>
        </w:rPr>
        <w:t>This amendment to the Amended and Restated Employment Agreement (“Amendment”) made as of this 21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of July, 2022, is by and between Casella Waste Systems, Inc., a Delaware corporation with an address of 25 Greens Hill Lane, Rutland, VT 05701 (“Casella”) and Edwin Johnson, an individual and a resident of Center Rutland, Vermont (“Johnson”).</w:t>
      </w:r>
    </w:p>
    <w:p>
      <w:pPr>
        <w:spacing w:after="0" w:line="130" w:lineRule="exact"/>
        <w:rPr>
          <w:sz w:val="20"/>
          <w:szCs w:val="20"/>
          <w:color w:val="auto"/>
        </w:rPr>
      </w:pPr>
    </w:p>
    <w:p>
      <w:pPr>
        <w:ind w:right="1240" w:firstLine="648"/>
        <w:spacing w:after="0" w:line="263" w:lineRule="auto"/>
        <w:rPr>
          <w:sz w:val="20"/>
          <w:szCs w:val="20"/>
          <w:color w:val="auto"/>
        </w:rPr>
      </w:pPr>
      <w:r>
        <w:rPr>
          <w:rFonts w:ascii="Arial" w:cs="Arial" w:eastAsia="Arial" w:hAnsi="Arial"/>
          <w:sz w:val="22"/>
          <w:szCs w:val="22"/>
          <w:color w:val="auto"/>
        </w:rPr>
        <w:t>WHEREAS, Casella and Johnson are parties to that certain Amended and Restated Employment Agreement (“Agreement”) dated as of June 20, 2022; and</w:t>
      </w:r>
    </w:p>
    <w:p>
      <w:pPr>
        <w:spacing w:after="0" w:line="121"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WHEREAS, the Agreement remains in full force and effect, however, Casella and Johnson wish to clarify a certain term of the Agreement.</w:t>
      </w:r>
    </w:p>
    <w:p>
      <w:pPr>
        <w:spacing w:after="0" w:line="121" w:lineRule="exact"/>
        <w:rPr>
          <w:sz w:val="20"/>
          <w:szCs w:val="20"/>
          <w:color w:val="auto"/>
        </w:rPr>
      </w:pPr>
    </w:p>
    <w:p>
      <w:pPr>
        <w:ind w:right="480" w:firstLine="648"/>
        <w:spacing w:after="0" w:line="263" w:lineRule="auto"/>
        <w:rPr>
          <w:sz w:val="20"/>
          <w:szCs w:val="20"/>
          <w:color w:val="auto"/>
        </w:rPr>
      </w:pPr>
      <w:r>
        <w:rPr>
          <w:rFonts w:ascii="Arial" w:cs="Arial" w:eastAsia="Arial" w:hAnsi="Arial"/>
          <w:sz w:val="22"/>
          <w:szCs w:val="22"/>
          <w:color w:val="auto"/>
        </w:rPr>
        <w:t>NOW THEREFORE, in consideration of the foregoing premises, and the mutual conditions and covenants contained herein, the parties hereto, intending to be legally bound, do hereby agree as follows: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  Section 3.7 of the Agreement, Equity Awards, shall be deleted in its entirety and replaced with the following:</w:t>
      </w:r>
    </w:p>
    <w:p>
      <w:pPr>
        <w:spacing w:after="0" w:line="160" w:lineRule="exact"/>
        <w:rPr>
          <w:sz w:val="20"/>
          <w:szCs w:val="20"/>
          <w:color w:val="auto"/>
        </w:rPr>
      </w:pPr>
    </w:p>
    <w:p>
      <w:pPr>
        <w:ind w:right="480" w:firstLine="324"/>
        <w:spacing w:after="0" w:line="269" w:lineRule="auto"/>
        <w:rPr>
          <w:sz w:val="20"/>
          <w:szCs w:val="20"/>
          <w:color w:val="auto"/>
        </w:rPr>
      </w:pPr>
      <w:r>
        <w:rPr>
          <w:rFonts w:ascii="Arial" w:cs="Arial" w:eastAsia="Arial" w:hAnsi="Arial"/>
          <w:sz w:val="22"/>
          <w:szCs w:val="22"/>
          <w:b w:val="1"/>
          <w:bCs w:val="1"/>
          <w:color w:val="auto"/>
        </w:rPr>
        <w:t>Equity Awards. Employee shall no longer be eligible to receive equity awards, and any outstanding equity awards shall be terminated as of June 30, 2022.</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All other terms and conditions in the Agreement remain in effect.</w:t>
      </w:r>
    </w:p>
    <w:p>
      <w:pPr>
        <w:spacing w:after="0" w:line="166"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IN WITNESS WHEREOF, the parties have executed this Amendment to the Agreement effective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72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Arial" w:cs="Arial" w:eastAsia="Arial" w:hAnsi="Arial"/>
                <w:sz w:val="22"/>
                <w:szCs w:val="22"/>
                <w:b w:val="1"/>
                <w:bCs w:val="1"/>
                <w:color w:val="auto"/>
              </w:rPr>
              <w:t>CASELLA WASTE SYSTEMS, INC.</w:t>
            </w:r>
          </w:p>
        </w:tc>
        <w:tc>
          <w:tcPr>
            <w:tcW w:w="74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Arial" w:cs="Arial" w:eastAsia="Arial" w:hAnsi="Arial"/>
                <w:sz w:val="22"/>
                <w:szCs w:val="22"/>
                <w:b w:val="1"/>
                <w:bCs w:val="1"/>
                <w:color w:val="auto"/>
              </w:rPr>
              <w:t>EDWIN JOHNSON</w:t>
            </w:r>
          </w:p>
        </w:tc>
      </w:tr>
      <w:tr>
        <w:trPr>
          <w:trHeight w:val="24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Mead</w:t>
            </w:r>
          </w:p>
        </w:tc>
        <w:tc>
          <w:tcPr>
            <w:tcW w:w="740" w:type="dxa"/>
            <w:vAlign w:val="bottom"/>
          </w:tcPr>
          <w:p>
            <w:pPr>
              <w:ind w:left="2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Edwin Johnson</w:t>
            </w: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Jason Mead</w:t>
            </w:r>
          </w:p>
        </w:tc>
        <w:tc>
          <w:tcPr>
            <w:tcW w:w="740" w:type="dxa"/>
            <w:vAlign w:val="bottom"/>
          </w:tcPr>
          <w:p>
            <w:pPr>
              <w:ind w:left="20"/>
              <w:spacing w:after="0"/>
              <w:rPr>
                <w:sz w:val="20"/>
                <w:szCs w:val="20"/>
                <w:color w:val="auto"/>
              </w:rPr>
            </w:pPr>
            <w:r>
              <w:rPr>
                <w:rFonts w:ascii="Arial" w:cs="Arial" w:eastAsia="Arial" w:hAnsi="Arial"/>
                <w:sz w:val="18"/>
                <w:szCs w:val="18"/>
                <w:color w:val="auto"/>
              </w:rPr>
              <w:t>Name:</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Edwin D. Johnson</w:t>
            </w: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SVP and Treasurer</w:t>
            </w:r>
          </w:p>
        </w:tc>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Senior Operations Advisor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5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17" w:lineRule="exact"/>
        <w:rPr>
          <w:sz w:val="20"/>
          <w:szCs w:val="20"/>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July 29, 2022</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22"/>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W. Casella</w:t>
            </w:r>
          </w:p>
        </w:tc>
      </w:tr>
      <w:tr>
        <w:trPr>
          <w:trHeight w:val="230"/>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230"/>
        </w:trPr>
        <w:tc>
          <w:tcPr>
            <w:tcW w:w="5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17" w:lineRule="exact"/>
        <w:rPr>
          <w:sz w:val="20"/>
          <w:szCs w:val="20"/>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Date: July 29, 2022</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4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30"/>
        </w:trPr>
        <w:tc>
          <w:tcPr>
            <w:tcW w:w="4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Financial Officer</w:t>
            </w:r>
          </w:p>
        </w:tc>
      </w:tr>
      <w:tr>
        <w:trPr>
          <w:trHeight w:val="230"/>
        </w:trPr>
        <w:tc>
          <w:tcPr>
            <w:tcW w:w="43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June 30, 2022 as filed with the Securities and Exchange Commission on the date hereof (“Report”), the undersigned, John W. Casella, Chairman and Chief Executive Officer, hereby certifies, pursuant to 18 U.S.C. Section 1350, that, to his knowledge:</w:t>
      </w:r>
    </w:p>
    <w:p>
      <w:pPr>
        <w:spacing w:after="0" w:line="184" w:lineRule="exact"/>
        <w:rPr>
          <w:sz w:val="20"/>
          <w:szCs w:val="20"/>
          <w:color w:val="auto"/>
        </w:rPr>
      </w:pPr>
    </w:p>
    <w:p>
      <w:pPr>
        <w:ind w:left="640" w:hanging="227"/>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227"/>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July 29, 2022</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22"/>
        </w:trPr>
        <w:tc>
          <w:tcPr>
            <w:tcW w:w="56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56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June 30, 2022 as filed with the Securities and Exchange Commission on the date hereof (“Report”), the undersigned, Edmond R. Coletta, Senior Vice President and Chief Financial Officer, hereby certifies, pursuant to 18 U.S.C. Section 1350, that, to his knowledge:</w:t>
      </w:r>
    </w:p>
    <w:p>
      <w:pPr>
        <w:spacing w:after="0" w:line="184" w:lineRule="exact"/>
        <w:rPr>
          <w:sz w:val="20"/>
          <w:szCs w:val="20"/>
          <w:color w:val="auto"/>
        </w:rPr>
      </w:pPr>
    </w:p>
    <w:p>
      <w:pPr>
        <w:ind w:left="640" w:hanging="227"/>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227"/>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Date: July 29, 2022</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524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524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9"/>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lvl w:ilvl="1">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6" Type="http://schemas.openxmlformats.org/officeDocument/2006/relationships/image" Target="media/image53.png"/><Relationship Id="rId60" Type="http://schemas.openxmlformats.org/officeDocument/2006/relationships/hyperlink" Target="https://www.sec.gov/Archives/edgar/data/911177/000091117722000031/cwst-ex41loanagreement.htm" TargetMode="External"/><Relationship Id="rId61" Type="http://schemas.openxmlformats.org/officeDocument/2006/relationships/hyperlink" Target="https://www.sec.gov/Archives/edgar/data/911177/000091117722000031/cwst-ex42guarantyagreement.htm" TargetMode="External"/><Relationship Id="rId62" Type="http://schemas.openxmlformats.org/officeDocument/2006/relationships/hyperlink" Target="https://www.sec.gov/Archives/edgar/data/911177/000091117722000013/cwst-ex101033122.htm" TargetMode="External"/><Relationship Id="rId63" Type="http://schemas.openxmlformats.org/officeDocument/2006/relationships/hyperlink" Target="https://www.sec.gov/Archives/edgar/data/911177/000091117722000037/cwst-ex101062022.htm" TargetMode="External"/><Relationship Id="rId64" Type="http://schemas.openxmlformats.org/officeDocument/2006/relationships/hyperlink" Target="https://www.sec.gov/Archives/edgar/data/911177/000091117722000039/cwst-ex101041822.htm" TargetMode="External"/><Relationship Id="rId65" Type="http://schemas.openxmlformats.org/officeDocument/2006/relationships/hyperlink" Target="https://www.sec.gov/Archives/edgar/data/911177/000091117722000039/cwst-ex1020418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2022-07-29T15:58:49Z</dcterms:created>
  <dcterms:modified xsi:type="dcterms:W3CDTF">2022-07-29T15:58:49Z</dcterms:modified>
</cp:coreProperties>
</file>