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Heald Christopher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CASELLA WASTE SYSTEMS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CWST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GREENS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RUTLAND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VT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23,116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80,513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2,670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49.186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77,843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3,778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48.994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74,065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8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acquired by the reporting person upon the vesting of performance-based stock units (PSUs) granted to the reporting person on February 28, 2017, as a result of the level of achievement by Casella Waste Systems, Inc. of certain performance objectives during the third year of the three-year performance period running from January 1, 2017 to December 31, 2019, multiplied by a relative total shareholder return multiplier for the period running from January 1, 2017 to December 31, 2019.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automatic sale of stock for tax withholding purposes pursuant to a Rule 10b5-1 trading plan adopted by the reporting person on March 14, 2017, in connection with the vesting of PSUs on February 27,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sales price for shares sold in multiple transactions, at prices ranging from $49.00 to $49.47, inclusive.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sales price for shares sold in multiple transactions, at prices ranging from $48.75 to $49.25, inclusive.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/s/Christopher Heald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03/02/2020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864" TargetMode="External"/><Relationship Id="rId13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2020-03-02T17:00:13Z</dcterms:created>
  <dcterms:modified xsi:type="dcterms:W3CDTF">2020-03-02T17:00:13Z</dcterms:modified>
</cp:coreProperties>
</file>