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697230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 2023</w:t>
      </w:r>
    </w:p>
    <w:p>
      <w:pPr>
        <w:spacing w:after="0" w:line="27"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Casella Waste Systems,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7"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ectPr>
          <w:pgSz w:w="11900" w:h="16838" w:orient="portrait"/>
          <w:cols w:equalWidth="0" w:num="1">
            <w:col w:w="11220"/>
          </w:cols>
          <w:pgMar w:left="320" w:top="1178" w:right="359" w:bottom="1440" w:gutter="0" w:footer="0" w:header="0"/>
        </w:sectPr>
      </w:pPr>
    </w:p>
    <w:p>
      <w:pPr>
        <w:spacing w:after="0" w:line="26"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380"/>
        <w:spacing w:after="0"/>
        <w:rPr>
          <w:sz w:val="20"/>
          <w:szCs w:val="20"/>
          <w:color w:val="auto"/>
        </w:rPr>
      </w:pPr>
      <w:r>
        <w:rPr>
          <w:rFonts w:ascii="Arial" w:cs="Arial" w:eastAsia="Arial" w:hAnsi="Arial"/>
          <w:sz w:val="15"/>
          <w:szCs w:val="15"/>
          <w:b w:val="1"/>
          <w:bCs w:val="1"/>
          <w:color w:val="auto"/>
        </w:rPr>
        <w:t>000-23211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03-0338873</w:t>
      </w:r>
    </w:p>
    <w:p>
      <w:pPr>
        <w:spacing w:after="0" w:line="45" w:lineRule="exact"/>
        <w:rPr>
          <w:sz w:val="24"/>
          <w:szCs w:val="24"/>
          <w:color w:val="auto"/>
        </w:rPr>
      </w:pPr>
    </w:p>
    <w:p>
      <w:pPr>
        <w:sectPr>
          <w:pgSz w:w="11900" w:h="16838" w:orient="portrait"/>
          <w:cols w:equalWidth="0" w:num="3">
            <w:col w:w="4520" w:space="720"/>
            <w:col w:w="3140" w:space="720"/>
            <w:col w:w="2120"/>
          </w:cols>
          <w:pgMar w:left="320" w:top="1178" w:right="359" w:bottom="1440" w:gutter="0" w:footer="0" w:header="0"/>
          <w:type w:val="continuous"/>
        </w:sectPr>
      </w:pPr>
    </w:p>
    <w:p>
      <w:pPr>
        <w:spacing w:after="0" w:line="5"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b w:val="1"/>
          <w:bCs w:val="1"/>
          <w:color w:val="auto"/>
        </w:rPr>
        <w:t>(IRS Employer</w:t>
      </w:r>
    </w:p>
    <w:p>
      <w:pPr>
        <w:jc w:val="center"/>
        <w:ind w:right="1120"/>
        <w:spacing w:after="0"/>
        <w:rPr>
          <w:sz w:val="20"/>
          <w:szCs w:val="20"/>
          <w:color w:val="auto"/>
        </w:rPr>
      </w:pPr>
      <w:r>
        <w:rPr>
          <w:rFonts w:ascii="Arial" w:cs="Arial" w:eastAsia="Arial" w:hAnsi="Arial"/>
          <w:sz w:val="13"/>
          <w:szCs w:val="13"/>
          <w:b w:val="1"/>
          <w:bCs w:val="1"/>
          <w:color w:val="auto"/>
        </w:rPr>
        <w:t>Identification No.)</w:t>
      </w:r>
    </w:p>
    <w:p>
      <w:pPr>
        <w:spacing w:after="0" w:line="145" w:lineRule="exact"/>
        <w:rPr>
          <w:sz w:val="24"/>
          <w:szCs w:val="24"/>
          <w:color w:val="auto"/>
        </w:rPr>
      </w:pPr>
    </w:p>
    <w:p>
      <w:pPr>
        <w:sectPr>
          <w:pgSz w:w="11900" w:h="16838" w:orient="portrait"/>
          <w:cols w:equalWidth="0" w:num="3">
            <w:col w:w="4500" w:space="720"/>
            <w:col w:w="3040" w:space="720"/>
            <w:col w:w="2240"/>
          </w:cols>
          <w:pgMar w:left="320" w:top="1178" w:right="359" w:bottom="1440" w:gutter="0" w:footer="0" w:header="0"/>
          <w:type w:val="continuous"/>
        </w:sectPr>
      </w:pPr>
    </w:p>
    <w:p>
      <w:pPr>
        <w:ind w:left="3340"/>
        <w:spacing w:after="0"/>
        <w:rPr>
          <w:sz w:val="20"/>
          <w:szCs w:val="20"/>
          <w:color w:val="auto"/>
        </w:rPr>
      </w:pPr>
      <w:r>
        <w:rPr>
          <w:rFonts w:ascii="Arial" w:cs="Arial" w:eastAsia="Arial" w:hAnsi="Arial"/>
          <w:sz w:val="13"/>
          <w:szCs w:val="13"/>
          <w:b w:val="1"/>
          <w:bCs w:val="1"/>
          <w:color w:val="auto"/>
        </w:rPr>
        <w:t>25 Greens Hill Lane,</w:t>
      </w:r>
    </w:p>
    <w:p>
      <w:pPr>
        <w:sectPr>
          <w:pgSz w:w="11900" w:h="16838" w:orient="portrait"/>
          <w:cols w:equalWidth="0" w:num="1">
            <w:col w:w="11220"/>
          </w:cols>
          <w:pgMar w:left="320" w:top="1178" w:right="359" w:bottom="1440" w:gutter="0" w:footer="0" w:header="0"/>
          <w:type w:val="continuous"/>
        </w:sectPr>
      </w:pPr>
    </w:p>
    <w:p>
      <w:pPr>
        <w:spacing w:after="0" w:line="53"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Rutland, Vermont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05701</w:t>
      </w:r>
    </w:p>
    <w:p>
      <w:pPr>
        <w:spacing w:after="0" w:line="64" w:lineRule="exact"/>
        <w:rPr>
          <w:sz w:val="24"/>
          <w:szCs w:val="24"/>
          <w:color w:val="auto"/>
        </w:rPr>
      </w:pPr>
    </w:p>
    <w:p>
      <w:pPr>
        <w:sectPr>
          <w:pgSz w:w="11900" w:h="16838" w:orient="portrait"/>
          <w:cols w:equalWidth="0" w:num="2">
            <w:col w:w="6400" w:space="720"/>
            <w:col w:w="4100"/>
          </w:cols>
          <w:pgMar w:left="320" w:top="1178" w:right="359" w:bottom="1440" w:gutter="0" w:footer="0" w:header="0"/>
          <w:type w:val="continuous"/>
        </w:sectPr>
      </w:pPr>
    </w:p>
    <w:p>
      <w:pPr>
        <w:ind w:left="27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6240" w:space="720"/>
            <w:col w:w="4260"/>
          </w:cols>
          <w:pgMar w:left="320" w:top="1178" w:right="359" w:bottom="1440" w:gutter="0" w:footer="0" w:header="0"/>
          <w:type w:val="continuous"/>
        </w:sectPr>
      </w:pP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200" w:lineRule="exact"/>
        <w:rPr>
          <w:sz w:val="24"/>
          <w:szCs w:val="24"/>
          <w:color w:val="auto"/>
        </w:rPr>
      </w:pPr>
    </w:p>
    <w:p>
      <w:pPr>
        <w:spacing w:after="0" w:line="233" w:lineRule="exact"/>
        <w:rPr>
          <w:sz w:val="24"/>
          <w:szCs w:val="24"/>
          <w:color w:val="auto"/>
        </w:rPr>
      </w:pPr>
    </w:p>
    <w:p>
      <w:pPr>
        <w:ind w:right="180" w:firstLine="48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10"/>
        </w:trPr>
        <w:tc>
          <w:tcPr>
            <w:tcW w:w="3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9"/>
                <w:szCs w:val="9"/>
                <w:color w:val="auto"/>
              </w:rPr>
            </w:pP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74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3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640" w:type="dxa"/>
            <w:vAlign w:val="bottom"/>
          </w:tcPr>
          <w:p>
            <w:pPr>
              <w:jc w:val="center"/>
              <w:spacing w:after="0"/>
              <w:rPr>
                <w:sz w:val="20"/>
                <w:szCs w:val="20"/>
                <w:color w:val="auto"/>
              </w:rPr>
            </w:pPr>
            <w:r>
              <w:rPr>
                <w:rFonts w:ascii="Arial" w:cs="Arial" w:eastAsia="Arial" w:hAnsi="Arial"/>
                <w:sz w:val="14"/>
                <w:szCs w:val="14"/>
                <w:color w:val="auto"/>
                <w:w w:val="91"/>
              </w:rPr>
              <w:t>Class A common stock, $0.01 par value per share</w:t>
            </w:r>
          </w:p>
        </w:tc>
        <w:tc>
          <w:tcPr>
            <w:tcW w:w="1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w w:val="92"/>
              </w:rPr>
              <w:t>CWST</w:t>
            </w: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97"/>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33655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67945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1" w:name="page2"/>
    <w:bookmarkEnd w:id="1"/>
    <w:p>
      <w:pPr>
        <w:ind w:left="900" w:right="200" w:hanging="1295"/>
        <w:spacing w:after="0" w:line="266"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72" w:lineRule="exact"/>
        <w:rPr>
          <w:sz w:val="20"/>
          <w:szCs w:val="20"/>
          <w:color w:val="auto"/>
        </w:rPr>
      </w:pPr>
    </w:p>
    <w:p>
      <w:pPr>
        <w:jc w:val="both"/>
        <w:ind w:right="260" w:firstLine="486"/>
        <w:spacing w:after="0" w:line="294" w:lineRule="auto"/>
        <w:rPr>
          <w:sz w:val="20"/>
          <w:szCs w:val="20"/>
          <w:color w:val="auto"/>
        </w:rPr>
      </w:pPr>
      <w:r>
        <w:rPr>
          <w:rFonts w:ascii="Arial" w:cs="Arial" w:eastAsia="Arial" w:hAnsi="Arial"/>
          <w:sz w:val="17"/>
          <w:szCs w:val="17"/>
          <w:color w:val="auto"/>
        </w:rPr>
        <w:t>At the 2023 Annual Meeting of Stockholders of Casella Waste Systems, Inc. (the “Company”) held on June 1, 2023 (the “Annual Meeting”), the Company’s stockholders approved the Second Amended and Restated 1997 Employee Stock Purchase Plan (the “Amended and Restated ESPP”), which had previously been adopted by the Company’s Board of Directors (the “Board”) subject to stockholder approval.</w:t>
      </w:r>
    </w:p>
    <w:p>
      <w:pPr>
        <w:spacing w:after="0" w:line="65" w:lineRule="exact"/>
        <w:rPr>
          <w:sz w:val="20"/>
          <w:szCs w:val="20"/>
          <w:color w:val="auto"/>
        </w:rPr>
      </w:pPr>
    </w:p>
    <w:p>
      <w:pPr>
        <w:ind w:right="160" w:firstLine="486"/>
        <w:spacing w:after="0" w:line="294" w:lineRule="auto"/>
        <w:rPr>
          <w:rFonts w:ascii="Arial" w:cs="Arial" w:eastAsia="Arial" w:hAnsi="Arial"/>
          <w:sz w:val="17"/>
          <w:szCs w:val="17"/>
          <w:color w:val="0000FF"/>
        </w:rPr>
      </w:pPr>
      <w:hyperlink r:id="rId13">
        <w:r>
          <w:rPr>
            <w:rFonts w:ascii="Arial" w:cs="Arial" w:eastAsia="Arial" w:hAnsi="Arial"/>
            <w:sz w:val="17"/>
            <w:szCs w:val="17"/>
            <w:color w:val="auto"/>
          </w:rPr>
          <w:t xml:space="preserve">The description of the Amended and Restated ESPP contained on pages 77 to 82 of the </w:t>
        </w:r>
        <w:r>
          <w:rPr>
            <w:rFonts w:ascii="Arial" w:cs="Arial" w:eastAsia="Arial" w:hAnsi="Arial"/>
            <w:sz w:val="17"/>
            <w:szCs w:val="17"/>
            <w:u w:val="single" w:color="auto"/>
            <w:color w:val="0000FF"/>
          </w:rPr>
          <w:t>Company’s definitive proxy statement for the Annual</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FF"/>
          </w:rPr>
          <w:t>Meeting, filed with the Securities and Exchange Commission (the “SEC”) on April 14, 2023</w:t>
        </w:r>
        <w:r>
          <w:rPr>
            <w:rFonts w:ascii="Arial" w:cs="Arial" w:eastAsia="Arial" w:hAnsi="Arial"/>
            <w:sz w:val="17"/>
            <w:szCs w:val="17"/>
            <w:color w:val="0000FF"/>
          </w:rPr>
          <w:t xml:space="preserve"> </w:t>
        </w:r>
        <w:r>
          <w:rPr>
            <w:rFonts w:ascii="Arial" w:cs="Arial" w:eastAsia="Arial" w:hAnsi="Arial"/>
            <w:sz w:val="17"/>
            <w:szCs w:val="17"/>
            <w:color w:val="000000"/>
          </w:rPr>
          <w:t xml:space="preserve">(the “Proxy Statement”), is incorporated herein by </w:t>
        </w:r>
      </w:hyperlink>
      <w:r>
        <w:rPr>
          <w:rFonts w:ascii="Arial" w:cs="Arial" w:eastAsia="Arial" w:hAnsi="Arial"/>
          <w:sz w:val="17"/>
          <w:szCs w:val="17"/>
          <w:color w:val="0000FF"/>
        </w:rPr>
        <w:t xml:space="preserve">reference. </w:t>
      </w:r>
      <w:r>
        <w:rPr>
          <w:rFonts w:ascii="Arial" w:cs="Arial" w:eastAsia="Arial" w:hAnsi="Arial"/>
          <w:sz w:val="17"/>
          <w:szCs w:val="17"/>
          <w:color w:val="000000"/>
        </w:rPr>
        <w:t>A complete copy of the Amended and Restated ESPP is attached hereto as Exhibit 99.1 and is incorporated herein by reference.</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At the Annual Meeting, the Company’s stockholders voted on the following matters, which are described in detail in the Proxy Statement: (i) to elect three Class II directors, each to serve a term expiring at the 2026 Annual Meeting of Stockholders (“Proposal 1”); (ii) to approve the Amended and Restated ESPP (“Proposal 2”); (iii) to approve, in an advisory “say-on-pay” vote, the compensation of the Company’s named executive officers (“Proposal 3”); (iv) to recommend, in an advisory “say-on-frequency” vote, the frequency of future advisory “say-on-pay” votes (“Proposal 4”); and (v) to ratify the appointment of RSM US LLP as the Company’s independent auditors for the fiscal year ending December 31, 2023 (“Proposal 5”). At the Annual Meeting, the stockholders of the Company elected the nominees of the Board, Michael L. Battles, Joseph G. Doody and Emily Nagle Green, as Class II directors, approved Proposal 2, Proposal 3 and Proposal 5 and recommended a frequency of “1 Year” on Proposal 4. At the Annual Meeting, the holders of shares of the Company’s Class A common stock and Class B common stock representing 58,502,872 votes were represented in person or by proxy, constituting a quorum.</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are the final voting totals for the proposals acted upon at the Annual Meeting:</w:t>
      </w:r>
    </w:p>
    <w:p>
      <w:pPr>
        <w:spacing w:after="0" w:line="266" w:lineRule="exact"/>
        <w:rPr>
          <w:sz w:val="20"/>
          <w:szCs w:val="20"/>
          <w:color w:val="auto"/>
        </w:rPr>
      </w:pPr>
    </w:p>
    <w:p>
      <w:pPr>
        <w:ind w:left="1220" w:right="240" w:hanging="1186"/>
        <w:spacing w:after="0" w:line="235" w:lineRule="auto"/>
        <w:tabs>
          <w:tab w:leader="none" w:pos="120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The following nominees were elected to the Board as Class II directors, each to serve for a term expiring at the 2026 Annual Meeting of Stockholders.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Nominee</w:t>
            </w:r>
          </w:p>
        </w:tc>
        <w:tc>
          <w:tcPr>
            <w:tcW w:w="8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80" w:type="dxa"/>
            <w:vAlign w:val="bottom"/>
          </w:tcPr>
          <w:p>
            <w:pPr>
              <w:spacing w:after="0"/>
              <w:rPr>
                <w:sz w:val="20"/>
                <w:szCs w:val="20"/>
                <w:color w:val="auto"/>
              </w:rPr>
            </w:pPr>
          </w:p>
        </w:tc>
        <w:tc>
          <w:tcPr>
            <w:tcW w:w="27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Votes Withheld</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6"/>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L. Battles</w:t>
            </w:r>
          </w:p>
        </w:tc>
        <w:tc>
          <w:tcPr>
            <w:tcW w:w="2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37,041,452</w:t>
            </w:r>
          </w:p>
        </w:tc>
        <w:tc>
          <w:tcPr>
            <w:tcW w:w="2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19,354,456</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2,106,964</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Joseph G. Doody</w:t>
            </w: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88"/>
              </w:rPr>
              <w:t>42,471,182</w:t>
            </w:r>
          </w:p>
        </w:tc>
        <w:tc>
          <w:tcPr>
            <w:tcW w:w="2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4,042,726</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2,106,964</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Nagle Green</w:t>
            </w:r>
          </w:p>
        </w:tc>
        <w:tc>
          <w:tcPr>
            <w:tcW w:w="2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28,745,486</w:t>
            </w:r>
          </w:p>
        </w:tc>
        <w:tc>
          <w:tcPr>
            <w:tcW w:w="2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27,650,422</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2,106,964</w:t>
            </w:r>
          </w:p>
        </w:tc>
      </w:tr>
    </w:tbl>
    <w:p>
      <w:pPr>
        <w:spacing w:after="0" w:line="229" w:lineRule="exact"/>
        <w:rPr>
          <w:sz w:val="20"/>
          <w:szCs w:val="20"/>
          <w:color w:val="auto"/>
        </w:rPr>
      </w:pPr>
    </w:p>
    <w:p>
      <w:pPr>
        <w:jc w:val="both"/>
        <w:ind w:right="20" w:firstLine="486"/>
        <w:spacing w:after="0" w:line="293" w:lineRule="auto"/>
        <w:rPr>
          <w:sz w:val="20"/>
          <w:szCs w:val="20"/>
          <w:color w:val="auto"/>
        </w:rPr>
      </w:pPr>
      <w:r>
        <w:rPr>
          <w:rFonts w:ascii="Arial" w:cs="Arial" w:eastAsia="Arial" w:hAnsi="Arial"/>
          <w:sz w:val="18"/>
          <w:szCs w:val="18"/>
          <w:color w:val="auto"/>
        </w:rPr>
        <w:t>Mr. Doody was nominated as the Company’s Class A director. Under the Company’s certificate of incorporation, the holders of the Company’s Class A common stock, voting separately as a class, are entitled to elect the Class A director.</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terms of the following directors continued after the Annual Meeting: John W. Casella, William P. Hulligan, Rose Stuckey Kirk, Michael 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Burke, Douglas R. Casella and Gary Sova.</w:t>
      </w:r>
    </w:p>
    <w:p>
      <w:pPr>
        <w:spacing w:after="0" w:line="26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5"/>
          <w:szCs w:val="15"/>
          <w:color w:val="auto"/>
        </w:rPr>
        <w:t>The Casella Waste Systems, Inc. Second Amended and Restated 1997 Employee Stock Purchase Plan was approved.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Abstaining</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6"/>
        </w:trPr>
        <w:tc>
          <w:tcPr>
            <w:tcW w:w="2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56,370,262</w:t>
            </w:r>
          </w:p>
        </w:tc>
        <w:tc>
          <w:tcPr>
            <w:tcW w:w="28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19,163</w:t>
            </w:r>
          </w:p>
        </w:tc>
        <w:tc>
          <w:tcPr>
            <w:tcW w:w="282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6,483</w:t>
            </w:r>
          </w:p>
        </w:tc>
        <w:tc>
          <w:tcPr>
            <w:tcW w:w="28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2,106,964</w:t>
            </w:r>
          </w:p>
        </w:tc>
      </w:tr>
    </w:tbl>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i w:val="1"/>
          <w:iCs w:val="1"/>
          <w:color w:val="auto"/>
        </w:rPr>
        <w:t>Proposal 3:</w:t>
      </w:r>
      <w:r>
        <w:rPr>
          <w:sz w:val="20"/>
          <w:szCs w:val="20"/>
          <w:color w:val="auto"/>
        </w:rPr>
        <w:tab/>
      </w:r>
      <w:r>
        <w:rPr>
          <w:rFonts w:ascii="Arial" w:cs="Arial" w:eastAsia="Arial" w:hAnsi="Arial"/>
          <w:sz w:val="16"/>
          <w:szCs w:val="16"/>
          <w:color w:val="auto"/>
        </w:rPr>
        <w:t>An advisory “say-on-pay” vote on the compensation of the Company’s named executive officers was approved.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Abstaining</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7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54,468,844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1,911,774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15,290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2,106,964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both"/>
        <w:ind w:left="1220" w:right="60" w:hanging="1184"/>
        <w:spacing w:after="0" w:line="235" w:lineRule="auto"/>
        <w:tabs>
          <w:tab w:leader="none" w:pos="1200" w:val="left"/>
        </w:tabs>
        <w:rPr>
          <w:sz w:val="20"/>
          <w:szCs w:val="20"/>
          <w:color w:val="auto"/>
        </w:rPr>
      </w:pPr>
      <w:r>
        <w:rPr>
          <w:rFonts w:ascii="Arial" w:cs="Arial" w:eastAsia="Arial" w:hAnsi="Arial"/>
          <w:sz w:val="18"/>
          <w:szCs w:val="18"/>
          <w:i w:val="1"/>
          <w:iCs w:val="1"/>
          <w:color w:val="auto"/>
        </w:rPr>
        <w:t>Proposal 4:</w:t>
      </w:r>
      <w:r>
        <w:rPr>
          <w:sz w:val="20"/>
          <w:szCs w:val="20"/>
          <w:color w:val="auto"/>
        </w:rPr>
        <w:tab/>
      </w:r>
      <w:r>
        <w:rPr>
          <w:rFonts w:ascii="Arial" w:cs="Arial" w:eastAsia="Arial" w:hAnsi="Arial"/>
          <w:sz w:val="18"/>
          <w:szCs w:val="18"/>
          <w:color w:val="auto"/>
        </w:rPr>
        <w:t>The stockholders recommended, in an advisory “say-on-frequency” vote, that the frequency of future advisory “say-on-pay” votes be held every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Every 1 Year</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Every 2 Years</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Every 3 Years</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Abstaining</w:t>
            </w:r>
          </w:p>
        </w:tc>
        <w:tc>
          <w:tcPr>
            <w:tcW w:w="8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9"/>
        </w:trPr>
        <w:tc>
          <w:tcPr>
            <w:tcW w:w="2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55,071,754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27,423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1,288,211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8,520</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2,106,964</w:t>
            </w:r>
          </w:p>
        </w:tc>
      </w:tr>
    </w:tbl>
    <w:p>
      <w:pPr>
        <w:spacing w:after="0" w:line="188" w:lineRule="exact"/>
        <w:rPr>
          <w:sz w:val="20"/>
          <w:szCs w:val="20"/>
          <w:color w:val="auto"/>
        </w:rPr>
      </w:pPr>
    </w:p>
    <w:p>
      <w:pPr>
        <w:jc w:val="both"/>
        <w:ind w:right="80" w:firstLine="486"/>
        <w:spacing w:after="0" w:line="271" w:lineRule="auto"/>
        <w:rPr>
          <w:sz w:val="20"/>
          <w:szCs w:val="20"/>
          <w:color w:val="auto"/>
        </w:rPr>
      </w:pPr>
      <w:r>
        <w:rPr>
          <w:rFonts w:ascii="Arial" w:cs="Arial" w:eastAsia="Arial" w:hAnsi="Arial"/>
          <w:sz w:val="18"/>
          <w:szCs w:val="18"/>
          <w:color w:val="auto"/>
        </w:rPr>
        <w:t>After taking into consideration the foregoing voting results and the Board’s prior recommendation in favor of an annual advisory “say-on-pay” vote on the compensation of the Company’s named executive officers, the Board intends to hold future advisory “say-on-pay” votes on the compensation of the Company’s named executive officers every year.</w:t>
      </w:r>
    </w:p>
    <w:p>
      <w:pPr>
        <w:spacing w:after="0" w:line="338" w:lineRule="exact"/>
        <w:rPr>
          <w:sz w:val="20"/>
          <w:szCs w:val="20"/>
          <w:color w:val="auto"/>
        </w:rPr>
      </w:pPr>
    </w:p>
    <w:p>
      <w:pPr>
        <w:ind w:left="1220" w:right="60" w:hanging="1184"/>
        <w:spacing w:after="0" w:line="235" w:lineRule="auto"/>
        <w:tabs>
          <w:tab w:leader="none" w:pos="1200" w:val="left"/>
        </w:tabs>
        <w:rPr>
          <w:sz w:val="20"/>
          <w:szCs w:val="20"/>
          <w:color w:val="auto"/>
        </w:rPr>
      </w:pPr>
      <w:r>
        <w:rPr>
          <w:rFonts w:ascii="Arial" w:cs="Arial" w:eastAsia="Arial" w:hAnsi="Arial"/>
          <w:sz w:val="18"/>
          <w:szCs w:val="18"/>
          <w:i w:val="1"/>
          <w:iCs w:val="1"/>
          <w:color w:val="auto"/>
        </w:rPr>
        <w:t>Proposal 5:</w:t>
      </w:r>
      <w:r>
        <w:rPr>
          <w:sz w:val="20"/>
          <w:szCs w:val="20"/>
          <w:color w:val="auto"/>
        </w:rPr>
        <w:tab/>
      </w:r>
      <w:r>
        <w:rPr>
          <w:rFonts w:ascii="Arial" w:cs="Arial" w:eastAsia="Arial" w:hAnsi="Arial"/>
          <w:sz w:val="18"/>
          <w:szCs w:val="18"/>
          <w:color w:val="auto"/>
        </w:rPr>
        <w:t>The appointment of RSM US LLP, an independent registered public accounting firm, as the Company’s independent auditors for the fiscal year ending December 31, 2023 was ratified.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1053"/>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Votes Abstaining</w:t>
            </w:r>
          </w:p>
        </w:tc>
      </w:tr>
      <w:tr>
        <w:trPr>
          <w:trHeight w:val="237"/>
        </w:trPr>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right"/>
              <w:ind w:right="1333"/>
              <w:spacing w:after="0"/>
              <w:rPr>
                <w:sz w:val="20"/>
                <w:szCs w:val="20"/>
                <w:color w:val="auto"/>
              </w:rPr>
            </w:pPr>
            <w:r>
              <w:rPr>
                <w:rFonts w:ascii="Arial" w:cs="Arial" w:eastAsia="Arial" w:hAnsi="Arial"/>
                <w:sz w:val="18"/>
                <w:szCs w:val="18"/>
                <w:color w:val="auto"/>
              </w:rPr>
              <w:t>57,742,939</w:t>
            </w:r>
          </w:p>
        </w:tc>
        <w:tc>
          <w:tcPr>
            <w:tcW w:w="3760" w:type="dxa"/>
            <w:vAlign w:val="bottom"/>
            <w:gridSpan w:val="2"/>
            <w:shd w:val="clear" w:color="auto" w:fill="CCEEFF"/>
          </w:tcPr>
          <w:p>
            <w:pPr>
              <w:jc w:val="right"/>
              <w:ind w:right="1450"/>
              <w:spacing w:after="0"/>
              <w:rPr>
                <w:sz w:val="20"/>
                <w:szCs w:val="20"/>
                <w:color w:val="auto"/>
              </w:rPr>
            </w:pPr>
            <w:r>
              <w:rPr>
                <w:rFonts w:ascii="Arial" w:cs="Arial" w:eastAsia="Arial" w:hAnsi="Arial"/>
                <w:sz w:val="18"/>
                <w:szCs w:val="18"/>
                <w:color w:val="auto"/>
              </w:rPr>
              <w:t>758,145</w:t>
            </w:r>
          </w:p>
        </w:tc>
        <w:tc>
          <w:tcPr>
            <w:tcW w:w="3580" w:type="dxa"/>
            <w:vAlign w:val="bottom"/>
            <w:gridSpan w:val="2"/>
            <w:shd w:val="clear" w:color="auto" w:fill="CCEEFF"/>
          </w:tcPr>
          <w:p>
            <w:pPr>
              <w:jc w:val="right"/>
              <w:ind w:right="1350"/>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spacing w:after="0"/>
              <w:rPr>
                <w:sz w:val="20"/>
                <w:szCs w:val="20"/>
                <w:color w:val="auto"/>
              </w:rPr>
            </w:pPr>
          </w:p>
        </w:tc>
      </w:tr>
      <w:tr>
        <w:trPr>
          <w:trHeight w:val="513"/>
        </w:trPr>
        <w:tc>
          <w:tcPr>
            <w:tcW w:w="3680" w:type="dxa"/>
            <w:vAlign w:val="bottom"/>
            <w:gridSpan w:val="5"/>
          </w:tcPr>
          <w:p>
            <w:pPr>
              <w:spacing w:after="0"/>
              <w:rPr>
                <w:sz w:val="20"/>
                <w:szCs w:val="20"/>
                <w:color w:val="auto"/>
              </w:rPr>
            </w:pPr>
            <w:r>
              <w:rPr>
                <w:rFonts w:ascii="Arial" w:cs="Arial" w:eastAsia="Arial" w:hAnsi="Arial"/>
                <w:sz w:val="18"/>
                <w:szCs w:val="18"/>
                <w:b w:val="1"/>
                <w:bCs w:val="1"/>
                <w:color w:val="auto"/>
                <w:w w:val="94"/>
              </w:rPr>
              <w:t>Item 9.01   Financial Statements and Exhibits.</w:t>
            </w: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3320" w:type="dxa"/>
            <w:vAlign w:val="bottom"/>
            <w:gridSpan w:val="4"/>
          </w:tcPr>
          <w:p>
            <w:pPr>
              <w:ind w:left="60"/>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5"/>
        </w:trPr>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
        </w:trPr>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60" w:type="dxa"/>
            <w:vAlign w:val="bottom"/>
            <w:tcBorders>
              <w:bottom w:val="single" w:sz="8" w:color="auto"/>
            </w:tcBorders>
            <w:gridSpan w:val="5"/>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680" w:type="dxa"/>
            <w:vAlign w:val="bottom"/>
            <w:gridSpan w:val="2"/>
          </w:tcPr>
          <w:p>
            <w:pPr>
              <w:jc w:val="center"/>
              <w:ind w:left="273"/>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6"/>
          </w:tcPr>
          <w:p>
            <w:pPr>
              <w:ind w:left="20"/>
              <w:spacing w:after="0"/>
              <w:rPr>
                <w:sz w:val="20"/>
                <w:szCs w:val="20"/>
                <w:color w:val="auto"/>
              </w:rPr>
            </w:pPr>
            <w:r>
              <w:rPr>
                <w:rFonts w:ascii="Arial" w:cs="Arial" w:eastAsia="Arial" w:hAnsi="Arial"/>
                <w:sz w:val="18"/>
                <w:szCs w:val="18"/>
                <w:color w:val="auto"/>
                <w:w w:val="91"/>
              </w:rPr>
              <w:t>Second Amended and Restated 1997 Employee Stock Purchase Plan (incorporated herein by reference to Appendix A to the Company’s</w:t>
            </w:r>
          </w:p>
        </w:tc>
      </w:tr>
      <w:tr>
        <w:trPr>
          <w:trHeight w:val="210"/>
        </w:trPr>
        <w:tc>
          <w:tcPr>
            <w:tcW w:w="36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Proxy Statement as filed with the SEC on April 14, 2023 (File No. 000-23211))</w:t>
            </w: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9"/>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23"/>
                <w:szCs w:val="23"/>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7"/>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Inline XBRL Taxonomy Label Linkbase Document.**</w:t>
            </w: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3"/>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Inline XBRL Taxonomy Presentation Linkbase Document.**</w:t>
            </w: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53" w:lineRule="exact"/>
        <w:rPr>
          <w:sz w:val="20"/>
          <w:szCs w:val="20"/>
          <w:color w:val="auto"/>
        </w:rPr>
      </w:pPr>
    </w:p>
    <w:p>
      <w:pPr>
        <w:ind w:left="1180" w:right="600" w:hanging="797"/>
        <w:spacing w:after="0" w:line="246"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48" w:lineRule="exact"/>
        <w:rPr>
          <w:sz w:val="20"/>
          <w:szCs w:val="20"/>
          <w:color w:val="auto"/>
        </w:rPr>
      </w:pPr>
    </w:p>
    <w:p>
      <w:pPr>
        <w:ind w:left="1180" w:hanging="75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7" w:right="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0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6660" w:type="dxa"/>
            <w:vAlign w:val="bottom"/>
            <w:gridSpan w:val="2"/>
          </w:tcPr>
          <w:p>
            <w:pPr>
              <w:ind w:left="1000"/>
              <w:spacing w:after="0"/>
              <w:rPr>
                <w:sz w:val="20"/>
                <w:szCs w:val="20"/>
                <w:color w:val="auto"/>
              </w:rPr>
            </w:pPr>
            <w:r>
              <w:rPr>
                <w:rFonts w:ascii="Arial" w:cs="Arial" w:eastAsia="Arial" w:hAnsi="Arial"/>
                <w:sz w:val="18"/>
                <w:szCs w:val="18"/>
                <w:b w:val="1"/>
                <w:bCs w:val="1"/>
                <w:color w:val="auto"/>
              </w:rPr>
              <w:t>CASELLA WASTE SYSTEMS, INC.</w:t>
            </w:r>
          </w:p>
        </w:tc>
      </w:tr>
      <w:tr>
        <w:trPr>
          <w:trHeight w:val="513"/>
        </w:trPr>
        <w:tc>
          <w:tcPr>
            <w:tcW w:w="2340" w:type="dxa"/>
            <w:vAlign w:val="bottom"/>
          </w:tcPr>
          <w:p>
            <w:pPr>
              <w:spacing w:after="0"/>
              <w:rPr>
                <w:sz w:val="20"/>
                <w:szCs w:val="20"/>
                <w:color w:val="auto"/>
              </w:rPr>
            </w:pPr>
            <w:r>
              <w:rPr>
                <w:rFonts w:ascii="Arial" w:cs="Arial" w:eastAsia="Arial" w:hAnsi="Arial"/>
                <w:sz w:val="18"/>
                <w:szCs w:val="18"/>
                <w:color w:val="auto"/>
              </w:rPr>
              <w:t>Date: June 2, 2023</w:t>
            </w:r>
          </w:p>
        </w:tc>
        <w:tc>
          <w:tcPr>
            <w:tcW w:w="1700" w:type="dxa"/>
            <w:vAlign w:val="bottom"/>
          </w:tcPr>
          <w:p>
            <w:pPr>
              <w:ind w:left="1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Edmond R. Coletta</w:t>
            </w:r>
          </w:p>
        </w:tc>
      </w:tr>
      <w:tr>
        <w:trPr>
          <w:trHeight w:val="222"/>
        </w:trPr>
        <w:tc>
          <w:tcPr>
            <w:tcW w:w="2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sectPr>
      <w:pgSz w:w="11900" w:h="16838" w:orient="portrait"/>
      <w:cols w:equalWidth="0" w:num="1">
        <w:col w:w="11160"/>
      </w:cols>
      <w:pgMar w:left="320" w:top="121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s://www.sec.gov/ix?doc=/Archives/edgar/data/0000911177/000119312523102097/d430121ddef14a.htm#rom430121_10" TargetMode="External"/><Relationship Id="rId15" Type="http://schemas.openxmlformats.org/officeDocument/2006/relationships/hyperlink" Target="https://www.sec.gov/ix?doc=/Archives/edgar/data/0000911177/000119312523102097/d430121ddef14a.htm#rom430121_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2023-06-02T08:32:47Z</dcterms:created>
  <dcterms:modified xsi:type="dcterms:W3CDTF">2023-06-02T08:32:47Z</dcterms:modified>
</cp:coreProperties>
</file>