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47"/>
        </w:trPr>
        <w:tc>
          <w:tcPr>
            <w:tcW w:w="3180" w:type="dxa"/>
            <w:vAlign w:val="bottom"/>
          </w:tcPr>
          <w:p>
            <w:pPr>
              <w:jc w:val="center"/>
              <w:ind w:right="7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612"/>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0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10"/>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10"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601"/>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9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060" w:type="dxa"/>
            <w:vAlign w:val="bottom"/>
          </w:tcPr>
          <w:p>
            <w:pPr>
              <w:spacing w:after="0"/>
              <w:rPr>
                <w:sz w:val="20"/>
                <w:szCs w:val="20"/>
                <w:color w:val="auto"/>
              </w:rPr>
            </w:pPr>
            <w:r>
              <w:rPr>
                <w:rFonts w:ascii="Arial" w:cs="Arial" w:eastAsia="Arial" w:hAnsi="Arial"/>
                <w:sz w:val="16"/>
                <w:szCs w:val="16"/>
                <w:color w:val="auto"/>
                <w:w w:val="92"/>
              </w:rPr>
              <w:t>The number of shares outstanding of each of the registrant’s classes of common stock, as of April 15, 2021:</w:t>
            </w:r>
          </w:p>
        </w:tc>
        <w:tc>
          <w:tcPr>
            <w:tcW w:w="4180" w:type="dxa"/>
            <w:vAlign w:val="bottom"/>
          </w:tcPr>
          <w:p>
            <w:pPr>
              <w:spacing w:after="0"/>
              <w:rPr>
                <w:sz w:val="17"/>
                <w:szCs w:val="17"/>
                <w:color w:val="auto"/>
              </w:rPr>
            </w:pPr>
          </w:p>
        </w:tc>
      </w:tr>
      <w:tr>
        <w:trPr>
          <w:trHeight w:val="229"/>
        </w:trPr>
        <w:tc>
          <w:tcPr>
            <w:tcW w:w="706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4180" w:type="dxa"/>
            <w:vAlign w:val="bottom"/>
          </w:tcPr>
          <w:p>
            <w:pPr>
              <w:jc w:val="right"/>
              <w:ind w:right="3279"/>
              <w:spacing w:after="0"/>
              <w:rPr>
                <w:sz w:val="20"/>
                <w:szCs w:val="20"/>
                <w:color w:val="auto"/>
              </w:rPr>
            </w:pPr>
            <w:r>
              <w:rPr>
                <w:rFonts w:ascii="Arial" w:cs="Arial" w:eastAsia="Arial" w:hAnsi="Arial"/>
                <w:sz w:val="16"/>
                <w:szCs w:val="16"/>
                <w:color w:val="auto"/>
                <w:w w:val="99"/>
              </w:rPr>
              <w:t>50,375,132</w:t>
            </w:r>
          </w:p>
        </w:tc>
      </w:tr>
      <w:tr>
        <w:trPr>
          <w:trHeight w:val="216"/>
        </w:trPr>
        <w:tc>
          <w:tcPr>
            <w:tcW w:w="706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418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384"/>
        </w:trPr>
        <w:tc>
          <w:tcPr>
            <w:tcW w:w="70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34"/>
        </w:trPr>
        <w:tc>
          <w:tcPr>
            <w:tcW w:w="70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945"/>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217"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154,342</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Arial" w:cs="Arial" w:eastAsia="Arial" w:hAnsi="Arial"/>
                <w:sz w:val="18"/>
                <w:szCs w:val="18"/>
                <w:color w:val="auto"/>
              </w:rPr>
              <w:t>Accounts receivable, net of allowance for credit losses of $2,095 and $2,333,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Refundable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$916,529 and $900,882,</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523,316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510,512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194,901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maturities of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9"/>
        </w:trPr>
        <w:tc>
          <w:tcPr>
            <w:tcW w:w="8240" w:type="dxa"/>
            <w:vAlign w:val="bottom"/>
          </w:tcPr>
          <w:p>
            <w:pPr>
              <w:ind w:left="68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530,411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50,374,000 and</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50,101,000 shares issued and outstanding, respectively</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800"/>
              <w:spacing w:after="0" w:line="176" w:lineRule="exact"/>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80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639,247</w:t>
            </w:r>
          </w:p>
        </w:tc>
        <w:tc>
          <w:tcPr>
            <w:tcW w:w="0" w:type="dxa"/>
            <w:vAlign w:val="bottom"/>
          </w:tcPr>
          <w:p>
            <w:pPr>
              <w:spacing w:after="0"/>
              <w:rPr>
                <w:sz w:val="1"/>
                <w:szCs w:val="1"/>
                <w:color w:val="auto"/>
              </w:rPr>
            </w:pPr>
          </w:p>
        </w:tc>
      </w:tr>
      <w:tr>
        <w:trPr>
          <w:trHeight w:val="229"/>
        </w:trPr>
        <w:tc>
          <w:tcPr>
            <w:tcW w:w="8240" w:type="dxa"/>
            <w:vAlign w:val="bottom"/>
          </w:tcPr>
          <w:p>
            <w:pPr>
              <w:ind w:left="8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(266,099)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128,518</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24,352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175,898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Pr>
          <w:p>
            <w:pPr>
              <w:ind w:left="36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(1,160)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29"/>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swap amounts reclassified into interest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Unrealized gain (loss) resulting from changes in fair value of derivative instruments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provision (benefit) related to items of other comprehensive income (loss)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8,141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362,142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373,336</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50,374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642,297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(261,788)</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3"/>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122,753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(357,016)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Cumulative effect of new accounting principle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(7,189)</w:t>
            </w:r>
          </w:p>
        </w:tc>
        <w:tc>
          <w:tcPr>
            <w:tcW w:w="0" w:type="dxa"/>
            <w:vAlign w:val="bottom"/>
          </w:tcPr>
          <w:p>
            <w:pPr>
              <w:spacing w:after="0"/>
              <w:rPr>
                <w:sz w:val="1"/>
                <w:szCs w:val="1"/>
                <w:color w:val="auto"/>
              </w:rPr>
            </w:pPr>
          </w:p>
        </w:tc>
      </w:tr>
      <w:tr>
        <w:trPr>
          <w:trHeight w:val="184"/>
        </w:trPr>
        <w:tc>
          <w:tcPr>
            <w:tcW w:w="384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March 31, 2020</w:t>
            </w:r>
          </w:p>
        </w:tc>
        <w:tc>
          <w:tcPr>
            <w:tcW w:w="18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117,996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47,320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988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486,989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(356,246)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3"/>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(13,230)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21,406</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Depletion of landfill operating lease obligations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1,794</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1,562</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right-of-use assets expense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(Gain) loss on sale of property and equipment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Southbridge Landfill non-cash closure charge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Non-cash expense from acquisition activities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w:t>
            </w:r>
          </w:p>
        </w:tc>
      </w:tr>
      <w:tr>
        <w:trPr>
          <w:trHeight w:val="186"/>
        </w:trPr>
        <w:tc>
          <w:tcPr>
            <w:tcW w:w="8240" w:type="dxa"/>
            <w:vAlign w:val="bottom"/>
          </w:tcPr>
          <w:p>
            <w:pPr>
              <w:ind w:left="680"/>
              <w:spacing w:after="0"/>
              <w:rPr>
                <w:sz w:val="20"/>
                <w:szCs w:val="20"/>
                <w:color w:val="auto"/>
              </w:rPr>
            </w:pPr>
            <w:r>
              <w:rPr>
                <w:rFonts w:ascii="Arial" w:cs="Arial" w:eastAsia="Arial" w:hAnsi="Arial"/>
                <w:sz w:val="14"/>
                <w:szCs w:val="14"/>
                <w:color w:val="auto"/>
              </w:rPr>
              <w:t>Landfill operating lease contract expenditures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92"/>
        </w:trPr>
        <w:tc>
          <w:tcPr>
            <w:tcW w:w="8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(10,588)</w:t>
            </w:r>
          </w:p>
        </w:tc>
      </w:tr>
      <w:tr>
        <w:trPr>
          <w:trHeight w:val="186"/>
        </w:trPr>
        <w:tc>
          <w:tcPr>
            <w:tcW w:w="8240" w:type="dxa"/>
            <w:vAlign w:val="bottom"/>
          </w:tcPr>
          <w:p>
            <w:pPr>
              <w:ind w:left="680"/>
              <w:spacing w:after="0"/>
              <w:rPr>
                <w:sz w:val="20"/>
                <w:szCs w:val="20"/>
                <w:color w:val="auto"/>
              </w:rPr>
            </w:pPr>
            <w:r>
              <w:rPr>
                <w:rFonts w:ascii="Arial" w:cs="Arial" w:eastAsia="Arial" w:hAnsi="Arial"/>
                <w:sz w:val="14"/>
                <w:szCs w:val="14"/>
                <w:color w:val="auto"/>
              </w:rPr>
              <w:t>Prepaid expenses, inventories and other assets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92"/>
        </w:trPr>
        <w:tc>
          <w:tcPr>
            <w:tcW w:w="8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expenses, contract liabilities and other liabilities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(12,730)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(12,932)</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14,791</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Acquisitions, net of cash acquired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(5,144)</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(26,832)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(19,851)</w:t>
            </w:r>
          </w:p>
        </w:tc>
      </w:tr>
      <w:tr>
        <w:trPr>
          <w:trHeight w:val="186"/>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sale of property and equipment</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(31,277)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(24,944)</w:t>
            </w:r>
          </w:p>
        </w:tc>
      </w:tr>
      <w:tr>
        <w:trPr>
          <w:trHeight w:val="166"/>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debt borrowings</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73,500</w:t>
            </w:r>
          </w:p>
        </w:tc>
      </w:tr>
      <w:tr>
        <w:trPr>
          <w:trHeight w:val="186"/>
        </w:trPr>
        <w:tc>
          <w:tcPr>
            <w:tcW w:w="8240" w:type="dxa"/>
            <w:vAlign w:val="bottom"/>
          </w:tcPr>
          <w:p>
            <w:pPr>
              <w:ind w:left="360"/>
              <w:spacing w:after="0"/>
              <w:rPr>
                <w:sz w:val="20"/>
                <w:szCs w:val="20"/>
                <w:color w:val="auto"/>
              </w:rPr>
            </w:pPr>
            <w:r>
              <w:rPr>
                <w:rFonts w:ascii="Arial" w:cs="Arial" w:eastAsia="Arial" w:hAnsi="Arial"/>
                <w:sz w:val="14"/>
                <w:szCs w:val="14"/>
                <w:color w:val="auto"/>
              </w:rPr>
              <w:t>Principal payments on debt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(40,686)</w:t>
            </w:r>
          </w:p>
        </w:tc>
      </w:tr>
      <w:tr>
        <w:trPr>
          <w:trHeight w:val="192"/>
        </w:trPr>
        <w:tc>
          <w:tcPr>
            <w:tcW w:w="8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of debt issuance costs</w:t>
            </w:r>
          </w:p>
        </w:tc>
        <w:tc>
          <w:tcPr>
            <w:tcW w:w="8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the exercise of share based awards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32,903</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22,750</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154,342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152,555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26,221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Supplemental Disclosure of Cash Flow Information:</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6"/>
        </w:trPr>
        <w:tc>
          <w:tcPr>
            <w:tcW w:w="8240" w:type="dxa"/>
            <w:vAlign w:val="bottom"/>
          </w:tcPr>
          <w:p>
            <w:pPr>
              <w:ind w:left="680"/>
              <w:spacing w:after="0"/>
              <w:rPr>
                <w:sz w:val="20"/>
                <w:szCs w:val="20"/>
                <w:color w:val="auto"/>
              </w:rPr>
            </w:pPr>
            <w:r>
              <w:rPr>
                <w:rFonts w:ascii="Arial" w:cs="Arial" w:eastAsia="Arial" w:hAnsi="Arial"/>
                <w:sz w:val="14"/>
                <w:szCs w:val="14"/>
                <w:color w:val="auto"/>
              </w:rPr>
              <w:t>Cash interest payments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5,372</w:t>
            </w:r>
          </w:p>
        </w:tc>
      </w:tr>
      <w:tr>
        <w:trPr>
          <w:trHeight w:val="192"/>
        </w:trPr>
        <w:tc>
          <w:tcPr>
            <w:tcW w:w="8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Cash income tax payments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6"/>
        </w:trPr>
        <w:tc>
          <w:tcPr>
            <w:tcW w:w="8240" w:type="dxa"/>
            <w:vAlign w:val="bottom"/>
          </w:tcPr>
          <w:p>
            <w:pPr>
              <w:ind w:left="68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6,469</w:t>
            </w:r>
          </w:p>
        </w:tc>
      </w:tr>
      <w:tr>
        <w:trPr>
          <w:trHeight w:val="192"/>
        </w:trPr>
        <w:tc>
          <w:tcPr>
            <w:tcW w:w="8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Casella Waste Systems, Inc. (“Parent”), and its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or purchased from third-parties.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 Legal, tax, information technology, human resources, certain finance and accounting and other administrative functions are included in our Corporate Entities segment.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2020 ("fiscal year 2020"), which was filed with the SEC on February 19, 2021.</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2021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global outbreak of the novel coronavirus ("COVID-19") pandemic has caused, and is expected to continue to cause, economic disruption across our geographic footprint and has adversely affected, and is expected to continue to adversely affect,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Although demand for services has improved as local economies begin to reopen as allowed by State Governments, our collection and disposal operations continued to be negatively impacted by lower volumes attributable to the COVID-19 pandemic in the three months ended March 31, 2021.</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COVID-19 pandemic has negatively impacted and is expected to continue to impact our business in other ways, as we have experienced and continue to experience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administrative workforce, community response measures, the inability of customers to continue to pay for services, and temporary facility closures of our customers. We have taken measures to reduce costs in other areas and preserve liquidity during this period of uncertainty. As of the date of this filing, we are unable to determine or predict the full extent of the continuing impact that the COVID-19 pandemic will have on our business, results of operations, liquidity and capital resources. Future developments, such as the possibility of continuing spread of COVID-19 across our geographic footprint, the rate of vaccinations, the severity and containment of certain COVID-19 variants along with the pace and extent to which the States in which we operate facilitate a return to normal economic and operation conditions are uncertain and cannot be predicted at this time.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March 31, 2021 through the date of filing of the consolidated financial statements with the SEC on this Quarterly Report on Form 10-Q. We have determined that there are no subsequent events that require disclosure in this Quarterly Report on Form 10-Q.</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or a possible material impact in the future, based on current account balances and activity follows:</w:t>
      </w:r>
    </w:p>
    <w:tbl>
      <w:tblPr>
        <w:tblLayout w:type="fixed"/>
        <w:tblInd w:w="0" w:type="dxa"/>
        <w:tblCellMar>
          <w:top w:w="0" w:type="dxa"/>
          <w:left w:w="0" w:type="dxa"/>
          <w:bottom w:w="0" w:type="dxa"/>
          <w:right w:w="0" w:type="dxa"/>
        </w:tblCellMar>
      </w:tblPr>
      <w:tr>
        <w:trPr>
          <w:trHeight w:val="146"/>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2021</w:t>
            </w:r>
          </w:p>
        </w:tc>
        <w:tc>
          <w:tcPr>
            <w:tcW w:w="26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240"/>
          </w:cols>
          <w:pgMar w:left="320" w:top="999" w:right="339" w:bottom="1440" w:gutter="0" w:footer="0" w:header="0"/>
        </w:sectPr>
      </w:pPr>
    </w:p>
    <w:p>
      <w:pPr>
        <w:ind w:left="20"/>
        <w:spacing w:after="0" w:line="235" w:lineRule="auto"/>
        <w:rPr>
          <w:sz w:val="20"/>
          <w:szCs w:val="20"/>
          <w:color w:val="auto"/>
        </w:rPr>
      </w:pPr>
      <w:r>
        <w:rPr>
          <w:rFonts w:ascii="Arial" w:cs="Arial" w:eastAsia="Arial" w:hAnsi="Arial"/>
          <w:sz w:val="18"/>
          <w:szCs w:val="18"/>
          <w:color w:val="auto"/>
        </w:rPr>
        <w:t>ASU No. 2019-12: Income Taxes (Topic 740)</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Reduces the complexity over accounting for income taxes by removing certain exceptions and amending guidance to improve consistent application of accounting over income taxes.</w:t>
      </w:r>
    </w:p>
    <w:p>
      <w:pPr>
        <w:spacing w:after="0" w:line="20" w:lineRule="exact"/>
        <w:rPr>
          <w:sz w:val="20"/>
          <w:szCs w:val="20"/>
          <w:color w:val="auto"/>
        </w:rPr>
      </w:pPr>
      <w:r>
        <w:rPr>
          <w:sz w:val="20"/>
          <w:szCs w:val="20"/>
          <w:color w:val="auto"/>
        </w:rPr>
        <w:br w:type="column"/>
      </w:r>
    </w:p>
    <w:p>
      <w:pPr>
        <w:ind w:right="100"/>
        <w:spacing w:after="0" w:line="232" w:lineRule="auto"/>
        <w:rPr>
          <w:sz w:val="20"/>
          <w:szCs w:val="20"/>
          <w:color w:val="auto"/>
        </w:rPr>
      </w:pPr>
      <w:r>
        <w:rPr>
          <w:rFonts w:ascii="Arial" w:cs="Arial" w:eastAsia="Arial" w:hAnsi="Arial"/>
          <w:sz w:val="17"/>
          <w:szCs w:val="17"/>
          <w:color w:val="auto"/>
        </w:rPr>
        <w:t>This guidance did not have a material impact on our consolidated financial statements and related disclosures upon adoption, but may in the future. This guidance was effective January 1, 2021.</w:t>
      </w:r>
    </w:p>
    <w:p>
      <w:pPr>
        <w:spacing w:after="0" w:line="200" w:lineRule="exact"/>
        <w:rPr>
          <w:sz w:val="20"/>
          <w:szCs w:val="20"/>
          <w:color w:val="auto"/>
        </w:rPr>
      </w:pPr>
    </w:p>
    <w:p>
      <w:pPr>
        <w:sectPr>
          <w:pgSz w:w="11900" w:h="16838" w:orient="portrait"/>
          <w:cols w:equalWidth="0" w:num="3">
            <w:col w:w="2940" w:space="240"/>
            <w:col w:w="3760" w:space="320"/>
            <w:col w:w="3980"/>
          </w:cols>
          <w:pgMar w:left="320" w:top="999" w:right="339" w:bottom="1440" w:gutter="0" w:footer="0" w:header="0"/>
          <w:type w:val="continuous"/>
        </w:sectPr>
      </w:pPr>
    </w:p>
    <w:p>
      <w:pPr>
        <w:spacing w:after="0" w:line="246"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4"/>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999" w:right="339" w:bottom="1440" w:gutter="0" w:footer="0" w:header="0"/>
          <w:type w:val="continuous"/>
        </w:sectPr>
      </w:pPr>
    </w:p>
    <w:p>
      <w:pPr>
        <w:ind w:left="20"/>
        <w:spacing w:after="0" w:line="224"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which extend past the fiscal year ended December 31, 2021. We are currently assessing the provisions of this guidance as LIBOR is still in place and do not expect that its adoption will have a material impact on our consolidated financial statements and related disclosures. This guidance will be in effect from March 12, 2020 through December 31, 2022.</w:t>
      </w:r>
    </w:p>
    <w:p>
      <w:pPr>
        <w:spacing w:after="0" w:line="200" w:lineRule="exact"/>
        <w:rPr>
          <w:sz w:val="20"/>
          <w:szCs w:val="20"/>
          <w:color w:val="auto"/>
        </w:rPr>
      </w:pPr>
    </w:p>
    <w:p>
      <w:pPr>
        <w:sectPr>
          <w:pgSz w:w="11900" w:h="16838" w:orient="portrait"/>
          <w:cols w:equalWidth="0" w:num="3">
            <w:col w:w="3000" w:space="180"/>
            <w:col w:w="3920" w:space="160"/>
            <w:col w:w="3980"/>
          </w:cols>
          <w:pgMar w:left="320" w:top="999" w:right="339" w:bottom="1440" w:gutter="0" w:footer="0" w:header="0"/>
          <w:type w:val="continuous"/>
        </w:sectPr>
      </w:pP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Revenues associated with our solid waste operations are derived mainly from solid waste collection and disposal, landfill, landfill gas-to-energy, processing, transfer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municipalities and customers in the form of processing fees, tipping fees, commodity sales, and organic material sales.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t>Classification of revenues by service line reported in the three months ended March 31, 2020 has been reclassified to conform with the presentation for the three months ended March 31, 2021.</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table of revenues disaggregated by service line and timing of revenue recognition by operating segment for each of the three months ended March 31, 2021 and 2020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178,895</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33,743</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182,910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178,157</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182,910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$1,568 in the three months ended March 31, 2021 and $991 in the three months ended March 31, 2020. Rebates are generally recorded as a reduction of revenues upon the sale of such materials, or upon receipt of the recycled materials at our facilities. We did not record any revenues in the three months ended March 31, 2021 or March 31, 2020 from performance obligations satisfied in previous periods.</w:t>
      </w:r>
    </w:p>
    <w:p>
      <w:pPr>
        <w:spacing w:after="0" w:line="17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$67,062 and $74,162 as of March 31, 2021 and December 31, 2020, respectively. Certain customers are billed in advance and, accordingly, recognition of the related revenues is deferred as a contract liability until the services are provided and control transferred to the customer. We recognized contract liabilities of $3,082 and $2,685 as of March 31, 2021 and December 31, 2020, respectively. Due to the short term nature of advanced billings, substantially all of the deferred revenue recognized as a contract liability as of December 31, 2020 and December 31, 2019 was recognized as revenue during the three months ended March 31, 2021 and March 31, 2020, respectively, when the services were performed.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three months ended March 31, 2021, we acquired one tuck-in solid waste collection and recycling business in our Western region. In the three months ended March 31, 2020, we acquired two businesses: one tuck-in solid waste collection business in our Western region and one recycling operation in our Resource Solutions operating segment.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five-year to ten-year period from the date of acquisition. All amounts recorded to goodwill, except goodwill related to certain acquisitions, are expected to be deductible for tax purposes.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and the purchase price allocation for these acquisitions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4,771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Holdbacks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Land</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2,396</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 net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2020 is as follows:</w:t>
      </w:r>
    </w:p>
    <w:p>
      <w:pPr>
        <w:jc w:val="center"/>
        <w:ind w:left="8260"/>
        <w:spacing w:after="0" w:line="227" w:lineRule="auto"/>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2020 or of the results of our future operations. Furthermore, the unaudited</w:t>
      </w:r>
    </w:p>
    <w:p>
      <w:pPr>
        <w:ind w:right="14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300" w:type="dxa"/>
            <w:vAlign w:val="bottom"/>
          </w:tcPr>
          <w:p>
            <w:pPr>
              <w:spacing w:after="0"/>
              <w:rPr>
                <w:sz w:val="14"/>
                <w:szCs w:val="14"/>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149,984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151,399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196,316</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Arial" w:cs="Arial" w:eastAsia="Arial" w:hAnsi="Arial"/>
                <w:sz w:val="18"/>
                <w:szCs w:val="18"/>
                <w:color w:val="auto"/>
              </w:rPr>
              <w:t>Summaries of intangible assets by intangible asset type follows: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80" w:type="dxa"/>
            <w:vAlign w:val="bottom"/>
          </w:tcPr>
          <w:p>
            <w:pPr>
              <w:spacing w:after="0"/>
              <w:rPr>
                <w:sz w:val="14"/>
                <w:szCs w:val="1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300" w:type="dxa"/>
            <w:vAlign w:val="bottom"/>
          </w:tcPr>
          <w:p>
            <w:pPr>
              <w:spacing w:after="0"/>
              <w:rPr>
                <w:sz w:val="14"/>
                <w:szCs w:val="14"/>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80" w:type="dxa"/>
            <w:vAlign w:val="bottom"/>
          </w:tcPr>
          <w:p>
            <w:pPr>
              <w:spacing w:after="0"/>
              <w:rPr>
                <w:sz w:val="24"/>
                <w:szCs w:val="24"/>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300" w:type="dxa"/>
            <w:vAlign w:val="bottom"/>
          </w:tcPr>
          <w:p>
            <w:pPr>
              <w:spacing w:after="0"/>
              <w:rPr>
                <w:sz w:val="24"/>
                <w:szCs w:val="24"/>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Intangible amortization expense was $2,028 during the three months ended March 31, 2021 and $2,093 during the three months ended March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amortization expense estimated for the five fiscal years following fiscal year 2020 and thereafter follows: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Estimated Future Amortization Expense as of March 31,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2021</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2022</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7,394</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2024</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8,055</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2025</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20,709</w:t>
            </w:r>
          </w:p>
        </w:tc>
      </w:tr>
    </w:tbl>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85,025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May include amounts that are being processed through accounts payable as a part of our disbursements cycle.</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1.75%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1.75%</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2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5"/>
              </w:rPr>
              <w:t>New York State Environmental Facilities Corporation Solid Waste Disposal Revenue Bonds Series 2014 ("New York Bonds 2014R-1") due</w:t>
            </w:r>
          </w:p>
        </w:tc>
        <w:tc>
          <w:tcPr>
            <w:tcW w:w="26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2029; bearing interest at 2.875%</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New York State Environmental Facilities Corporation Solid Waste Disposal Revenue Bonds Series 2014R-2 ("New York Bonds 2014R-2")</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due December 2044 - fixed rate interest period through 2026; bearing interest at 3.125%</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New York State Environmental Facilities Corporation Solid Waste Disposal Revenue Bonds Series 2020 ("New York Bonds 2020") due</w:t>
            </w: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2050 - fixed rate interest period through 2025; bearing interest at 2.750%</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5"/>
              </w:rPr>
              <w:t>Finance Authority of Maine Solid Waste Disposal Revenue Bonds Series 2005R-3 ("FAME Bonds 2005R-3") due January 2025 - fixed rate</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Finance Authority of Maine Solid Waste Disposal Revenue Bonds Series 2015R-1 ("FAME Bonds 2015R-1") due August 2035 - fixed rate</w:t>
            </w: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6"/>
              </w:rPr>
              <w:t>Finance Authority of Maine Solid Waste Disposal Revenue Bonds Series 2015R-2 ("FAME Bonds 2015R-2") due August 2035 - fixed rate</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Vermont Economic Development Authority Solid Waste Disposal Long-Term Revenue Bonds Series 2013 ("Vermont Bonds") due April 2036</w:t>
            </w: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fixed rate interest period through 2028; bearing interest at 4.625%</w:t>
            </w:r>
          </w:p>
        </w:tc>
        <w:tc>
          <w:tcPr>
            <w:tcW w:w="26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Arial" w:cs="Arial" w:eastAsia="Arial" w:hAnsi="Arial"/>
                <w:sz w:val="14"/>
                <w:szCs w:val="14"/>
                <w:color w:val="auto"/>
                <w:w w:val="93"/>
              </w:rPr>
              <w:t>Business Finance Authority of the State of New Hampshire Solid Waste Disposal Revenue Bonds Series 2013 ("New Hampshire Bonds") due</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April 2029 - fixed rate interest period through 2029; bearing interest at 2.95%</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4.0%</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34,573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31,486</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3.4%</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4,933</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Principal amount of debt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550,220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548,419</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Less—unamortized debt issuance costs (1)</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0" w:type="dxa"/>
            <w:vAlign w:val="bottom"/>
          </w:tcPr>
          <w:p>
            <w:pPr>
              <w:spacing w:after="0"/>
              <w:rPr>
                <w:sz w:val="1"/>
                <w:szCs w:val="1"/>
                <w:color w:val="auto"/>
              </w:rPr>
            </w:pPr>
          </w:p>
        </w:tc>
      </w:tr>
      <w:tr>
        <w:trPr>
          <w:trHeight w:val="179"/>
        </w:trPr>
        <w:tc>
          <w:tcPr>
            <w:tcW w:w="8260" w:type="dxa"/>
            <w:vAlign w:val="bottom"/>
          </w:tcPr>
          <w:p>
            <w:pPr>
              <w:ind w:left="20"/>
              <w:spacing w:after="0"/>
              <w:rPr>
                <w:sz w:val="20"/>
                <w:szCs w:val="20"/>
                <w:color w:val="auto"/>
              </w:rPr>
            </w:pPr>
            <w:r>
              <w:rPr>
                <w:rFonts w:ascii="Arial" w:cs="Arial" w:eastAsia="Arial" w:hAnsi="Arial"/>
                <w:sz w:val="14"/>
                <w:szCs w:val="14"/>
                <w:color w:val="auto"/>
              </w:rPr>
              <w:t>Debt less unamortized debt issuance costs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539,651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Less—current maturities of debt</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531,105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530,411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 and Term Loan Facility (collectively, the "Credit Facility")</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3,429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New York Bonds 2014R-1</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 Bonds 2014R-2</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New York Bonds 2020</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1,417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1,461</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FAME Bonds 2005R-3</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FAME Bonds 2015R-1</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482</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FAME Bonds 2015R-2</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Vermont Bonds</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487</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Hampshire Bonds</w:t>
            </w:r>
          </w:p>
        </w:tc>
        <w:tc>
          <w:tcPr>
            <w:tcW w:w="10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183"/>
        </w:trPr>
        <w:tc>
          <w:tcPr>
            <w:tcW w:w="8260" w:type="dxa"/>
            <w:vAlign w:val="bottom"/>
          </w:tcPr>
          <w:p>
            <w:pPr>
              <w:spacing w:after="0"/>
              <w:rPr>
                <w:sz w:val="15"/>
                <w:szCs w:val="15"/>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8,197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8,768</w:t>
            </w:r>
          </w:p>
        </w:tc>
      </w:tr>
      <w:tr>
        <w:trPr>
          <w:trHeight w:val="24"/>
        </w:trPr>
        <w:tc>
          <w:tcPr>
            <w:tcW w:w="8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March 31, 2021, we are party to a credit agreement ("Credit Agreement"), which provides for a $350,000 aggregate principal amount Term Loan Facility and a $200,000 Revolving Credit Facility. We have the right to request, at our discretion, an increase in the amount of loans under the Credit Facility by an aggregate amount of $125,000, subject to the terms and conditions set forth in the Credit Agreement. 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March 31, 2021, further advances were available under the Credit Facility in the amount of $173,575. The available amount is net of outstanding irrevocable letters of credit totaling $26,425, at which date no amount had been drawn.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Credit Agreement requires us to maintain a minimum interest coverage ratio and a maximum consolidated net leverage ratio, to be measured at the end of each fiscal quarter. As of March 31, 2021,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31, 2021 and December 31, 2020, our active interest rate derivative agreements had total notional amounts of $195,000 and $190,000, respectively. According to the terms of the agreements, we receive interest based on the 1-month LIBOR index and pay interest at a weighted average rate of approximately 2.51% as of March 31, 2021. The agreements mature between February 2022 and December 2026. As of March 31, 2021 and December 31, 2020, we had forward starting interest rate derivative agreements with total notional amounts of $85,000 and $125,000,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468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1"/>
                <w:szCs w:val="11"/>
                <w:color w:val="auto"/>
              </w:rPr>
            </w:pPr>
          </w:p>
        </w:tc>
        <w:tc>
          <w:tcPr>
            <w:tcW w:w="12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14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into earnings follows:</w:t>
      </w:r>
    </w:p>
    <w:p>
      <w:pPr>
        <w:jc w:val="center"/>
        <w:ind w:left="826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gridSpan w:val="2"/>
          </w:tcPr>
          <w:p>
            <w:pPr>
              <w:ind w:left="3040"/>
              <w:spacing w:after="0"/>
              <w:rPr>
                <w:sz w:val="20"/>
                <w:szCs w:val="20"/>
                <w:color w:val="auto"/>
              </w:rPr>
            </w:pPr>
            <w:r>
              <w:rPr>
                <w:rFonts w:ascii="Arial" w:cs="Arial" w:eastAsia="Arial" w:hAnsi="Arial"/>
                <w:sz w:val="14"/>
                <w:szCs w:val="14"/>
                <w:b w:val="1"/>
                <w:bCs w:val="1"/>
                <w:color w:val="auto"/>
              </w:rPr>
              <w:t>Statement of Operations Location</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Bond reimbursement to the Town commenced in the quarter ended June 30, 2020.</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incurred</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March 31, 2021. WSI is jointly and severally liable with NiMo, Alcoa and Reynolds for the total cost to remediate.</w:t>
      </w:r>
    </w:p>
    <w:p>
      <w:pPr>
        <w:spacing w:after="0" w:line="6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1.9%. The environmental remediation liability associated with the Potsdam site was $939 as of both March 31, 2021 and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National Pollutant Discharge Elimination System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to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granted the NH Citizen Groups' motion on September 2, 2020 and encouraged the parties to file motions for summary judgment. We filed our Motion for Summary Judgment on November 20, 2020 and the NH Citizens Groups filed a Motion for Summary Judgment on February 19, 2021. A hearing on motions for summary judgment is scheduled for May 14, 2021.</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October 9, 2020, we received a Type I-A Permit Modification for Expansion in the Stage VI area of the NCES Landfill (the “Permit”). On November 9, 2020, CLF filed an appeal of the Permit to the New Hampshire Waste Management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A hearing on the Complaint for Injunctive Relief was held on March 10, 2021; the Grafton Superior Court has not yet issued a decision. The Grafton Superior Court denied our Motion to Dismiss by Order dated March 17, 2021. We filed a Motion to Reconsider on March 26, 2021. We will continue to vigorously defend against this litigation.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drilling wastes authorized for disposal at the Hakes Landfill. The Department opposed the Hakes Litigation on procedural grounds. We and the Town of Campbell opposed the Hakes Litigation on the merits, and on July 31, 2020, the Court dismissed the Hakes Litigation on the merits. The Petitioners filed a notice of appeal. The time to appeal expired on February 10, 2021, and the attorney for the Petitioners confirmed that they are not pursuing the appeal. Accordingly, all approvals issued for the expansion project are now final and binding.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On or about September 17, 2019, Richard Vandemortel and Deb Vandemortel ("Named Plaintiffs") filed a class action complaint against us in Ontario County Supreme Court (the "New York Court") on behalf of similarly situated citizens ("Class Members") in Ontario County, New York (the "New York Litigation"). The New York Litigation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and the parties commenced settlement negotiations in early 2020. On December 1, 2020, the parties entered into a settlement agreement (the "Settlement Agreement") and thereafter the Named Plaintiffs and Class Members' counsel ("Counsel") moved the New York Court for entry of the Order on Notice/Preliminary Approvals. The settlement includes a $750 payment to a Qualified Settlement Fund for the benefit of Counsel and one-time lump sum payments to the Named Plaintiffs and Class Members who opt into the Settlement Agreement. We will also commit $900 in expenses and capital improvements for remediation measures to be completed by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Conservation Law Foundation, Inc. v Robert R. Scott, Commissioner, New Hampshire Department of Environmental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February 11, 2021, the CLF filed a complaint against Robert R. Scott, Commissioner of the New Hampshire Department of Environmental Services (“DES”), in the Merrimac County Superior Court. The complaint alleges that DES has failed to comply with the duty to establish and update a solid waste plan for the State of New Hampshire, and the duty to rely on that solid waste plan in determining whether to grant permits for proposed waste disposal facilities, and seeks a declaratory judgment that DES is violating statutory solid waste planning and regulatory requirements; a writ of mandamus ordering DES to achieve compliance with the statutory solid waste plan requirement; and an order enjoining DES from reviewing, and issuing decisions on, permit applications for new or expanded waste facilities, including a landfill under development by us in Dalton, New Hampshire ("Granite State Landfill"), as well as any further review and decision-making required for permits it has already granted, including our NCES Landfill, until it has a legally valid state solid waste plan. On or about February 16, 2021, our subsidiary, Granite State Landfill, LLC, filed a Motion to Intervene in the action, which was granted by the Merrimac County Superior Court on February 17, 2021. A hearing on CLF's request for preliminary injunctive relief and the parties' motions to dismiss was held April 9, 2021. Post-hearing filings were due April 23, 2021.</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ind w:right="8600" w:firstLine="8"/>
        <w:spacing w:after="0" w:line="378" w:lineRule="auto"/>
        <w:tabs>
          <w:tab w:leader="none" w:pos="3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2021, there were 950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March 31, 2021</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81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80"/>
        <w:spacing w:after="0" w:line="375" w:lineRule="auto"/>
        <w:rPr>
          <w:sz w:val="20"/>
          <w:szCs w:val="20"/>
          <w:color w:val="auto"/>
        </w:rPr>
      </w:pPr>
      <w:r>
        <w:rPr>
          <w:rFonts w:ascii="Arial" w:cs="Arial" w:eastAsia="Arial" w:hAnsi="Arial"/>
          <w:sz w:val="18"/>
          <w:szCs w:val="18"/>
          <w:color w:val="auto"/>
        </w:rPr>
        <w:t xml:space="preserve">We did not record any stock-based compensation expense for stock options during each of the three months ended March 31, 2021 and March 31, 2020. During the three months ended March 31, 2021, the aggregate intrinsic value of stock options exercised was $448. </w:t>
      </w:r>
      <w:r>
        <w:rPr>
          <w:rFonts w:ascii="Arial" w:cs="Arial" w:eastAsia="Arial" w:hAnsi="Arial"/>
          <w:sz w:val="18"/>
          <w:szCs w:val="18"/>
          <w:b w:val="1"/>
          <w:bCs w:val="1"/>
          <w:i w:val="1"/>
          <w:iCs w:val="1"/>
          <w:color w:val="auto"/>
        </w:rPr>
        <w:t>Other Stock Awards</w:t>
      </w:r>
    </w:p>
    <w:p>
      <w:pPr>
        <w:spacing w:after="0" w:line="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35"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41.55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67.48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56.04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2021</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March 31, 2021</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50.59</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37,816</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60" w:hanging="652"/>
        <w:spacing w:after="0" w:line="342"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268 shares of Class A common stock currently included in unvested.</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$2,884 during the three months ended March 31, 2021 as compared to $1,515 during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total fair value of other stock awards vested was $4,405.</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March 31, 2021, total unrecognized stock-based compensation expense related to outstanding restricted stock was $67, which will be recognized over a weighted average period of 2.1 years. As of March 31, 2021, total unrecognized stock-based compensation expense related to outstanding restricted stock units was $5,558, which will be recognized over a weighted average period of 2.2 years. As of March 31, 2021, total expected unrecognized stock-based compensation expense related to outstanding performance stock units was $7,933 to be recognized over a weighted average period of 2.0 years.</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also recorded $57 of stock-based compensation expense related to our Amended and Restated 1997 Employee Stock Purchase Plan during the three months ended March 31, 2021 as compared to $47 during the three months ended March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Interest Rate Swaps</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5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w w:val="98"/>
              </w:rPr>
              <w:t>Income tax provision related to items of other comprehensive income</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0"/>
        </w:trPr>
        <w:tc>
          <w:tcPr>
            <w:tcW w:w="7080" w:type="dxa"/>
            <w:vAlign w:val="bottom"/>
            <w:gridSpan w:val="6"/>
            <w:vMerge w:val="restart"/>
          </w:tcPr>
          <w:p>
            <w:pPr>
              <w:spacing w:after="0"/>
              <w:rPr>
                <w:sz w:val="20"/>
                <w:szCs w:val="20"/>
                <w:color w:val="auto"/>
              </w:rPr>
            </w:pPr>
            <w:r>
              <w:rPr>
                <w:rFonts w:ascii="Arial" w:cs="Arial" w:eastAsia="Arial" w:hAnsi="Arial"/>
                <w:sz w:val="18"/>
                <w:szCs w:val="18"/>
                <w:color w:val="auto"/>
                <w:w w:val="92"/>
              </w:rPr>
              <w:t>A summary of reclassifications out of accumulated other comprehensive loss, net of tax follows:</w:t>
            </w: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08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40" w:type="dxa"/>
            <w:vAlign w:val="bottom"/>
          </w:tcPr>
          <w:p>
            <w:pPr>
              <w:ind w:left="320"/>
              <w:spacing w:after="0" w:line="131" w:lineRule="exact"/>
              <w:rPr>
                <w:sz w:val="20"/>
                <w:szCs w:val="20"/>
                <w:color w:val="auto"/>
              </w:rPr>
            </w:pPr>
            <w:r>
              <w:rPr>
                <w:rFonts w:ascii="Arial" w:cs="Arial" w:eastAsia="Arial" w:hAnsi="Arial"/>
                <w:sz w:val="14"/>
                <w:szCs w:val="14"/>
                <w:b w:val="1"/>
                <w:bCs w:val="1"/>
                <w:color w:val="auto"/>
              </w:rPr>
              <w:t>Details About Accumulated Other Comprehensive Loss</w:t>
            </w:r>
          </w:p>
        </w:tc>
        <w:tc>
          <w:tcPr>
            <w:tcW w:w="160" w:type="dxa"/>
            <w:vAlign w:val="bottom"/>
          </w:tcPr>
          <w:p>
            <w:pPr>
              <w:spacing w:after="0"/>
              <w:rPr>
                <w:sz w:val="11"/>
                <w:szCs w:val="11"/>
                <w:color w:val="auto"/>
              </w:rPr>
            </w:pPr>
          </w:p>
        </w:tc>
        <w:tc>
          <w:tcPr>
            <w:tcW w:w="2780" w:type="dxa"/>
            <w:vAlign w:val="bottom"/>
            <w:gridSpan w:val="4"/>
          </w:tcPr>
          <w:p>
            <w:pPr>
              <w:jc w:val="center"/>
              <w:spacing w:after="0" w:line="131" w:lineRule="exact"/>
              <w:rPr>
                <w:sz w:val="20"/>
                <w:szCs w:val="20"/>
                <w:color w:val="auto"/>
              </w:rPr>
            </w:pPr>
            <w:r>
              <w:rPr>
                <w:rFonts w:ascii="Arial" w:cs="Arial" w:eastAsia="Arial" w:hAnsi="Arial"/>
                <w:sz w:val="14"/>
                <w:szCs w:val="14"/>
                <w:b w:val="1"/>
                <w:bCs w:val="1"/>
                <w:color w:val="auto"/>
                <w:w w:val="91"/>
              </w:rPr>
              <w:t>Amounts Reclassified Out of Accumulated</w:t>
            </w:r>
          </w:p>
        </w:tc>
        <w:tc>
          <w:tcPr>
            <w:tcW w:w="100" w:type="dxa"/>
            <w:vAlign w:val="bottom"/>
          </w:tcPr>
          <w:p>
            <w:pPr>
              <w:spacing w:after="0"/>
              <w:rPr>
                <w:sz w:val="11"/>
                <w:szCs w:val="11"/>
                <w:color w:val="auto"/>
              </w:rPr>
            </w:pPr>
          </w:p>
        </w:tc>
        <w:tc>
          <w:tcPr>
            <w:tcW w:w="3320" w:type="dxa"/>
            <w:vAlign w:val="bottom"/>
            <w:gridSpan w:val="2"/>
          </w:tcPr>
          <w:p>
            <w:pPr>
              <w:jc w:val="center"/>
              <w:ind w:left="656"/>
              <w:spacing w:after="0" w:line="131" w:lineRule="exact"/>
              <w:rPr>
                <w:sz w:val="20"/>
                <w:szCs w:val="20"/>
                <w:color w:val="auto"/>
              </w:rPr>
            </w:pPr>
            <w:r>
              <w:rPr>
                <w:rFonts w:ascii="Arial" w:cs="Arial" w:eastAsia="Arial" w:hAnsi="Arial"/>
                <w:sz w:val="14"/>
                <w:szCs w:val="14"/>
                <w:b w:val="1"/>
                <w:bCs w:val="1"/>
                <w:color w:val="auto"/>
                <w:w w:val="93"/>
              </w:rPr>
              <w:t>Affected Line Item in the Consolidated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640"/>
              <w:spacing w:after="0"/>
              <w:rPr>
                <w:sz w:val="20"/>
                <w:szCs w:val="20"/>
                <w:color w:val="auto"/>
              </w:rPr>
            </w:pPr>
            <w:r>
              <w:rPr>
                <w:rFonts w:ascii="Arial" w:cs="Arial" w:eastAsia="Arial" w:hAnsi="Arial"/>
                <w:sz w:val="14"/>
                <w:szCs w:val="14"/>
                <w:b w:val="1"/>
                <w:bCs w:val="1"/>
                <w:color w:val="auto"/>
              </w:rPr>
              <w:t>Components</w:t>
            </w:r>
          </w:p>
        </w:tc>
        <w:tc>
          <w:tcPr>
            <w:tcW w:w="16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Other Comprehensive Loss</w:t>
            </w:r>
          </w:p>
        </w:tc>
        <w:tc>
          <w:tcPr>
            <w:tcW w:w="100" w:type="dxa"/>
            <w:vAlign w:val="bottom"/>
          </w:tcPr>
          <w:p>
            <w:pPr>
              <w:spacing w:after="0"/>
              <w:rPr>
                <w:sz w:val="16"/>
                <w:szCs w:val="16"/>
                <w:color w:val="auto"/>
              </w:rPr>
            </w:pPr>
          </w:p>
        </w:tc>
        <w:tc>
          <w:tcPr>
            <w:tcW w:w="332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1"/>
              </w:rPr>
              <w:t>Statements of Operations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3"/>
              </w:rPr>
              <w:t>367</w:t>
            </w:r>
          </w:p>
        </w:tc>
        <w:tc>
          <w:tcPr>
            <w:tcW w:w="100" w:type="dxa"/>
            <w:vAlign w:val="bottom"/>
            <w:shd w:val="clear" w:color="auto" w:fill="CCEEFF"/>
          </w:tcPr>
          <w:p>
            <w:pPr>
              <w:spacing w:after="0"/>
              <w:rPr>
                <w:sz w:val="20"/>
                <w:szCs w:val="20"/>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center"/>
              <w:ind w:left="474"/>
              <w:spacing w:after="0"/>
              <w:rPr>
                <w:sz w:val="20"/>
                <w:szCs w:val="20"/>
                <w:color w:val="auto"/>
              </w:rPr>
            </w:pPr>
            <w:r>
              <w:rPr>
                <w:rFonts w:ascii="Arial" w:cs="Arial" w:eastAsia="Arial" w:hAnsi="Arial"/>
                <w:sz w:val="18"/>
                <w:szCs w:val="18"/>
                <w:color w:val="auto"/>
                <w:w w:val="95"/>
              </w:rPr>
              <w:t>(367)</w:t>
            </w:r>
          </w:p>
        </w:tc>
        <w:tc>
          <w:tcPr>
            <w:tcW w:w="10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3"/>
              </w:rPr>
              <w:t>112</w:t>
            </w:r>
          </w:p>
        </w:tc>
        <w:tc>
          <w:tcPr>
            <w:tcW w:w="10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95"/>
              </w:rPr>
              <w:t>(479)</w:t>
            </w:r>
          </w:p>
        </w:tc>
        <w:tc>
          <w:tcPr>
            <w:tcW w:w="10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47,320</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to be issued - acquisition</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Unvested restricted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51,179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Impact of potentially dilutive securities: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200" w:firstLine="8"/>
        <w:spacing w:after="0" w:line="400" w:lineRule="auto"/>
        <w:tabs>
          <w:tab w:leader="none" w:pos="39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220"/>
        <w:spacing w:after="0" w:line="277" w:lineRule="auto"/>
        <w:rPr>
          <w:sz w:val="20"/>
          <w:szCs w:val="20"/>
          <w:color w:val="auto"/>
        </w:rPr>
      </w:pPr>
      <w:r>
        <w:rPr>
          <w:rFonts w:ascii="Arial" w:cs="Arial" w:eastAsia="Arial" w:hAnsi="Arial"/>
          <w:sz w:val="18"/>
          <w:szCs w:val="18"/>
          <w:color w:val="auto"/>
        </w:rPr>
        <w:t>In the three months ended March 31, 2021 and 2020, we recorded charges of $414 and $1,009, respectively, comprised primarily of legal, consulting and other similar costs associated with the acquisition and integration of acquired businesses or select development projects.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2017, we initiated the plan to cease operations of the Southbridge Landfill and later closed it in November 2018 when Southbridge Landfill reached its final capacity</w:t>
      </w:r>
      <w:r>
        <w:rPr>
          <w:rFonts w:ascii="Arial" w:cs="Arial" w:eastAsia="Arial" w:hAnsi="Arial"/>
          <w:sz w:val="16"/>
          <w:szCs w:val="16"/>
          <w:i w:val="1"/>
          <w:iCs w:val="1"/>
          <w:color w:val="auto"/>
        </w:rPr>
        <w:t>.</w:t>
      </w:r>
      <w:r>
        <w:rPr>
          <w:rFonts w:ascii="Arial" w:cs="Arial" w:eastAsia="Arial" w:hAnsi="Arial"/>
          <w:sz w:val="16"/>
          <w:szCs w:val="16"/>
          <w:color w:val="auto"/>
        </w:rPr>
        <w:t xml:space="preserve"> Accordingly, in the three months ended March 31, 2021 and 2020, we recorded charges of $157 and $613, respectively, associated with legal and other costs pertaining to various matters as part of the unplanned early closure of the Southbridge Landfill through completion of the closure process.</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one-month LIBOR yield curves that are observable at commonly quoted intervals for the full term of the swaps.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5"/>
              </w:rPr>
              <w:t>Fair Value Measurement at March 31, 2021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7"/>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 at December 31, 2020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1,848</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2021, the fair value of our fixed rate debt, including our FAME Bonds 2005R-3, FAME Bonds 2015R-1, FAME Bonds 2015R-2, Vermont Bonds, New York Bonds 2014R-1, New York Bonds 2014R-2, New York Bonds 2020 and New Hampshire Bonds was approximately $173,090 and the carrying value was $162,000. The fair value of the FAME Bonds 2005R-3, the FAME Bonds 2015R-1, the FAME Bonds 2015R-2, the Vermont Bonds, the New York Bonds 2014R-1, the New York Bonds 2014R-2, New York Bonds 2020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March 31, 2021, the carrying value of our Term Loan Facility was $349,125 and the carrying value of our Revolving Credit Facility was $0. Their fair values are based on current borrowing rates for similar types of borrowing arrangements, or Level 2 inputs, and approximate their carrying values.</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2014R-1, New York Bonds 2014R-2, New York Bonds 2020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processing, transfer and recycling services in the northeastern United States. Effective January 1, 2021, we reorganized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Revenues from processing services are derived from municipalities and customers in the form of processing fees, tipping fees, commodity sales, and organic material sales. 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Revenues classification by service line reported in the three months ended March 31, 2020 has been reclassified to conform with the presentation for the three months ended March 31, 2021. Legal, tax, information technology, human resources, certain finance and accounting and other administrative functions are included in our Corporate Entities segment.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221,200</w:t>
            </w:r>
          </w:p>
        </w:tc>
        <w:tc>
          <w:tcPr>
            <w:tcW w:w="0" w:type="dxa"/>
            <w:vAlign w:val="bottom"/>
          </w:tcPr>
          <w:p>
            <w:pPr>
              <w:spacing w:after="0"/>
              <w:rPr>
                <w:sz w:val="1"/>
                <w:szCs w:val="1"/>
                <w:color w:val="auto"/>
              </w:rPr>
            </w:pPr>
          </w:p>
        </w:tc>
      </w:tr>
      <w:tr>
        <w:trPr>
          <w:trHeight w:val="229"/>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646,381</w:t>
            </w:r>
          </w:p>
        </w:tc>
        <w:tc>
          <w:tcPr>
            <w:tcW w:w="0" w:type="dxa"/>
            <w:vAlign w:val="bottom"/>
          </w:tcPr>
          <w:p>
            <w:pPr>
              <w:spacing w:after="0"/>
              <w:rPr>
                <w:sz w:val="1"/>
                <w:szCs w:val="1"/>
                <w:color w:val="auto"/>
              </w:rPr>
            </w:pPr>
          </w:p>
        </w:tc>
      </w:tr>
      <w:tr>
        <w:trPr>
          <w:trHeight w:val="229"/>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237,906</w:t>
            </w:r>
          </w:p>
        </w:tc>
        <w:tc>
          <w:tcPr>
            <w:tcW w:w="0" w:type="dxa"/>
            <w:vAlign w:val="bottom"/>
          </w:tcPr>
          <w:p>
            <w:pPr>
              <w:spacing w:after="0"/>
              <w:rPr>
                <w:sz w:val="1"/>
                <w:szCs w:val="1"/>
                <w:color w:val="auto"/>
              </w:rPr>
            </w:pPr>
          </w:p>
        </w:tc>
      </w:tr>
      <w:tr>
        <w:trPr>
          <w:trHeight w:val="229"/>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1,194,246</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7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599,815</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93,199</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58,292</w:t>
            </w:r>
          </w:p>
        </w:tc>
        <w:tc>
          <w:tcPr>
            <w:tcW w:w="0" w:type="dxa"/>
            <w:vAlign w:val="bottom"/>
          </w:tcPr>
          <w:p>
            <w:pPr>
              <w:spacing w:after="0"/>
              <w:rPr>
                <w:sz w:val="1"/>
                <w:szCs w:val="1"/>
                <w:color w:val="auto"/>
              </w:rPr>
            </w:pPr>
          </w:p>
        </w:tc>
      </w:tr>
      <w:tr>
        <w:trPr>
          <w:trHeight w:val="229"/>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13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38,625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135,349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33,743</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2020 filed with the Securities and Exchange Commission (“SEC”) on February 19, 2021.</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2020.</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includes our larger-scale recycling and commodity brokerage operations along with our organics services and large scale commercial and industrial services.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April 15, 2021, we owned and/or operated 46 solid waste collection operations, 58 transfer stations, 20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global outbreak of the novel coronavirus ("COVID-19") pandemic has caused, and is expected to continue to cause, economic disruption across our geographic footprint and has adversely affected, and is expected to continue to adversely affect, our business. The COVID-19 pandemic negatively impacted our revenues starting at the end of the three months ended March 31, 2020, as many small business and construction collection customers required service level changes and volumes into our landfills declined due to lower economic activity. Although demand for services has improved as local economies begin to reopen as allowed by State Governments, our collection and disposal operations continued to be negatively impacted by lower volumes attributable to the COVID-19 pandemic in the three months ended March 31, 2021.</w:t>
      </w:r>
    </w:p>
    <w:p>
      <w:pPr>
        <w:spacing w:after="0" w:line="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COVID-19 pandemic has negatively impacted and is expected to continue to impact our business in other ways, as we have experienced and continue to experience increased costs as a result of the COVID-19 pandemic, including, but not limited to, higher costs associated with providing a safe working environment for our employees (such as increased costs associated with the protection of our employees, including costs for additional safety equipment, hygiene products and enhanced facility cleaning), employee impacts from illness, supporting a remote administration workforce, community response measures, the inability of customers to continue to pay for services, and temporary closures of the facilities of our customers. We have taken measures to reduce costs in other areas and preserve liquidity during this period of uncertainty. As of the date of this filing, we are unable to determine or predict the full extent of the continuing impact that the COVID-19 pandemic will have on our business, results of operations, liquidity and capital resources. Future developments, such as the possibility of continuing spread of COVID-19 across our geographic footprint, the rate of vaccinations, the severity and containment of certain COVID-19 variants along with the pace and extent to which the States in which we operate facilitate a return to normal economic and operation conditions are uncertain and cannot be predicted at this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as either processing or non-processing services in our Resource Solutions operating segment. Revenues from processing services consist of revenues derived from municipalities and customers in the form of processing fees, tipping fees, commodity sales, and organic material sales. Revenues from non-processing services consist of brokerage services; overall resource management services providing a wide range of environmental services and zero waste solutions to large and complex organizations; and traditional collection, disposal and recycling services provided to large account multi-site customers.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201"/>
        </w:trPr>
        <w:tc>
          <w:tcPr>
            <w:tcW w:w="35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7"/>
              </w:rPr>
              <w:t>2.9</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Disposal</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7"/>
              </w:rPr>
              <w:t>(0.7)</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7"/>
              </w:rPr>
              <w:t>0.3</w:t>
            </w: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87"/>
              </w:rPr>
              <w:t>0.3</w:t>
            </w:r>
          </w:p>
        </w:tc>
      </w:tr>
      <w:tr>
        <w:trPr>
          <w:trHeight w:val="223"/>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87"/>
              </w:rPr>
              <w:t>2.8</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87"/>
              </w:rPr>
              <w:t>3.3</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0.5</w:t>
            </w:r>
          </w:p>
        </w:tc>
      </w:tr>
      <w:tr>
        <w:trPr>
          <w:trHeight w:val="223"/>
        </w:trPr>
        <w:tc>
          <w:tcPr>
            <w:tcW w:w="3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3"/>
              <w:spacing w:after="0"/>
              <w:rPr>
                <w:sz w:val="20"/>
                <w:szCs w:val="20"/>
                <w:color w:val="auto"/>
              </w:rPr>
            </w:pPr>
            <w:r>
              <w:rPr>
                <w:rFonts w:ascii="Arial" w:cs="Arial" w:eastAsia="Arial" w:hAnsi="Arial"/>
                <w:sz w:val="18"/>
                <w:szCs w:val="18"/>
                <w:color w:val="auto"/>
                <w:w w:val="87"/>
              </w:rPr>
              <w:t>3.8</w:t>
            </w: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6.6</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43"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120"/>
        <w:spacing w:after="0"/>
        <w:rPr>
          <w:sz w:val="20"/>
          <w:szCs w:val="20"/>
          <w:color w:val="auto"/>
        </w:rPr>
      </w:pPr>
      <w:r>
        <w:rPr>
          <w:rFonts w:ascii="Arial" w:cs="Arial" w:eastAsia="Arial" w:hAnsi="Arial"/>
          <w:sz w:val="14"/>
          <w:szCs w:val="14"/>
          <w:b w:val="1"/>
          <w:bCs w:val="1"/>
          <w:color w:val="auto"/>
        </w:rPr>
        <w:t>Ended March 31, 2021 vs.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(4.4)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2.8</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is the result of the following:</w:t>
      </w:r>
    </w:p>
    <w:p>
      <w:pPr>
        <w:spacing w:after="0" w:line="117"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 million from favorable collection pricing; and</w:t>
      </w:r>
    </w:p>
    <w:p>
      <w:pPr>
        <w:spacing w:after="0" w:line="117" w:lineRule="exact"/>
        <w:rPr>
          <w:rFonts w:ascii="Arial" w:cs="Arial" w:eastAsia="Arial" w:hAnsi="Arial"/>
          <w:sz w:val="18"/>
          <w:szCs w:val="18"/>
          <w:color w:val="auto"/>
        </w:rPr>
      </w:pPr>
    </w:p>
    <w:p>
      <w:pPr>
        <w:ind w:right="4000" w:firstLine="129"/>
        <w:spacing w:after="0" w:line="375"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million from favorable disposal pricing associated with our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from the prior year is the result of the following:</w:t>
      </w:r>
    </w:p>
    <w:p>
      <w:pPr>
        <w:spacing w:after="0" w:line="117"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 million from lower collection volumes primarily due to the negative impacts of the COVID-19 pandemic, which began impacting our revenues starting at the end of the three months ended March 31, 2020; and</w:t>
      </w:r>
    </w:p>
    <w:p>
      <w:pPr>
        <w:spacing w:after="0" w:line="62" w:lineRule="exact"/>
        <w:rPr>
          <w:rFonts w:ascii="Arial" w:cs="Arial" w:eastAsia="Arial" w:hAnsi="Arial"/>
          <w:sz w:val="18"/>
          <w:szCs w:val="18"/>
          <w:color w:val="auto"/>
        </w:rPr>
      </w:pPr>
    </w:p>
    <w:p>
      <w:pPr>
        <w:ind w:left="460" w:right="60" w:hanging="331"/>
        <w:spacing w:after="0" w:line="286" w:lineRule="auto"/>
        <w:tabs>
          <w:tab w:leader="none" w:pos="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$(2.5) million from lower disposal volumes (of which $(1.5) million relates to lower landfill volumes, $(0.9) million relates to lower transportation volumes and $(0.1) million relates to lower transfer station volumes, in each case, primarily due to the negative impacts of the COVID-19 pandemic, which began impacting our revenues starting at the end of the three months ended March 31, 2020); partially offset by</w:t>
      </w:r>
    </w:p>
    <w:p>
      <w:pPr>
        <w:spacing w:after="0" w:line="57" w:lineRule="exact"/>
        <w:rPr>
          <w:rFonts w:ascii="Arial" w:cs="Arial" w:eastAsia="Arial" w:hAnsi="Arial"/>
          <w:sz w:val="17"/>
          <w:szCs w:val="17"/>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from higher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surcharges and other fees change component in quarterly solid waste revenues growth from the prior year is associated with the energy component of the energy and environmental fee and the sustainability recycling adjustment fee. The energy component of the energy and environmental fee floats on a monthly basis in conjunction with diesel fuel prices. The sustainability recycling adjustment fee floats on a monthly basis conversely with recycled commodity prices.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quarterly solid waste revenues growth from the prior year is the result of the following:</w:t>
      </w:r>
    </w:p>
    <w:p>
      <w:pPr>
        <w:spacing w:after="0" w:line="129" w:lineRule="exact"/>
        <w:rPr>
          <w:sz w:val="20"/>
          <w:szCs w:val="20"/>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from favorable commodity and energy pricing;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due to higher landfill gas-to-energy volumes; partially offset by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due to lower commodity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acquisitions change component in quarterly solid waste revenues growth from the prior year is the result of the following:</w:t>
      </w:r>
    </w:p>
    <w:p>
      <w:pPr>
        <w:spacing w:after="0" w:line="117"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one tuck-in solid waste collection business in our Western region;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of seven tuck-in solid waste collection businesses and a solid waste collection business in our 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 component in quarterly resource solutions revenues growth of $3.8 million from the prior year is the result of the following:</w:t>
      </w:r>
    </w:p>
    <w:p>
      <w:pPr>
        <w:spacing w:after="0" w:line="117" w:lineRule="exact"/>
        <w:rPr>
          <w:sz w:val="20"/>
          <w:szCs w:val="20"/>
          <w:color w:val="auto"/>
        </w:rPr>
      </w:pPr>
    </w:p>
    <w:p>
      <w:pPr>
        <w:ind w:left="440" w:hanging="311"/>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$3.2 million from the favorable impact of commodity pricing in the marketplace (not including the impact of lower intercompany tipping fees); and</w:t>
      </w:r>
    </w:p>
    <w:p>
      <w:pPr>
        <w:spacing w:after="0" w:line="140" w:lineRule="exact"/>
        <w:rPr>
          <w:rFonts w:ascii="Arial" w:cs="Arial" w:eastAsia="Arial" w:hAnsi="Arial"/>
          <w:sz w:val="16"/>
          <w:szCs w:val="16"/>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$0.5 million from higher non-processing revenues primarily due to higher volumes;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from higher processing volumes driven by higher recycling commodity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01"/>
        </w:trPr>
        <w:tc>
          <w:tcPr>
            <w:tcW w:w="36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Change</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127.1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128.5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7"/>
              </w:rPr>
              <w:t>(1.4)</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27.1</w:t>
            </w:r>
          </w:p>
        </w:tc>
        <w:tc>
          <w:tcPr>
            <w:tcW w:w="114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655"/>
              <w:spacing w:after="0"/>
              <w:rPr>
                <w:sz w:val="20"/>
                <w:szCs w:val="20"/>
                <w:color w:val="auto"/>
              </w:rPr>
            </w:pPr>
            <w:r>
              <w:rPr>
                <w:rFonts w:ascii="Arial" w:cs="Arial" w:eastAsia="Arial" w:hAnsi="Arial"/>
                <w:sz w:val="18"/>
                <w:szCs w:val="18"/>
                <w:color w:val="auto"/>
              </w:rPr>
              <w:t>24.4</w:t>
            </w:r>
          </w:p>
        </w:tc>
        <w:tc>
          <w:tcPr>
            <w:tcW w:w="960" w:type="dxa"/>
            <w:vAlign w:val="bottom"/>
          </w:tcPr>
          <w:p>
            <w:pPr>
              <w:jc w:val="right"/>
              <w:spacing w:after="0"/>
              <w:rPr>
                <w:sz w:val="20"/>
                <w:szCs w:val="20"/>
                <w:color w:val="auto"/>
              </w:rPr>
            </w:pPr>
            <w:r>
              <w:rPr>
                <w:rFonts w:ascii="Arial" w:cs="Arial" w:eastAsia="Arial" w:hAnsi="Arial"/>
                <w:sz w:val="18"/>
                <w:szCs w:val="18"/>
                <w:color w:val="auto"/>
              </w:rPr>
              <w:t>13.3 %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637"/>
              <w:spacing w:after="0"/>
              <w:rPr>
                <w:sz w:val="20"/>
                <w:szCs w:val="20"/>
                <w:color w:val="auto"/>
              </w:rPr>
            </w:pPr>
            <w:r>
              <w:rPr>
                <w:rFonts w:ascii="Arial" w:cs="Arial" w:eastAsia="Arial" w:hAnsi="Arial"/>
                <w:sz w:val="18"/>
                <w:szCs w:val="18"/>
                <w:color w:val="auto"/>
                <w:w w:val="87"/>
              </w:rPr>
              <w:t>2.7</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22.7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21.4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87"/>
              </w:rPr>
              <w:t>1.3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percentage of revenues, cost of operations decreased 320 basis points during the three months ended March 31, 2021 from the same period of the prior year. The period-to-period change in cost of operations can be primarily attributed to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Third-party direct costs decreased $(2.2) million quarterly while decreasing 210 basis points as a percentage of revenues due to the following:</w:t>
      </w:r>
    </w:p>
    <w:p>
      <w:pPr>
        <w:spacing w:after="0" w:line="129" w:lineRule="exact"/>
        <w:rPr>
          <w:sz w:val="20"/>
          <w:szCs w:val="20"/>
          <w:color w:val="auto"/>
        </w:rPr>
      </w:pPr>
    </w:p>
    <w:p>
      <w:pPr>
        <w:ind w:left="460" w:right="20" w:hanging="331"/>
        <w:spacing w:after="0" w:line="25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hauling and third-party transportation costs associated with lower organic collection volumes, lower landfill volumes in our Western region, and lower transfer station volumes in our Eastern region, mainly due to the negative impacts of the COVID-19 pandemic, which began impacting our revenues starting at the end of the three months ended March 31, 2020; partially offset by higher hauling and third-party transportation costs associated with higher collection volumes related to acquisition activity in our Western region; and higher brokerage volumes in our Resource Solutions operating segment with high pass through direct costs.</w:t>
      </w:r>
    </w:p>
    <w:p>
      <w:pPr>
        <w:spacing w:after="0" w:line="79" w:lineRule="exact"/>
        <w:rPr>
          <w:rFonts w:ascii="Arial" w:cs="Arial" w:eastAsia="Arial" w:hAnsi="Arial"/>
          <w:sz w:val="18"/>
          <w:szCs w:val="18"/>
          <w:color w:val="auto"/>
        </w:rPr>
      </w:pPr>
    </w:p>
    <w:p>
      <w:pPr>
        <w:ind w:left="460" w:right="20" w:hanging="331"/>
        <w:spacing w:after="0" w:line="259"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third-party disposal costs associated with internalizing more non-processing volumes in our Resource Solutions operating segment; and lower commercial collection, transportation and landfill volumes in our Western region mainly due to the negative impacts of the COVID-19 pandemic, which began impacting our revenues starting at the end of the three months ended March 31, 2020, and to a lesser extent lower organic collection and Western region landfill volumes due to our focus on pricing.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right="300"/>
        <w:spacing w:after="0" w:line="277" w:lineRule="auto"/>
        <w:rPr>
          <w:sz w:val="20"/>
          <w:szCs w:val="20"/>
          <w:color w:val="auto"/>
        </w:rPr>
      </w:pPr>
      <w:r>
        <w:rPr>
          <w:rFonts w:ascii="Arial" w:cs="Arial" w:eastAsia="Arial" w:hAnsi="Arial"/>
          <w:sz w:val="18"/>
          <w:szCs w:val="18"/>
          <w:color w:val="auto"/>
        </w:rPr>
        <w:t>Direct operational costs decreased $(1.6) million quarterly while decreasing 120 basis points as a percentage of revenues due to lower landfill operating costs in our Western region on lower landfill volumes, and lower equipment operating lease expense.</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Labor and related benefit costs increased $0.9 million quarterly while remaining flat as a percentage of revenues due primarily to acquisition activity in the Western region, higher health insurance costs and higher labor costs due to increased overtime; partially offset by lower salaries and labor costs within our Resource Solutions operating segment.</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Maintenance and repair costs increased $1.5 million quarterly while increasing 20 basis points as a percentage of revenues due primarily to higher facility maintenance costs in our Eastern region and higher operation support costs for our resource renewal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period-to-period change in general and administration expense can be primarily attributed to higher equity compensation costs and higher accrued incentive compensation on improved performance; partially offset by lower bad debt expense attributed to the timing of the COVID-19 pandemic, which resulted in a large increase in the allowance for credit losses as of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r>
      <w:tr>
        <w:trPr>
          <w:trHeight w:val="201"/>
        </w:trPr>
        <w:tc>
          <w:tcPr>
            <w:tcW w:w="36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36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period-to-period change in depreciation and amortization expense can be primarily attributed to increased investment in our fleet and acquisition activity. Landfill amortization expense remained flat as higher amortization associated with changes in cost estimates and other assumptions was offset by lower landfill volumes mainly associated with the negative impacts of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the three months ended March 31, 2021 and 2020, we recorded charges of $0.4 million and $1.0 million, respectively, comprised primarily of legal, consulting and other similar costs associated with the acquisition and integration of acquired businesses or select development projects.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2017, we initiated the plan to cease operations of the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the three months ended March 31, 2021 and 2020, we recorded charges of $0.2 million and $0.6 million, respectively, associated with legal and other costs pertaining to various matters as part of the unplanned early closure of the Southbridge Landfill through completion of the closure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net decreased $(0.5) million quarterly due primarily to lower average interest rates associated with changes in LIBOR.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Our provision for income taxes increased $2.3 million as compared to the same period in the prior year. The provision for the three months ended March 31, 2021 includes $0.1 million of current income taxes and $2.3 million of deferred income taxes. For the three months ended March 31, 2020, the provision includes a $(0.9) million current income tax benefit and $1.0 million of deferred income taxes. The effective rate for the three months ended March 31, 2021 is 31%, before adjustment for the one-time adjustments primarily related to accumulated other comprehensive losses, and is computed based on the statutory rate of 21% adjusted primarily for state taxes and nondeductible officer compensation.</w:t>
      </w:r>
    </w:p>
    <w:p>
      <w:pPr>
        <w:spacing w:after="0" w:line="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increase of $1.3 million in the deferred tax provision between the periods relates to the release of a significant portion of our valuation allowance in the fourth quarter ended December 31, 2020. On a periodic basis, we reassess the valuation allowance on our deferred income tax assets, weighing positive and negative evidence to assess the recoverability of the deferred tax assets. In the fourth quarter ended December 31,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 million. We continues to maintain a valuation allowance related to deferred tax assets that would generate capital losses when realized and deferred tax assets related to certain state jurisdictions.</w:t>
      </w:r>
    </w:p>
    <w:p>
      <w:pPr>
        <w:spacing w:after="0" w:line="77"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three months ended March 31, 2020 for the remaining minimum tax credit carried back to tax year 2018.</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December 22, 2017, the Tax Cuts and Jobs Act (the “TCJ Act”) was enacted. The TCJ Act significantly changed U.S. corporate income tax laws by, among other things, changing carryforward rules for net operating losses. Our $92.5 million in federal net operating loss carryforwards generated as of the end of 2017 continue to be carried forward for 20 years and are expected to be available to fully offset taxable income earned in 2021 and future tax years. Federal net operating losses generated after 2017, totaling $46.5 million carried forward to 2021, will be carried forward indefinitely, but generally may only offset up to 80% of taxable income earned in a tax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189.5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43"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120"/>
        <w:spacing w:after="0"/>
        <w:rPr>
          <w:sz w:val="20"/>
          <w:szCs w:val="20"/>
          <w:color w:val="auto"/>
        </w:rPr>
      </w:pPr>
      <w:r>
        <w:rPr>
          <w:rFonts w:ascii="Arial" w:cs="Arial" w:eastAsia="Arial" w:hAnsi="Arial"/>
          <w:sz w:val="14"/>
          <w:szCs w:val="14"/>
          <w:b w:val="1"/>
          <w:bCs w:val="1"/>
          <w:color w:val="auto"/>
        </w:rPr>
        <w:t>Ended March 31, 2021 vs.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 million from favorable collection pricing; and</w:t>
      </w:r>
    </w:p>
    <w:p>
      <w:pPr>
        <w:spacing w:after="0" w:line="117" w:lineRule="exact"/>
        <w:rPr>
          <w:rFonts w:ascii="Arial" w:cs="Arial" w:eastAsia="Arial" w:hAnsi="Arial"/>
          <w:sz w:val="18"/>
          <w:szCs w:val="18"/>
          <w:color w:val="auto"/>
        </w:rPr>
      </w:pPr>
    </w:p>
    <w:p>
      <w:pPr>
        <w:ind w:right="4700" w:firstLine="129"/>
        <w:spacing w:after="0" w:line="375" w:lineRule="auto"/>
        <w:tabs>
          <w:tab w:leader="none" w:pos="4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$0.6 million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 million from higher disposal volumes related to landfill volumes, partially offset by lower transfer station volumes;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$0.3 million from higher processing volumes; partially offset by</w:t>
      </w:r>
    </w:p>
    <w:p>
      <w:pPr>
        <w:spacing w:after="0" w:line="117" w:lineRule="exact"/>
        <w:rPr>
          <w:rFonts w:ascii="Arial" w:cs="Arial" w:eastAsia="Arial" w:hAnsi="Arial"/>
          <w:sz w:val="18"/>
          <w:szCs w:val="18"/>
          <w:color w:val="auto"/>
        </w:rPr>
      </w:pPr>
    </w:p>
    <w:p>
      <w:pPr>
        <w:ind w:left="460" w:right="180" w:hanging="331"/>
        <w:spacing w:after="0" w:line="27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$(0.6) million from lower collection volumes mainly due to the negative impacts of the COVID-19 pandemic, which began impacting our revenues starting at the end of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surcharges and other fees change component in quarterly solid waste revenues growth from the prior year is associated with the energy component of the energy and environmental fee and the sustainability recycling adjustment fee. The energy component of the energy and environmental fee floats on a monthly basis in conjunction with diesel fuel prices. The sustainability recycling adjustment fee floats on a monthly basis conversely with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43"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120"/>
        <w:spacing w:after="0"/>
        <w:rPr>
          <w:sz w:val="20"/>
          <w:szCs w:val="20"/>
          <w:color w:val="auto"/>
        </w:rPr>
      </w:pPr>
      <w:r>
        <w:rPr>
          <w:rFonts w:ascii="Arial" w:cs="Arial" w:eastAsia="Arial" w:hAnsi="Arial"/>
          <w:sz w:val="14"/>
          <w:szCs w:val="14"/>
          <w:b w:val="1"/>
          <w:bCs w:val="1"/>
          <w:color w:val="auto"/>
        </w:rPr>
        <w:t>Ended March 31, 2021 vs.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(5.4)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0.6</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$2.0 million from favorable collection pricing; and</w:t>
      </w:r>
    </w:p>
    <w:p>
      <w:pPr>
        <w:spacing w:after="0" w:line="117"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$0.7 million from favorable disposal pricing related to landfills and transfer stations.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right="180" w:hanging="331"/>
        <w:spacing w:after="0" w:line="27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 million from lower collection volumes mainly due to the negative impacts of the COVID-19 pandemic, which began impacting our revenues starting at the end of the three months ended March 31, 2020; and</w:t>
      </w:r>
    </w:p>
    <w:p>
      <w:pPr>
        <w:spacing w:after="0" w:line="62" w:lineRule="exact"/>
        <w:rPr>
          <w:rFonts w:ascii="Arial" w:cs="Arial" w:eastAsia="Arial" w:hAnsi="Arial"/>
          <w:sz w:val="18"/>
          <w:szCs w:val="18"/>
          <w:color w:val="auto"/>
        </w:rPr>
      </w:pPr>
    </w:p>
    <w:p>
      <w:pPr>
        <w:ind w:left="460" w:right="280" w:hanging="331"/>
        <w:spacing w:after="0" w:line="27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$(3.8) million from lower disposal volumes related to landfills and transportation mainly due to the negative impacts of the COVID-19 pandemic, which began impacting our revenues starting at the end of the three months ended March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surcharges and other fees change component in quarterly solid waste revenues growth from the prior year is associated with the energy component of the energy and environmental fee and the sustainability recycling adjustment fee. The energy component of the energy and environmental fee floats on a monthly basis in conjunction with diesel fuel prices. The sustainability recycling adjustment fee floats on a monthly basis conversely with recycled commodity prices.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is the result of favorable energy and commodity pricing and higher landfill gas-to-energy volumes, partially offset by lower commodity processing volumes.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The acquisitions change component in quarterly solid waste revenues growth is the result of the acquisition of one tuck-in solid waste collection and recycling business in the three months ended March 31, 2021 and the acquisition of seven tuck-in solid waste collection businesses and a solid waste collection business during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8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Western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7"/>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results improved $1.2 million quarterly. Excluding the impact of the Southbridge Landfill closure charge and the expense from acquisition activities, our improved operating performance in the three months ended March 31, 2021 was driven by revenue growth more than offsetting the following cost changes: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$0.1 million quarterly due to: higher labor and benefit costs due to increased overtime and higher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costs; and higher facility maintenance costs; partially offset by lower hauling and third-party transportation costs associated with lower collection and transfer station volumes, mainly due to the negative impacts of the COVID-19 pandemic, which began impacting our operations at the end of the three months ended March 31, 2020.</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General and administration</w:t>
      </w:r>
      <w:r>
        <w:rPr>
          <w:rFonts w:ascii="Arial" w:cs="Arial" w:eastAsia="Arial" w:hAnsi="Arial"/>
          <w:sz w:val="17"/>
          <w:szCs w:val="17"/>
          <w:color w:val="auto"/>
        </w:rPr>
        <w:t>: General and administration expense increased $1.2 million quarterly due to higher accrued incentive compensation and higher</w:t>
      </w:r>
      <w:r>
        <w:rPr>
          <w:rFonts w:ascii="Arial" w:cs="Arial" w:eastAsia="Arial" w:hAnsi="Arial"/>
          <w:sz w:val="17"/>
          <w:szCs w:val="17"/>
          <w:i w:val="1"/>
          <w:iCs w:val="1"/>
          <w:color w:val="auto"/>
        </w:rPr>
        <w:t xml:space="preserve"> </w:t>
      </w:r>
      <w:r>
        <w:rPr>
          <w:rFonts w:ascii="Arial" w:cs="Arial" w:eastAsia="Arial" w:hAnsi="Arial"/>
          <w:sz w:val="17"/>
          <w:szCs w:val="17"/>
          <w:color w:val="auto"/>
        </w:rPr>
        <w:t>shared overhead costs associated with improved performance, partially offset by lower bad debt expense attributed to the timing of the COVID-19 pandemic, which resulted in a large increase in the allowance for credit losses as of March 31, 2020.</w:t>
      </w:r>
    </w:p>
    <w:p>
      <w:pPr>
        <w:spacing w:after="0" w:line="5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$0.7 million quarterly due to higher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associated with acquisition activity and higher landfill amortization associated with changes in cost estimates and other assumptions.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results improved $2.2 million quarterly. Excluding the impact of the expense from acquisition activities, our improved operating performance in the three months ended March 31, 2021 was driven by revenue growth more than offsetting the following cost changes: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1" w:name="page32"/>
    <w:bookmarkEnd w:id="31"/>
    <w:p>
      <w:pPr>
        <w:ind w:right="80"/>
        <w:spacing w:after="0" w:line="259"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$0.4 million quarterly due to: higher labor and benefit costs associated with acquisition activity,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overtime, and higher health insurance costs; higher disposal costs on the internalization of volumes; and higher hauling and third-party transportation costs associated with higher collection volumes related to acquisition activity; partially offset by lower hauling and lower landfill operating costs on lower landfill tons and lower operating lease expense.</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$0.9 million quarterly due to higher shared overhead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performance, partially offset by lower bad debt expense attributed to the timing of the COVID-19 pandemic, which resulted in a large increase in the allowance for credit losses as of March 31, 2020.</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$0.8 million quarterly due primarily to acquisition activity,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lower landfill amortization on lower landfill volumes mainly associated with the negative impacts of the COVID-19 pandemic, which began impacting our operations at the end of the three months ended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improved $1.5 million quarterly driven by revenue growth more than offsetting the following cost changes: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$0.7 million quarterly due to: higher hauling and third-party transportation costs associated with higher</w:t>
      </w:r>
      <w:r>
        <w:rPr>
          <w:rFonts w:ascii="Arial" w:cs="Arial" w:eastAsia="Arial" w:hAnsi="Arial"/>
          <w:sz w:val="18"/>
          <w:szCs w:val="18"/>
          <w:i w:val="1"/>
          <w:iCs w:val="1"/>
          <w:color w:val="auto"/>
        </w:rPr>
        <w:t xml:space="preserve"> </w:t>
      </w:r>
      <w:r>
        <w:rPr>
          <w:rFonts w:ascii="Arial" w:cs="Arial" w:eastAsia="Arial" w:hAnsi="Arial"/>
          <w:sz w:val="18"/>
          <w:szCs w:val="18"/>
          <w:color w:val="auto"/>
        </w:rPr>
        <w:t>brokerage volumes with high pass through direct costs; higher disposal costs associated with internalizing more non-processing volumes; and higher facility operation support costs; partially offset by lower salaries and labor costs.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$0.7 million quarterly due to higher equity compensation costs, higher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and higher shared overhead costs on improved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continue to monitor the impact that the COVID-19 pandemic has had and will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$173.6 million of undrawn capacity from our $200.0 million revolving line of credit facility ("Revolving Credit Facility") and $152.6 million of cash and cash equivalents as of March 31, 2021 to help meet our liquidity needs, and our next significant debt maturity, which is comprised of our Revolving Credit Facility and term loan A facility ("Term Loan Facility", and together with the Revolving Credit Facility, the "Credit Facility"), is in May 2023. We believe that we will remain in compliance with all necessary covenants of our Credit Facility over the remaining term of this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Non-current portion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flows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7"/>
              <w:spacing w:after="0"/>
              <w:rPr>
                <w:sz w:val="20"/>
                <w:szCs w:val="20"/>
                <w:color w:val="auto"/>
              </w:rPr>
            </w:pPr>
            <w:r>
              <w:rPr>
                <w:rFonts w:ascii="Arial" w:cs="Arial" w:eastAsia="Arial" w:hAnsi="Arial"/>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5"/>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455"/>
              <w:spacing w:after="0"/>
              <w:rPr>
                <w:sz w:val="20"/>
                <w:szCs w:val="20"/>
                <w:color w:val="auto"/>
              </w:rPr>
            </w:pPr>
            <w:r>
              <w:rPr>
                <w:rFonts w:ascii="Arial" w:cs="Arial" w:eastAsia="Arial" w:hAnsi="Arial"/>
                <w:sz w:val="18"/>
                <w:szCs w:val="18"/>
                <w:color w:val="auto"/>
                <w:w w:val="93"/>
              </w:rPr>
              <w:t>(24.9)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5"/>
              </w:rPr>
              <w:t>32.9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property and equipment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expense from acquisition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cash provided by operating activities increased $17.3 million in the three months ended March 31, 2021 as compared to the three months ended March 31, 2020. This was the result of improved operational performance combined with the favorable cash flow impact associated with the changes in our assets and liabilities, net of effects of acquisitions and divestitures. For discussion of our improved operational performance in the three months ended March 31, 2021 as compared to the three months ended March 31, 2020,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above. The decrease in the unfavorable cash flow impact associated with the changes in our assets and liabilities, net of effects of acquisitions and divestitures, which are affected by both cost changes and the timing of payments, in the three months ended March 31, 2021 as compared to the three months ended March 31, 2020 was primarily due to the following:</w:t>
      </w:r>
    </w:p>
    <w:p>
      <w:pPr>
        <w:spacing w:after="0" w:line="56" w:lineRule="exact"/>
        <w:rPr>
          <w:sz w:val="20"/>
          <w:szCs w:val="20"/>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$11.9 million favorable impact to operating cash flows associated with the change in accounts payable;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$1.4 million favorable impact to operating cash flows associated with the change in accounts receivable; partially offset by</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$(1.9) million unfavorable impact to operating cash flows associated with the change in prepaid expenses, inventories and other assets.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Acquisitions, net of cash acquired</w:t>
      </w:r>
      <w:r>
        <w:rPr>
          <w:rFonts w:ascii="Arial" w:cs="Arial" w:eastAsia="Arial" w:hAnsi="Arial"/>
          <w:sz w:val="17"/>
          <w:szCs w:val="17"/>
          <w:color w:val="auto"/>
        </w:rPr>
        <w:t>. In the three months ended March 31, 2021, we acquired one tuck-in solid waste collection and recycling business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region for total consideration of $3.9 million, including $3.5 million in cash, and paid $1.1 million in holdback payments on businesses previously acquired, as compared to the three months ended March 31, 2020 during which we paid $5.4 million in total consideration, including $4.8 million in cash, to acquire a tuck-in solid waste collection business in our Western region and one recycling operation in our Resource Solutions operating segment, and paid $0.3 million in holdback payments on businesses previously acquired.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were $6.9 million higher in the three months ended March 31, 2021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primarily due to:</w:t>
      </w:r>
    </w:p>
    <w:p>
      <w:pPr>
        <w:spacing w:after="0" w:line="103" w:lineRule="exact"/>
        <w:rPr>
          <w:sz w:val="20"/>
          <w:szCs w:val="20"/>
          <w:color w:val="auto"/>
        </w:rPr>
      </w:pPr>
    </w:p>
    <w:p>
      <w:pPr>
        <w:ind w:left="500" w:right="780" w:hanging="330"/>
        <w:spacing w:after="0" w:line="342"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$8.7 million from higher replacement capital expenditures primarily associated with: capital spend for vehicles, machinery, equipment and containers associated with business growth, partially offset by lower capital spend on landfill development; partially offset by</w:t>
      </w:r>
    </w:p>
    <w:p>
      <w:pPr>
        <w:spacing w:after="0" w:line="15" w:lineRule="exact"/>
        <w:rPr>
          <w:rFonts w:ascii="Arial" w:cs="Arial" w:eastAsia="Arial" w:hAnsi="Arial"/>
          <w:sz w:val="16"/>
          <w:szCs w:val="16"/>
          <w:color w:val="auto"/>
        </w:rPr>
      </w:pPr>
    </w:p>
    <w:p>
      <w:pPr>
        <w:ind w:left="500" w:right="720" w:hanging="330"/>
        <w:spacing w:after="0" w:line="342"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$(2.1) million in lower capital expenditures from the integration of newly acquired operations, which includes planned capital expenditures following an acquisition, as well as non-routine development investments that are expected to provide long-term returns; and</w:t>
      </w:r>
    </w:p>
    <w:p>
      <w:pPr>
        <w:spacing w:after="0" w:line="15" w:lineRule="exact"/>
        <w:rPr>
          <w:rFonts w:ascii="Arial" w:cs="Arial" w:eastAsia="Arial" w:hAnsi="Arial"/>
          <w:sz w:val="16"/>
          <w:szCs w:val="16"/>
          <w:color w:val="auto"/>
        </w:rPr>
      </w:pPr>
    </w:p>
    <w:p>
      <w:pPr>
        <w:ind w:left="500" w:right="220" w:hanging="330"/>
        <w:spacing w:after="0" w:line="263"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$(0.1) million in lower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3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provided by debt activity decreased $(35.6) million. The decrease in financing cash flows related to our strong cash position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combined with prior year borrowings against our Revolving Credit Facility, which was subsequently paid down in the prior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2021, we had outstanding $349.1 million aggregate principal amount of borrowings under our Term Loan Facility and $0.0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March 31, 2021, further advances were available under the Revolving Credit Facility in the amount of $173.6 million. The available amount is net of outstanding irrevocable letters of credit totaling $26.4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March 31, 2021, financial covenant requirements included a minimum interest coverage ratio of 3.00 times and a maximum consolidated net leverage ratio of 4.00 times. 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March 31, 2021, we were in compliance with all covenants contained in the Credit Agreement.</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As of March 31, 2021, we had outstanding $162.0 aggregate principal amount of tax exempt bonds, $34.6 million aggregate principal amount of finance leases and $4.5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over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economic conditions in the northeastern United States will recover from the impact of the COVID-19 pandemic at the same time as, or at the same rate as, other areas of the United States.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March 31, 2021 to the application of critical accounting policies and estimates as described in Item 8 of our Annual Report on Form 10-K for the fiscal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6" w:name="page37"/>
    <w:bookmarkEnd w:id="36"/>
    <w:p>
      <w:pPr>
        <w:ind w:right="280"/>
        <w:spacing w:after="0" w:line="293" w:lineRule="auto"/>
        <w:rPr>
          <w:sz w:val="20"/>
          <w:szCs w:val="20"/>
          <w:color w:val="auto"/>
        </w:rPr>
      </w:pPr>
      <w:r>
        <w:rPr>
          <w:rFonts w:ascii="Arial" w:cs="Arial" w:eastAsia="Arial" w:hAnsi="Arial"/>
          <w:sz w:val="16"/>
          <w:szCs w:val="16"/>
          <w:color w:val="auto"/>
        </w:rPr>
        <w:t>As of March 31, 2021 and December 31, 2020, our active interest rate derivative agreements had a total notional amount of $195.0 million and $190.0 million, respectively. According to the terms of the agreements, we receive interest based on the 1-month LIBOR index and pay interest at a weighted average rate of approximately 2.51% as of March 31, 2021. The agreements mature between February 2022 and December 2026. As of March 31, 2021 and December 31, 2020, we had forward starting interest rate derivative agreements with a total notional amount of $85.0 million and $125.0 million, respectively. According to the terms of the agreements, we receive interest based on the 1-month LIBOR index, restricted by a 0.0% floor, and will pay interest at a weighted average rate of approximately 1.55%. The agreements mature between February 2027 and May 2028.</w:t>
      </w:r>
    </w:p>
    <w:p>
      <w:pPr>
        <w:spacing w:after="0" w:line="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2021, we had $201.1 million of fixed rate debt in addition to the $195.0 million fixed through our interest rate derivative agreements. We had interest rate risk relating to approximately $154.1 million of long-term debt as of March 31, 2021. The weighted average interest rate on the variable rate portion of long-term debt was approximately 1.9% at March 31, 2021. Should the average interest rate on the variable rate portion of long-term debt change by 100 basis points, we estimate that our annual interest expense would change by up to approximately $1.5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about commodity market volatility market risk as of March 31, 2021 does not differ materially from that discussed in Part II, Item 7A of our Annual Report on Form 10-K for the fiscal year ended December 31, 2020.</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March 31,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7" w:name="page38"/>
    <w:bookmarkEnd w:id="37"/>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38" w:name="page39"/>
    <w:bookmarkEnd w:id="38"/>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Our business is subject to a number of risks, including those identified in Item 1A, “Risk Factors” of our Annual Report on Form 10-K for the fiscal year ended December 31, 2020 ("2020 10-K"), that could have a material effect on our business, results of operations, financial condition and/or liquidity and that could cause our operating results to vary significantly from period to period. There have been no material changes to the risk factors disclosed in the 2020 10-K. We may disclose additional changes to our risk factors or disclose additional factors from time to time in our future filings with the Securities and Exchange Commission.</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14"/>
                <w:szCs w:val="14"/>
                <w:color w:val="auto"/>
              </w:rPr>
            </w:pPr>
          </w:p>
        </w:tc>
        <w:tc>
          <w:tcPr>
            <w:tcW w:w="9100" w:type="dxa"/>
            <w:vAlign w:val="bottom"/>
            <w:gridSpan w:val="5"/>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920" w:type="dxa"/>
            <w:vAlign w:val="bottom"/>
          </w:tcPr>
          <w:p>
            <w:pPr>
              <w:spacing w:after="0"/>
              <w:rPr>
                <w:sz w:val="16"/>
                <w:szCs w:val="16"/>
                <w:color w:val="auto"/>
              </w:rPr>
            </w:pPr>
          </w:p>
        </w:tc>
        <w:tc>
          <w:tcPr>
            <w:tcW w:w="9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31.1 +</w:t>
            </w:r>
          </w:p>
        </w:tc>
        <w:tc>
          <w:tcPr>
            <w:tcW w:w="120" w:type="dxa"/>
            <w:vAlign w:val="bottom"/>
          </w:tcPr>
          <w:p>
            <w:pPr>
              <w:spacing w:after="0"/>
              <w:rPr>
                <w:sz w:val="19"/>
                <w:szCs w:val="19"/>
                <w:color w:val="auto"/>
              </w:rPr>
            </w:pPr>
          </w:p>
        </w:tc>
        <w:tc>
          <w:tcPr>
            <w:tcW w:w="10020" w:type="dxa"/>
            <w:vAlign w:val="bottom"/>
            <w:tcBorders>
              <w:top w:val="single" w:sz="8" w:color="auto"/>
            </w:tcBorders>
            <w:gridSpan w:val="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Act of 2002.</w:t>
              </w:r>
            </w:hyperlink>
          </w:p>
        </w:tc>
        <w:tc>
          <w:tcPr>
            <w:tcW w:w="8860" w:type="dxa"/>
            <w:vAlign w:val="bottom"/>
            <w:tcBorders>
              <w:top w:val="single" w:sz="8" w:color="0000FF"/>
            </w:tcBorders>
            <w:gridSpan w:val="4"/>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Act of 2002.</w:t>
              </w:r>
            </w:hyperlink>
          </w:p>
        </w:tc>
        <w:tc>
          <w:tcPr>
            <w:tcW w:w="8800" w:type="dxa"/>
            <w:vAlign w:val="bottom"/>
            <w:tcBorders>
              <w:top w:val="single" w:sz="8" w:color="0000FF"/>
            </w:tcBorders>
            <w:gridSpan w:val="3"/>
          </w:tcPr>
          <w:p>
            <w:pPr>
              <w:spacing w:after="0"/>
              <w:rPr>
                <w:sz w:val="13"/>
                <w:szCs w:val="13"/>
                <w:color w:val="auto"/>
              </w:rPr>
            </w:pP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0020" w:type="dxa"/>
            <w:vAlign w:val="bottom"/>
            <w:gridSpan w:val="6"/>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101.SCH</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101.DEF</w:t>
            </w:r>
          </w:p>
        </w:tc>
        <w:tc>
          <w:tcPr>
            <w:tcW w:w="100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4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2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1200" w:right="200" w:hanging="742"/>
        <w:spacing w:after="0" w:line="21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March 31, 2021 and December 31, 2020, (ii) Consolidated Statements of Operations for the three months ended March 31, 2021 and 2020, (iii) Consolidated Statements of Comprehensive Income (Loss) for the three months ended March 31, 2021 and 2020, (iv) Consolidated Statements of Stockholders’ Equity for the three months ended March 31, 2021 and 2020, (v) Consolidated Statements of Cash Flows for the three months ended March 31, 2021 and 2020, and (vi) Notes to Consolidated Financial Statements.</w:t>
      </w:r>
    </w:p>
    <w:p>
      <w:pPr>
        <w:ind w:left="1200" w:hanging="703"/>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April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Christopher B. Heald</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Christopher B. Heald</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April 30, 2021</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107"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April 30,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 April 30, 2021</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5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45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2021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April 30, 2021</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2021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April 30, 2021</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9"/>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2021-04-30T16:48:45Z</dcterms:created>
  <dcterms:modified xsi:type="dcterms:W3CDTF">2021-04-30T16:48:45Z</dcterms:modified>
</cp:coreProperties>
</file>