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483235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18415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75565</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00" w:right="340" w:hanging="374"/>
        <w:spacing w:after="0" w:line="235" w:lineRule="auto"/>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 w:lineRule="exact"/>
        <w:rPr>
          <w:sz w:val="24"/>
          <w:szCs w:val="24"/>
          <w:color w:val="auto"/>
        </w:rPr>
      </w:pPr>
    </w:p>
    <w:p>
      <w:pPr>
        <w:ind w:left="400" w:right="320" w:hanging="374"/>
        <w:spacing w:after="0" w:line="235" w:lineRule="auto"/>
        <w:tabs>
          <w:tab w:leader="none" w:pos="4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34290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55880</wp:posOffset>
            </wp:positionV>
            <wp:extent cx="2777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94" w:lineRule="exact"/>
        <w:rPr>
          <w:sz w:val="24"/>
          <w:szCs w:val="24"/>
          <w:color w:val="auto"/>
        </w:rPr>
      </w:pPr>
    </w:p>
    <w:tbl>
      <w:tblPr>
        <w:tblLayout w:type="fixed"/>
        <w:tblInd w:w="2760" w:type="dxa"/>
        <w:tblCellMar>
          <w:top w:w="0" w:type="dxa"/>
          <w:left w:w="0" w:type="dxa"/>
          <w:bottom w:w="0" w:type="dxa"/>
          <w:right w:w="0" w:type="dxa"/>
        </w:tblCellMar>
      </w:tblPr>
      <w:tr>
        <w:trPr>
          <w:trHeight w:val="186"/>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Delaware</w:t>
            </w:r>
          </w:p>
        </w:tc>
        <w:tc>
          <w:tcPr>
            <w:tcW w:w="190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47"/>
        </w:trPr>
        <w:tc>
          <w:tcPr>
            <w:tcW w:w="3180" w:type="dxa"/>
            <w:vAlign w:val="bottom"/>
          </w:tcPr>
          <w:p>
            <w:pPr>
              <w:jc w:val="center"/>
              <w:ind w:right="708"/>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1900" w:type="dxa"/>
            <w:vAlign w:val="bottom"/>
          </w:tcPr>
          <w:p>
            <w:pPr>
              <w:jc w:val="center"/>
              <w:ind w:left="70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4"/>
              </w:rPr>
              <w:t>incorporation or organization)</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4"/>
              </w:rPr>
              <w:t>Identification No.)</w:t>
            </w:r>
          </w:p>
        </w:tc>
      </w:tr>
      <w:tr>
        <w:trPr>
          <w:trHeight w:val="342"/>
        </w:trPr>
        <w:tc>
          <w:tcPr>
            <w:tcW w:w="3180" w:type="dxa"/>
            <w:vAlign w:val="bottom"/>
          </w:tcPr>
          <w:p>
            <w:pPr>
              <w:jc w:val="center"/>
              <w:ind w:right="708"/>
              <w:spacing w:after="0"/>
              <w:rPr>
                <w:sz w:val="20"/>
                <w:szCs w:val="20"/>
                <w:color w:val="auto"/>
              </w:rPr>
            </w:pPr>
            <w:r>
              <w:rPr>
                <w:rFonts w:ascii="Arial" w:cs="Arial" w:eastAsia="Arial" w:hAnsi="Arial"/>
                <w:sz w:val="14"/>
                <w:szCs w:val="14"/>
                <w:b w:val="1"/>
                <w:bCs w:val="1"/>
                <w:color w:val="auto"/>
                <w:w w:val="95"/>
              </w:rPr>
              <w:t>25 Greens Hill Lane,</w:t>
            </w:r>
          </w:p>
        </w:tc>
        <w:tc>
          <w:tcPr>
            <w:tcW w:w="1900" w:type="dxa"/>
            <w:vAlign w:val="bottom"/>
          </w:tcPr>
          <w:p>
            <w:pPr>
              <w:spacing w:after="0"/>
              <w:rPr>
                <w:sz w:val="24"/>
                <w:szCs w:val="24"/>
                <w:color w:val="auto"/>
              </w:rPr>
            </w:pP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4"/>
              </w:rPr>
              <w:t>Rutland, Vermont</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189"/>
        </w:trPr>
        <w:tc>
          <w:tcPr>
            <w:tcW w:w="3180" w:type="dxa"/>
            <w:vAlign w:val="bottom"/>
          </w:tcPr>
          <w:p>
            <w:pPr>
              <w:jc w:val="center"/>
              <w:ind w:right="72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0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68580</wp:posOffset>
            </wp:positionV>
            <wp:extent cx="2777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29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10"/>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78"/>
        </w:trPr>
        <w:tc>
          <w:tcPr>
            <w:tcW w:w="3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60" w:type="dxa"/>
            <w:vAlign w:val="bottom"/>
            <w:gridSpan w:val="2"/>
            <w:vMerge w:val="continue"/>
          </w:tcPr>
          <w:p>
            <w:pPr>
              <w:spacing w:after="0"/>
              <w:rPr>
                <w:sz w:val="6"/>
                <w:szCs w:val="6"/>
                <w:color w:val="auto"/>
              </w:rPr>
            </w:pPr>
          </w:p>
        </w:tc>
        <w:tc>
          <w:tcPr>
            <w:tcW w:w="3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A common stock, $0.01 par value per share</w:t>
            </w:r>
          </w:p>
        </w:tc>
        <w:tc>
          <w:tcPr>
            <w:tcW w:w="100" w:type="dxa"/>
            <w:vAlign w:val="bottom"/>
          </w:tcPr>
          <w:p>
            <w:pPr>
              <w:spacing w:after="0"/>
              <w:rPr>
                <w:sz w:val="15"/>
                <w:szCs w:val="15"/>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CWST</w:t>
            </w: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bl>
    <w:p>
      <w:pPr>
        <w:spacing w:after="0" w:line="178" w:lineRule="exact"/>
        <w:rPr>
          <w:sz w:val="24"/>
          <w:szCs w:val="24"/>
          <w:color w:val="auto"/>
        </w:rPr>
      </w:pPr>
    </w:p>
    <w:p>
      <w:pPr>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99"/>
              </w:rPr>
              <w:t>☐</w:t>
            </w:r>
          </w:p>
        </w:tc>
      </w:tr>
      <w:tr>
        <w:trPr>
          <w:trHeight w:val="344"/>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0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560" w:type="dxa"/>
            <w:vAlign w:val="bottom"/>
          </w:tcPr>
          <w:p>
            <w:pPr>
              <w:ind w:left="240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7060" w:type="dxa"/>
            <w:vAlign w:val="bottom"/>
          </w:tcPr>
          <w:p>
            <w:pPr>
              <w:spacing w:after="0"/>
              <w:rPr>
                <w:sz w:val="20"/>
                <w:szCs w:val="20"/>
                <w:color w:val="auto"/>
              </w:rPr>
            </w:pPr>
            <w:r>
              <w:rPr>
                <w:rFonts w:ascii="Arial" w:cs="Arial" w:eastAsia="Arial" w:hAnsi="Arial"/>
                <w:sz w:val="16"/>
                <w:szCs w:val="16"/>
                <w:color w:val="auto"/>
                <w:w w:val="92"/>
              </w:rPr>
              <w:t>The number of shares outstanding of each of the registrant’s classes of common stock, as of April 15, 2022:</w:t>
            </w:r>
          </w:p>
        </w:tc>
        <w:tc>
          <w:tcPr>
            <w:tcW w:w="4180" w:type="dxa"/>
            <w:vAlign w:val="bottom"/>
          </w:tcPr>
          <w:p>
            <w:pPr>
              <w:spacing w:after="0"/>
              <w:rPr>
                <w:sz w:val="17"/>
                <w:szCs w:val="17"/>
                <w:color w:val="auto"/>
              </w:rPr>
            </w:pPr>
          </w:p>
        </w:tc>
      </w:tr>
      <w:tr>
        <w:trPr>
          <w:trHeight w:val="230"/>
        </w:trPr>
        <w:tc>
          <w:tcPr>
            <w:tcW w:w="7060" w:type="dxa"/>
            <w:vAlign w:val="bottom"/>
          </w:tcPr>
          <w:p>
            <w:pPr>
              <w:ind w:left="1580"/>
              <w:spacing w:after="0"/>
              <w:rPr>
                <w:sz w:val="20"/>
                <w:szCs w:val="20"/>
                <w:color w:val="auto"/>
              </w:rPr>
            </w:pPr>
            <w:r>
              <w:rPr>
                <w:rFonts w:ascii="Arial" w:cs="Arial" w:eastAsia="Arial" w:hAnsi="Arial"/>
                <w:sz w:val="16"/>
                <w:szCs w:val="16"/>
                <w:color w:val="auto"/>
              </w:rPr>
              <w:t>Class A common stock, $0.01 par value per share:</w:t>
            </w:r>
          </w:p>
        </w:tc>
        <w:tc>
          <w:tcPr>
            <w:tcW w:w="4180" w:type="dxa"/>
            <w:vAlign w:val="bottom"/>
          </w:tcPr>
          <w:p>
            <w:pPr>
              <w:jc w:val="right"/>
              <w:ind w:right="3279"/>
              <w:spacing w:after="0"/>
              <w:rPr>
                <w:sz w:val="20"/>
                <w:szCs w:val="20"/>
                <w:color w:val="auto"/>
              </w:rPr>
            </w:pPr>
            <w:r>
              <w:rPr>
                <w:rFonts w:ascii="Arial" w:cs="Arial" w:eastAsia="Arial" w:hAnsi="Arial"/>
                <w:sz w:val="16"/>
                <w:szCs w:val="16"/>
                <w:color w:val="auto"/>
                <w:w w:val="99"/>
              </w:rPr>
              <w:t>50,650,518</w:t>
            </w:r>
          </w:p>
        </w:tc>
      </w:tr>
      <w:tr>
        <w:trPr>
          <w:trHeight w:val="216"/>
        </w:trPr>
        <w:tc>
          <w:tcPr>
            <w:tcW w:w="7060" w:type="dxa"/>
            <w:vAlign w:val="bottom"/>
          </w:tcPr>
          <w:p>
            <w:pPr>
              <w:ind w:left="1600"/>
              <w:spacing w:after="0"/>
              <w:rPr>
                <w:sz w:val="20"/>
                <w:szCs w:val="20"/>
                <w:color w:val="auto"/>
              </w:rPr>
            </w:pPr>
            <w:r>
              <w:rPr>
                <w:rFonts w:ascii="Arial" w:cs="Arial" w:eastAsia="Arial" w:hAnsi="Arial"/>
                <w:sz w:val="16"/>
                <w:szCs w:val="16"/>
                <w:color w:val="auto"/>
              </w:rPr>
              <w:t>Class B common stock, $0.01 par value per share:</w:t>
            </w:r>
          </w:p>
        </w:tc>
        <w:tc>
          <w:tcPr>
            <w:tcW w:w="4180" w:type="dxa"/>
            <w:vAlign w:val="bottom"/>
          </w:tcPr>
          <w:p>
            <w:pPr>
              <w:jc w:val="right"/>
              <w:ind w:right="3279"/>
              <w:spacing w:after="0"/>
              <w:rPr>
                <w:sz w:val="20"/>
                <w:szCs w:val="20"/>
                <w:color w:val="auto"/>
              </w:rPr>
            </w:pPr>
            <w:r>
              <w:rPr>
                <w:rFonts w:ascii="Arial" w:cs="Arial" w:eastAsia="Arial" w:hAnsi="Arial"/>
                <w:sz w:val="16"/>
                <w:szCs w:val="16"/>
                <w:color w:val="auto"/>
              </w:rPr>
              <w:t>988,200</w:t>
            </w:r>
          </w:p>
        </w:tc>
      </w:tr>
      <w:tr>
        <w:trPr>
          <w:trHeight w:val="128"/>
        </w:trPr>
        <w:tc>
          <w:tcPr>
            <w:tcW w:w="7060" w:type="dxa"/>
            <w:vAlign w:val="bottom"/>
            <w:tcBorders>
              <w:bottom w:val="single" w:sz="8" w:color="auto"/>
            </w:tcBorders>
          </w:tcPr>
          <w:p>
            <w:pPr>
              <w:spacing w:after="0"/>
              <w:rPr>
                <w:sz w:val="11"/>
                <w:szCs w:val="11"/>
                <w:color w:val="auto"/>
              </w:rPr>
            </w:pPr>
          </w:p>
        </w:tc>
        <w:tc>
          <w:tcPr>
            <w:tcW w:w="4180" w:type="dxa"/>
            <w:vAlign w:val="bottom"/>
            <w:tcBorders>
              <w:bottom w:val="single" w:sz="8" w:color="auto"/>
            </w:tcBorders>
          </w:tcPr>
          <w:p>
            <w:pPr>
              <w:spacing w:after="0"/>
              <w:rPr>
                <w:sz w:val="11"/>
                <w:szCs w:val="11"/>
                <w:color w:val="auto"/>
              </w:rPr>
            </w:pPr>
          </w:p>
        </w:tc>
      </w:tr>
      <w:tr>
        <w:trPr>
          <w:trHeight w:val="34"/>
        </w:trPr>
        <w:tc>
          <w:tcPr>
            <w:tcW w:w="70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675"/>
        </w:trPr>
        <w:tc>
          <w:tcPr>
            <w:tcW w:w="706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3"/>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526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33,809</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Accounts receivable, net of allowance for credit losses of $2,812 and $3,276, respectively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93,244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86,979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9,729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133,985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146,479</w:t>
            </w: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and amortization of $997,459 and $973,094,</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646,691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644,604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93,961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232,860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100,864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93,723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assets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Cost method investments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43,957</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00" w:type="dxa"/>
            <w:vAlign w:val="bottom"/>
          </w:tcPr>
          <w:p>
            <w:pPr>
              <w:spacing w:after="0"/>
              <w:rPr>
                <w:sz w:val="14"/>
                <w:szCs w:val="14"/>
                <w:color w:val="auto"/>
              </w:rPr>
            </w:pPr>
          </w:p>
        </w:tc>
        <w:tc>
          <w:tcPr>
            <w:tcW w:w="1220" w:type="dxa"/>
            <w:vAlign w:val="bottom"/>
          </w:tcPr>
          <w:p>
            <w:pPr>
              <w:jc w:val="right"/>
              <w:ind w:right="19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3"/>
        </w:trPr>
        <w:tc>
          <w:tcPr>
            <w:tcW w:w="8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24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maturities of debt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63,086</w:t>
            </w:r>
          </w:p>
        </w:tc>
        <w:tc>
          <w:tcPr>
            <w:tcW w:w="0" w:type="dxa"/>
            <w:vAlign w:val="bottom"/>
          </w:tcPr>
          <w:p>
            <w:pPr>
              <w:spacing w:after="0"/>
              <w:rPr>
                <w:sz w:val="1"/>
                <w:szCs w:val="1"/>
                <w:color w:val="auto"/>
              </w:rPr>
            </w:pPr>
          </w:p>
        </w:tc>
      </w:t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10,139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22,210</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29"/>
        </w:trPr>
        <w:tc>
          <w:tcPr>
            <w:tcW w:w="824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7,915</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35,467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152,193</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Debt,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560,594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542,503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56,375</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78,999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28,056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30,185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240" w:type="dxa"/>
            <w:vAlign w:val="bottom"/>
            <w:shd w:val="clear" w:color="auto" w:fill="CCEEFF"/>
          </w:tcPr>
          <w:p>
            <w:pPr>
              <w:ind w:left="780"/>
              <w:spacing w:after="0" w:line="176" w:lineRule="exact"/>
              <w:rPr>
                <w:sz w:val="20"/>
                <w:szCs w:val="20"/>
                <w:color w:val="auto"/>
              </w:rPr>
            </w:pPr>
            <w:r>
              <w:rPr>
                <w:rFonts w:ascii="Arial" w:cs="Arial" w:eastAsia="Arial" w:hAnsi="Arial"/>
                <w:sz w:val="18"/>
                <w:szCs w:val="18"/>
                <w:color w:val="auto"/>
                <w:w w:val="94"/>
              </w:rPr>
              <w:t>Class A common stock, $0.01 par value per share; 100,000,000 shares authorized; 50,650,000 and</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50,423,000 shares issued and outstanding, respectively</w:t>
            </w: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780"/>
              <w:spacing w:after="0" w:line="176" w:lineRule="exact"/>
              <w:rPr>
                <w:sz w:val="20"/>
                <w:szCs w:val="20"/>
                <w:color w:val="auto"/>
              </w:rPr>
            </w:pPr>
            <w:r>
              <w:rPr>
                <w:rFonts w:ascii="Arial" w:cs="Arial" w:eastAsia="Arial" w:hAnsi="Arial"/>
                <w:sz w:val="18"/>
                <w:szCs w:val="18"/>
                <w:color w:val="auto"/>
                <w:w w:val="89"/>
              </w:rPr>
              <w:t>Class B common stock, $0.01 par value per share; 1,000,000 shares authorized; 988,000 shares issued</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240" w:type="dxa"/>
            <w:vAlign w:val="bottom"/>
          </w:tcPr>
          <w:p>
            <w:pPr>
              <w:ind w:left="780"/>
              <w:spacing w:after="0"/>
              <w:rPr>
                <w:sz w:val="20"/>
                <w:szCs w:val="20"/>
                <w:color w:val="auto"/>
              </w:rPr>
            </w:pPr>
            <w:r>
              <w:rPr>
                <w:rFonts w:ascii="Arial" w:cs="Arial" w:eastAsia="Arial" w:hAnsi="Arial"/>
                <w:sz w:val="18"/>
                <w:szCs w:val="18"/>
                <w:color w:val="auto"/>
              </w:rPr>
              <w:t>and outstanding, respectively; 10 votes per share</w:t>
            </w: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652,045</w:t>
            </w:r>
          </w:p>
        </w:tc>
        <w:tc>
          <w:tcPr>
            <w:tcW w:w="0" w:type="dxa"/>
            <w:vAlign w:val="bottom"/>
          </w:tcPr>
          <w:p>
            <w:pPr>
              <w:spacing w:after="0"/>
              <w:rPr>
                <w:sz w:val="1"/>
                <w:szCs w:val="1"/>
                <w:color w:val="auto"/>
              </w:rPr>
            </w:pPr>
          </w:p>
        </w:tc>
      </w:tr>
      <w:tr>
        <w:trPr>
          <w:trHeight w:val="229"/>
        </w:trPr>
        <w:tc>
          <w:tcPr>
            <w:tcW w:w="8240" w:type="dxa"/>
            <w:vAlign w:val="bottom"/>
          </w:tcPr>
          <w:p>
            <w:pPr>
              <w:ind w:left="78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(224,999)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Accumulated other comprehensive income (loss), net of tax</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23"/>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422,457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1,283,580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7"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Three Months Ended</w:t>
      </w:r>
    </w:p>
    <w:p>
      <w:pPr>
        <w:jc w:val="center"/>
        <w:ind w:left="838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234,027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189,532</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operations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127,139</w:t>
            </w:r>
          </w:p>
        </w:tc>
        <w:tc>
          <w:tcPr>
            <w:tcW w:w="0" w:type="dxa"/>
            <w:vAlign w:val="bottom"/>
          </w:tcPr>
          <w:p>
            <w:pPr>
              <w:spacing w:after="0"/>
              <w:rPr>
                <w:sz w:val="1"/>
                <w:szCs w:val="1"/>
                <w:color w:val="auto"/>
              </w:rPr>
            </w:pPr>
          </w:p>
        </w:tc>
      </w:tr>
      <w:tr>
        <w:trPr>
          <w:trHeight w:val="229"/>
        </w:trPr>
        <w:tc>
          <w:tcPr>
            <w:tcW w:w="8400" w:type="dxa"/>
            <w:vAlign w:val="bottom"/>
          </w:tcPr>
          <w:p>
            <w:pPr>
              <w:ind w:left="36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29,793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27,131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Expense from acquisition activities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2,043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Southbridge Landfill closure charge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223,859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177,523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12,009</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5,468</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21"/>
        </w:trPr>
        <w:tc>
          <w:tcPr>
            <w:tcW w:w="8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4,190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0" w:type="dxa"/>
            <w:vAlign w:val="bottom"/>
          </w:tcPr>
          <w:p>
            <w:pPr>
              <w:ind w:left="360"/>
              <w:spacing w:after="0" w:line="203" w:lineRule="exact"/>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51,657</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4"/>
              </w:rPr>
              <w:t>4,311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before tax:</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Hedging activity:</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560"/>
              <w:spacing w:after="0"/>
              <w:rPr>
                <w:sz w:val="20"/>
                <w:szCs w:val="20"/>
                <w:color w:val="auto"/>
              </w:rPr>
            </w:pPr>
            <w:r>
              <w:rPr>
                <w:rFonts w:ascii="Arial" w:cs="Arial" w:eastAsia="Arial" w:hAnsi="Arial"/>
                <w:sz w:val="18"/>
                <w:szCs w:val="18"/>
                <w:color w:val="auto"/>
              </w:rPr>
              <w:t>Interest rate swap settlements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(1,163)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94"/>
              </w:rPr>
              <w:t>(1,160)</w:t>
            </w:r>
          </w:p>
        </w:tc>
      </w:tr>
      <w:tr>
        <w:trPr>
          <w:trHeight w:val="230"/>
        </w:trPr>
        <w:tc>
          <w:tcPr>
            <w:tcW w:w="82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Interest rate swap amounts reclassified into interest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1,145</w:t>
            </w:r>
          </w:p>
        </w:tc>
      </w:tr>
      <w:tr>
        <w:trPr>
          <w:trHeight w:val="229"/>
        </w:trPr>
        <w:tc>
          <w:tcPr>
            <w:tcW w:w="82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Unrealized gain resulting from changes in fair value of derivative instruments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4,987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tax</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2"/>
              <w:spacing w:after="0"/>
              <w:rPr>
                <w:sz w:val="20"/>
                <w:szCs w:val="20"/>
                <w:color w:val="auto"/>
              </w:rPr>
            </w:pPr>
            <w:r>
              <w:rPr>
                <w:rFonts w:ascii="Arial" w:cs="Arial" w:eastAsia="Arial" w:hAnsi="Arial"/>
                <w:sz w:val="18"/>
                <w:szCs w:val="18"/>
                <w:color w:val="auto"/>
                <w:w w:val="88"/>
              </w:rPr>
              <w:t>4,972</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provision related to items of other comprehensive income</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1,142</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Arial" w:cs="Arial" w:eastAsia="Arial" w:hAnsi="Arial"/>
                <w:sz w:val="18"/>
                <w:szCs w:val="18"/>
                <w:color w:val="auto"/>
                <w:w w:val="88"/>
              </w:rPr>
              <w:t>3,830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10,333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color w:val="auto"/>
                <w:w w:val="88"/>
              </w:rPr>
              <w:t>8,141</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360"/>
              <w:spacing w:after="0"/>
              <w:rPr>
                <w:sz w:val="20"/>
                <w:szCs w:val="20"/>
                <w:color w:val="auto"/>
              </w:rPr>
            </w:pPr>
            <w:r>
              <w:rPr>
                <w:rFonts w:ascii="Arial" w:cs="Arial" w:eastAsia="Arial" w:hAnsi="Arial"/>
                <w:sz w:val="13"/>
                <w:szCs w:val="13"/>
                <w:b w:val="1"/>
                <w:bCs w:val="1"/>
                <w:color w:val="auto"/>
              </w:rPr>
              <w:t>Casella Waste Systems, Inc. Stockholders' Equity</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5"/>
              </w:rPr>
              <w:t>Common Stock</w:t>
            </w:r>
          </w:p>
        </w:tc>
        <w:tc>
          <w:tcPr>
            <w:tcW w:w="158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85"/>
              </w:rPr>
              <w:t>Common Stock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3"/>
            <w:vMerge w:val="restart"/>
          </w:tcPr>
          <w:p>
            <w:pPr>
              <w:ind w:left="20"/>
              <w:spacing w:after="0" w:line="122" w:lineRule="exact"/>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2"/>
                <w:szCs w:val="2"/>
                <w:color w:val="auto"/>
              </w:rPr>
            </w:pPr>
          </w:p>
        </w:tc>
        <w:tc>
          <w:tcPr>
            <w:tcW w:w="1000" w:type="dxa"/>
            <w:vAlign w:val="bottom"/>
            <w:gridSpan w:val="2"/>
            <w:vMerge w:val="restart"/>
          </w:tcPr>
          <w:p>
            <w:pPr>
              <w:jc w:val="center"/>
              <w:ind w:right="24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2"/>
                <w:szCs w:val="2"/>
                <w:color w:val="auto"/>
              </w:rPr>
            </w:pPr>
          </w:p>
        </w:tc>
        <w:tc>
          <w:tcPr>
            <w:tcW w:w="1060" w:type="dxa"/>
            <w:vAlign w:val="bottom"/>
            <w:vMerge w:val="restart"/>
          </w:tcPr>
          <w:p>
            <w:pPr>
              <w:jc w:val="center"/>
              <w:ind w:right="69"/>
              <w:spacing w:after="0" w:line="122" w:lineRule="exact"/>
              <w:rPr>
                <w:sz w:val="20"/>
                <w:szCs w:val="20"/>
                <w:color w:val="auto"/>
              </w:rPr>
            </w:pPr>
            <w:r>
              <w:rPr>
                <w:rFonts w:ascii="Arial" w:cs="Arial" w:eastAsia="Arial" w:hAnsi="Arial"/>
                <w:sz w:val="13"/>
                <w:szCs w:val="13"/>
                <w:b w:val="1"/>
                <w:bCs w:val="1"/>
                <w:color w:val="auto"/>
                <w:w w:val="86"/>
              </w:rPr>
              <w:t>Comprehensive</w:t>
            </w:r>
          </w:p>
        </w:tc>
        <w:tc>
          <w:tcPr>
            <w:tcW w:w="0" w:type="dxa"/>
            <w:vAlign w:val="bottom"/>
          </w:tcPr>
          <w:p>
            <w:pPr>
              <w:spacing w:after="0"/>
              <w:rPr>
                <w:sz w:val="1"/>
                <w:szCs w:val="1"/>
                <w:color w:val="auto"/>
              </w:rPr>
            </w:pPr>
          </w:p>
        </w:tc>
      </w:tr>
      <w:tr>
        <w:trPr>
          <w:trHeight w:val="74"/>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4"/>
                <w:szCs w:val="14"/>
                <w:color w:val="auto"/>
              </w:rPr>
            </w:pPr>
          </w:p>
        </w:tc>
        <w:tc>
          <w:tcPr>
            <w:tcW w:w="1060" w:type="dxa"/>
            <w:vAlign w:val="bottom"/>
          </w:tcPr>
          <w:p>
            <w:pPr>
              <w:jc w:val="center"/>
              <w:ind w:right="69"/>
              <w:spacing w:after="0"/>
              <w:rPr>
                <w:sz w:val="20"/>
                <w:szCs w:val="20"/>
                <w:color w:val="auto"/>
              </w:rPr>
            </w:pPr>
            <w:r>
              <w:rPr>
                <w:rFonts w:ascii="Arial" w:cs="Arial" w:eastAsia="Arial" w:hAnsi="Arial"/>
                <w:sz w:val="13"/>
                <w:szCs w:val="13"/>
                <w:b w:val="1"/>
                <w:bCs w:val="1"/>
                <w:color w:val="auto"/>
                <w:w w:val="86"/>
              </w:rPr>
              <w:t>Income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422,457</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50,423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652,045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(224,999)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(5,103)</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2,241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4,190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6,143</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6,143</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435,050</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50,650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506</w:t>
            </w:r>
          </w:p>
        </w:tc>
        <w:tc>
          <w:tcPr>
            <w:tcW w:w="10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654,303</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(220,809)</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1,040</w:t>
            </w:r>
          </w:p>
        </w:tc>
        <w:tc>
          <w:tcPr>
            <w:tcW w:w="0" w:type="dxa"/>
            <w:vAlign w:val="bottom"/>
          </w:tcPr>
          <w:p>
            <w:pPr>
              <w:spacing w:after="0"/>
              <w:rPr>
                <w:sz w:val="1"/>
                <w:szCs w:val="1"/>
                <w:color w:val="auto"/>
              </w:rPr>
            </w:pPr>
          </w:p>
        </w:tc>
      </w:tr>
      <w:tr>
        <w:trPr>
          <w:trHeight w:val="21"/>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7"/>
              </w:rPr>
              <w:t>Class A</w:t>
            </w:r>
          </w:p>
        </w:tc>
        <w:tc>
          <w:tcPr>
            <w:tcW w:w="1580" w:type="dxa"/>
            <w:vAlign w:val="bottom"/>
            <w:gridSpan w:val="5"/>
          </w:tcPr>
          <w:p>
            <w:pPr>
              <w:jc w:val="center"/>
              <w:ind w:right="100"/>
              <w:spacing w:after="0"/>
              <w:rPr>
                <w:sz w:val="20"/>
                <w:szCs w:val="20"/>
                <w:color w:val="auto"/>
              </w:rPr>
            </w:pPr>
            <w:r>
              <w:rPr>
                <w:rFonts w:ascii="Arial" w:cs="Arial" w:eastAsia="Arial" w:hAnsi="Arial"/>
                <w:sz w:val="13"/>
                <w:szCs w:val="13"/>
                <w:b w:val="1"/>
                <w:bCs w:val="1"/>
                <w:color w:val="auto"/>
                <w:w w:val="83"/>
              </w:rPr>
              <w:t>Class B</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00" w:type="dxa"/>
            <w:vAlign w:val="bottom"/>
          </w:tcPr>
          <w:p>
            <w:pPr>
              <w:spacing w:after="0"/>
              <w:rPr>
                <w:sz w:val="14"/>
                <w:szCs w:val="14"/>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120" w:type="dxa"/>
            <w:vAlign w:val="bottom"/>
          </w:tcPr>
          <w:p>
            <w:pPr>
              <w:spacing w:after="0"/>
              <w:rPr>
                <w:sz w:val="14"/>
                <w:szCs w:val="14"/>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Additional Paid-</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Accumulated Other</w:t>
            </w:r>
          </w:p>
        </w:tc>
        <w:tc>
          <w:tcPr>
            <w:tcW w:w="0" w:type="dxa"/>
            <w:vAlign w:val="bottom"/>
          </w:tcPr>
          <w:p>
            <w:pPr>
              <w:spacing w:after="0"/>
              <w:rPr>
                <w:sz w:val="1"/>
                <w:szCs w:val="1"/>
                <w:color w:val="auto"/>
              </w:rPr>
            </w:pPr>
          </w:p>
        </w:tc>
      </w:tr>
      <w:tr>
        <w:trPr>
          <w:trHeight w:val="80"/>
        </w:trPr>
        <w:tc>
          <w:tcPr>
            <w:tcW w:w="3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Total</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6"/>
                <w:szCs w:val="6"/>
                <w:color w:val="auto"/>
              </w:rPr>
            </w:pPr>
          </w:p>
        </w:tc>
        <w:tc>
          <w:tcPr>
            <w:tcW w:w="6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11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Comprehensive Loss</w:t>
            </w:r>
          </w:p>
        </w:tc>
        <w:tc>
          <w:tcPr>
            <w:tcW w:w="0" w:type="dxa"/>
            <w:vAlign w:val="bottom"/>
          </w:tcPr>
          <w:p>
            <w:pPr>
              <w:spacing w:after="0"/>
              <w:rPr>
                <w:sz w:val="1"/>
                <w:szCs w:val="1"/>
                <w:color w:val="auto"/>
              </w:rPr>
            </w:pPr>
          </w:p>
        </w:tc>
      </w:tr>
      <w:tr>
        <w:trPr>
          <w:trHeight w:val="188"/>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2020</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362,142</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50,101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639,247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(266,099)</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(11,517)</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Issuances of Class A common stock</w:t>
            </w:r>
          </w:p>
        </w:tc>
        <w:tc>
          <w:tcPr>
            <w:tcW w:w="18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2,941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140"/>
              <w:spacing w:after="0"/>
              <w:rPr>
                <w:sz w:val="20"/>
                <w:szCs w:val="20"/>
                <w:color w:val="auto"/>
              </w:rPr>
            </w:pPr>
            <w:r>
              <w:rPr>
                <w:rFonts w:ascii="Arial" w:cs="Arial" w:eastAsia="Arial" w:hAnsi="Arial"/>
                <w:sz w:val="14"/>
                <w:szCs w:val="14"/>
                <w:color w:val="auto"/>
              </w:rPr>
              <w:t>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Net income</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4,311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40" w:type="dxa"/>
            <w:vAlign w:val="bottom"/>
          </w:tcPr>
          <w:p>
            <w:pPr>
              <w:ind w:left="360"/>
              <w:spacing w:after="0"/>
              <w:rPr>
                <w:sz w:val="20"/>
                <w:szCs w:val="20"/>
                <w:color w:val="auto"/>
              </w:rPr>
            </w:pPr>
            <w:r>
              <w:rPr>
                <w:rFonts w:ascii="Arial" w:cs="Arial" w:eastAsia="Arial" w:hAnsi="Arial"/>
                <w:sz w:val="14"/>
                <w:szCs w:val="14"/>
                <w:color w:val="auto"/>
              </w:rPr>
              <w:t>Other comprehensive income:</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CEEFF"/>
          </w:tcPr>
          <w:p>
            <w:pPr>
              <w:ind w:left="560"/>
              <w:spacing w:after="0"/>
              <w:rPr>
                <w:sz w:val="20"/>
                <w:szCs w:val="20"/>
                <w:color w:val="auto"/>
              </w:rPr>
            </w:pPr>
            <w:r>
              <w:rPr>
                <w:rFonts w:ascii="Arial" w:cs="Arial" w:eastAsia="Arial" w:hAnsi="Arial"/>
                <w:sz w:val="14"/>
                <w:szCs w:val="14"/>
                <w:color w:val="auto"/>
              </w:rPr>
              <w:t>Hedging activity</w:t>
            </w: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3,830</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3,830</w:t>
            </w:r>
          </w:p>
        </w:tc>
        <w:tc>
          <w:tcPr>
            <w:tcW w:w="0" w:type="dxa"/>
            <w:vAlign w:val="bottom"/>
          </w:tcPr>
          <w:p>
            <w:pPr>
              <w:spacing w:after="0"/>
              <w:rPr>
                <w:sz w:val="1"/>
                <w:szCs w:val="1"/>
                <w:color w:val="auto"/>
              </w:rPr>
            </w:pPr>
          </w:p>
        </w:tc>
      </w:tr>
      <w:tr>
        <w:trPr>
          <w:trHeight w:val="186"/>
        </w:trPr>
        <w:tc>
          <w:tcPr>
            <w:tcW w:w="3840" w:type="dxa"/>
            <w:vAlign w:val="bottom"/>
          </w:tcPr>
          <w:p>
            <w:pPr>
              <w:ind w:left="20"/>
              <w:spacing w:after="0"/>
              <w:rPr>
                <w:sz w:val="20"/>
                <w:szCs w:val="20"/>
                <w:color w:val="auto"/>
              </w:rPr>
            </w:pPr>
            <w:r>
              <w:rPr>
                <w:rFonts w:ascii="Arial" w:cs="Arial" w:eastAsia="Arial" w:hAnsi="Arial"/>
                <w:sz w:val="14"/>
                <w:szCs w:val="14"/>
                <w:color w:val="auto"/>
              </w:rPr>
              <w:t>Balance, March 31, 2021</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373,336</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50,374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642,297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(261,788)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(7,687)</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Three Months Ended</w:t>
      </w:r>
    </w:p>
    <w:p>
      <w:pPr>
        <w:jc w:val="center"/>
        <w:ind w:left="82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170"/>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4,190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4,311</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29,428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22,682</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3,015</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Gain on sale of property and equipment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7,872</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880" w:type="dxa"/>
            <w:vAlign w:val="bottom"/>
          </w:tcPr>
          <w:p>
            <w:pPr>
              <w:spacing w:after="0"/>
              <w:rPr>
                <w:sz w:val="16"/>
                <w:szCs w:val="16"/>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(1,060)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(2,077)</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(19,582)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(12,737)</w:t>
            </w:r>
          </w:p>
        </w:tc>
      </w:tr>
      <w:tr>
        <w:trPr>
          <w:trHeight w:val="17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8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24,714</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32,147</w:t>
            </w:r>
          </w:p>
        </w:tc>
      </w:tr>
      <w:tr>
        <w:trPr>
          <w:trHeight w:val="17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8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(49,757)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(4,568)</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(12,910)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(26,832)</w:t>
            </w: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5"/>
              </w:rPr>
              <w:t>(62,522)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(31,277)</w:t>
            </w:r>
          </w:p>
        </w:tc>
      </w:tr>
      <w:tr>
        <w:trPr>
          <w:trHeight w:val="166"/>
        </w:trPr>
        <w:tc>
          <w:tcPr>
            <w:tcW w:w="824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debt borrowings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25,600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tcPr>
          <w:p>
            <w:pPr>
              <w:ind w:left="340"/>
              <w:spacing w:after="0"/>
              <w:rPr>
                <w:sz w:val="20"/>
                <w:szCs w:val="20"/>
                <w:color w:val="auto"/>
              </w:rPr>
            </w:pPr>
            <w:r>
              <w:rPr>
                <w:rFonts w:ascii="Arial" w:cs="Arial" w:eastAsia="Arial" w:hAnsi="Arial"/>
                <w:sz w:val="14"/>
                <w:szCs w:val="14"/>
                <w:color w:val="auto"/>
              </w:rPr>
              <w:t>Principal payments on debt</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(9,014)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(2,769)</w:t>
            </w:r>
          </w:p>
        </w:tc>
      </w:tr>
      <w:tr>
        <w:trPr>
          <w:trHeight w:val="192"/>
        </w:trPr>
        <w:tc>
          <w:tcPr>
            <w:tcW w:w="824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Payments of debt issuance costs</w:t>
            </w: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r>
      <w:tr>
        <w:trPr>
          <w:trHeight w:val="186"/>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16,593</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(2,657)</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Net decrease in cash and cash equivalents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(21,215)</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(1,787)</w:t>
            </w:r>
          </w:p>
        </w:tc>
      </w:tr>
      <w:tr>
        <w:trPr>
          <w:trHeight w:val="192"/>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8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33,809</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154,342</w:t>
            </w:r>
          </w:p>
        </w:tc>
      </w:tr>
      <w:tr>
        <w:trPr>
          <w:trHeight w:val="179"/>
        </w:trPr>
        <w:tc>
          <w:tcPr>
            <w:tcW w:w="82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88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12,594</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152,555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59"/>
        </w:trPr>
        <w:tc>
          <w:tcPr>
            <w:tcW w:w="824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Supplemental Disclosure of Cash Flow Information:</w:t>
            </w:r>
          </w:p>
        </w:tc>
        <w:tc>
          <w:tcPr>
            <w:tcW w:w="8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Cash interest payments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4,840</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5,020</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Cash income tax payments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r>
      <w:tr>
        <w:trPr>
          <w:trHeight w:val="186"/>
        </w:trPr>
        <w:tc>
          <w:tcPr>
            <w:tcW w:w="8240" w:type="dxa"/>
            <w:vAlign w:val="bottom"/>
          </w:tcPr>
          <w:p>
            <w:pPr>
              <w:ind w:left="660"/>
              <w:spacing w:after="0"/>
              <w:rPr>
                <w:sz w:val="20"/>
                <w:szCs w:val="20"/>
                <w:color w:val="auto"/>
              </w:rPr>
            </w:pPr>
            <w:r>
              <w:rPr>
                <w:rFonts w:ascii="Arial" w:cs="Arial" w:eastAsia="Arial" w:hAnsi="Arial"/>
                <w:sz w:val="14"/>
                <w:szCs w:val="14"/>
                <w:color w:val="auto"/>
              </w:rPr>
              <w:t>Non-current assets obtained through long-term financing obligations</w:t>
            </w:r>
          </w:p>
        </w:tc>
        <w:tc>
          <w:tcPr>
            <w:tcW w:w="880" w:type="dxa"/>
            <w:vAlign w:val="bottom"/>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1,032</w:t>
            </w:r>
          </w:p>
        </w:tc>
        <w:tc>
          <w:tcPr>
            <w:tcW w:w="120" w:type="dxa"/>
            <w:vAlign w:val="bottom"/>
          </w:tcPr>
          <w:p>
            <w:pPr>
              <w:spacing w:after="0"/>
              <w:rPr>
                <w:sz w:val="16"/>
                <w:szCs w:val="16"/>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4,569</w:t>
            </w:r>
          </w:p>
        </w:tc>
      </w:tr>
      <w:tr>
        <w:trPr>
          <w:trHeight w:val="192"/>
        </w:trPr>
        <w:tc>
          <w:tcPr>
            <w:tcW w:w="8240" w:type="dxa"/>
            <w:vAlign w:val="bottom"/>
            <w:shd w:val="clear" w:color="auto" w:fill="CCEEFF"/>
          </w:tcPr>
          <w:p>
            <w:pPr>
              <w:ind w:left="66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88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91"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121"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Casella Waste Systems, Inc. (“Parent”), and its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Legal, tax, information technology, human resources, certain finance and accounting and other administrative functions are included in our Corporate Entities segment.</w:t>
      </w:r>
    </w:p>
    <w:p>
      <w:pPr>
        <w:spacing w:after="0" w:line="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of our Annual Report on Form 10-K for the fiscal year ended December 31, 2021 ("fiscal year 2021"), which was filed with the SEC on February 18, 2022.</w:t>
      </w:r>
    </w:p>
    <w:p>
      <w:pPr>
        <w:spacing w:after="0" w:line="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months ended March 31, 2022 may not be indicative of the results for any other interim period or the entire fiscal year. The consolidated financial statements presented herein should be read in conjunction with our audited consolidated financial statements included in our Annual Report on Form 10-K for fiscal year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March 31, 2022 through the date of filing of the consolidated financial statements with the SEC on this Quarterly Report on Form 10-Q. We have determined that there are no subsequent events that require disclosure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spacing w:after="0"/>
        <w:tabs>
          <w:tab w:leader="none" w:pos="300" w:val="left"/>
        </w:tabs>
        <w:rPr>
          <w:sz w:val="20"/>
          <w:szCs w:val="20"/>
          <w:color w:val="auto"/>
        </w:rPr>
      </w:pPr>
      <w:r>
        <w:rPr>
          <w:rFonts w:ascii="Arial" w:cs="Arial" w:eastAsia="Arial" w:hAnsi="Arial"/>
          <w:sz w:val="18"/>
          <w:szCs w:val="18"/>
          <w:b w:val="1"/>
          <w:bCs w:val="1"/>
          <w:color w:val="auto"/>
        </w:rPr>
        <w:t>2.</w:t>
        <w:tab/>
        <w:t>ACCOUNTING CHANGES</w:t>
      </w:r>
    </w:p>
    <w:p>
      <w:pPr>
        <w:spacing w:after="0" w:line="12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are pending adoption and deemed to have a possible material impact on our consolidated financial statements based on current account balances and activity follows:</w:t>
      </w:r>
    </w:p>
    <w:tbl>
      <w:tblPr>
        <w:tblLayout w:type="fixed"/>
        <w:tblInd w:w="0" w:type="dxa"/>
        <w:tblCellMar>
          <w:top w:w="0" w:type="dxa"/>
          <w:left w:w="0" w:type="dxa"/>
          <w:bottom w:w="0" w:type="dxa"/>
          <w:right w:w="0" w:type="dxa"/>
        </w:tblCellMar>
      </w:tblPr>
      <w:tr>
        <w:trPr>
          <w:trHeight w:val="146"/>
        </w:trPr>
        <w:tc>
          <w:tcPr>
            <w:tcW w:w="3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0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Description</w:t>
            </w:r>
          </w:p>
        </w:tc>
        <w:tc>
          <w:tcPr>
            <w:tcW w:w="4540" w:type="dxa"/>
            <w:vAlign w:val="bottom"/>
          </w:tcPr>
          <w:p>
            <w:pPr>
              <w:jc w:val="center"/>
              <w:ind w:left="468"/>
              <w:spacing w:after="0" w:line="147" w:lineRule="exact"/>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88"/>
        </w:trPr>
        <w:tc>
          <w:tcPr>
            <w:tcW w:w="3800" w:type="dxa"/>
            <w:vAlign w:val="bottom"/>
            <w:tcBorders>
              <w:bottom w:val="single" w:sz="8" w:color="auto"/>
            </w:tcBorders>
            <w:vMerge w:val="continue"/>
          </w:tcPr>
          <w:p>
            <w:pPr>
              <w:spacing w:after="0"/>
              <w:rPr>
                <w:sz w:val="16"/>
                <w:szCs w:val="16"/>
                <w:color w:val="auto"/>
              </w:rPr>
            </w:pPr>
          </w:p>
        </w:tc>
        <w:tc>
          <w:tcPr>
            <w:tcW w:w="2900" w:type="dxa"/>
            <w:vAlign w:val="bottom"/>
            <w:tcBorders>
              <w:bottom w:val="single" w:sz="8" w:color="auto"/>
            </w:tcBorders>
            <w:vMerge w:val="continue"/>
          </w:tcPr>
          <w:p>
            <w:pPr>
              <w:spacing w:after="0"/>
              <w:rPr>
                <w:sz w:val="16"/>
                <w:szCs w:val="16"/>
                <w:color w:val="auto"/>
              </w:rPr>
            </w:pPr>
          </w:p>
        </w:tc>
        <w:tc>
          <w:tcPr>
            <w:tcW w:w="454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77"/>
        </w:trPr>
        <w:tc>
          <w:tcPr>
            <w:tcW w:w="38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0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38" w:orient="portrait"/>
          <w:cols w:equalWidth="0" w:num="1">
            <w:col w:w="11240"/>
          </w:cols>
          <w:pgMar w:left="320" w:top="1107" w:right="339" w:bottom="1440" w:gutter="0" w:footer="0" w:header="0"/>
        </w:sectPr>
      </w:pPr>
    </w:p>
    <w:p>
      <w:pPr>
        <w:ind w:left="20"/>
        <w:spacing w:after="0" w:line="224" w:lineRule="auto"/>
        <w:rPr>
          <w:sz w:val="20"/>
          <w:szCs w:val="20"/>
          <w:color w:val="auto"/>
        </w:rPr>
      </w:pPr>
      <w:r>
        <w:rPr>
          <w:rFonts w:ascii="Arial" w:cs="Arial" w:eastAsia="Arial" w:hAnsi="Arial"/>
          <w:sz w:val="18"/>
          <w:szCs w:val="18"/>
          <w:color w:val="auto"/>
        </w:rPr>
        <w:t>ASU No. 2020-04: Reference Rate Reform (Topic 848), as amended through January 2021</w:t>
      </w:r>
    </w:p>
    <w:p>
      <w:pPr>
        <w:spacing w:after="0" w:line="20" w:lineRule="exact"/>
        <w:rPr>
          <w:sz w:val="20"/>
          <w:szCs w:val="20"/>
          <w:color w:val="auto"/>
        </w:rPr>
      </w:pPr>
      <w:r>
        <w:rPr>
          <w:sz w:val="20"/>
          <w:szCs w:val="20"/>
          <w:color w:val="auto"/>
        </w:rPr>
        <w:br w:type="column"/>
      </w:r>
    </w:p>
    <w:p>
      <w:pPr>
        <w:spacing w:after="0" w:line="226" w:lineRule="auto"/>
        <w:rPr>
          <w:sz w:val="20"/>
          <w:szCs w:val="20"/>
          <w:color w:val="auto"/>
        </w:rPr>
      </w:pPr>
      <w:r>
        <w:rPr>
          <w:rFonts w:ascii="Arial" w:cs="Arial" w:eastAsia="Arial" w:hAnsi="Arial"/>
          <w:sz w:val="17"/>
          <w:szCs w:val="17"/>
          <w:color w:val="auto"/>
        </w:rPr>
        <w:t>Provides temporary optional guidance to ease the potential burden in applying GAAP to contract modifications and hedging relationships that reference London Inter-Bank Offered Rate ("LIBOR") or another reference rate expected to be discontinued, subject to meeting certain criteria.</w:t>
      </w:r>
    </w:p>
    <w:p>
      <w:pPr>
        <w:spacing w:after="0" w:line="20" w:lineRule="exact"/>
        <w:rPr>
          <w:sz w:val="20"/>
          <w:szCs w:val="20"/>
          <w:color w:val="auto"/>
        </w:rPr>
      </w:pPr>
      <w:r>
        <w:rPr>
          <w:sz w:val="20"/>
          <w:szCs w:val="20"/>
          <w:color w:val="auto"/>
        </w:rPr>
        <w:br w:type="column"/>
      </w:r>
    </w:p>
    <w:p>
      <w:pPr>
        <w:ind w:right="20"/>
        <w:spacing w:after="0" w:line="232" w:lineRule="auto"/>
        <w:rPr>
          <w:sz w:val="20"/>
          <w:szCs w:val="20"/>
          <w:color w:val="auto"/>
        </w:rPr>
      </w:pPr>
      <w:r>
        <w:rPr>
          <w:rFonts w:ascii="Arial" w:cs="Arial" w:eastAsia="Arial" w:hAnsi="Arial"/>
          <w:sz w:val="16"/>
          <w:szCs w:val="16"/>
          <w:color w:val="auto"/>
        </w:rPr>
        <w:t>We currently have interest rate derivative agreements with hedging relationships that reference LIBOR. This guidance provides optional expedients and exceptions for applying GAAP to contracts, hedging relationships, and other transactions affected by reference rate reform if certain criteria are met. We are currently assessing the provisions of this guidance, and reviewing and updating our existing contracts, as applicable, for transition or fallback language that specifies how a replacement rate for LIBOR will be identified. We are also no longer using LIBOR as a reference rate for any new contracts. We do not expect that the adoption of this guidance will have a material impact on our consolidated financial statements and related disclosures. This guidance will be in effect from March 12, 2020 through December 31, 2022. See Note 7, Debt for further disclosure over our interest rate derivative agreements and debt instruments that reference LIBOR.</w:t>
      </w:r>
    </w:p>
    <w:p>
      <w:pPr>
        <w:spacing w:after="0" w:line="63" w:lineRule="exact"/>
        <w:rPr>
          <w:sz w:val="20"/>
          <w:szCs w:val="20"/>
          <w:color w:val="auto"/>
        </w:rPr>
      </w:pPr>
    </w:p>
    <w:p>
      <w:pPr>
        <w:sectPr>
          <w:pgSz w:w="11900" w:h="16838" w:orient="portrait"/>
          <w:cols w:equalWidth="0" w:num="3">
            <w:col w:w="3000" w:space="180"/>
            <w:col w:w="3920" w:space="160"/>
            <w:col w:w="3980"/>
          </w:cols>
          <w:pgMar w:left="320" w:top="1107" w:right="339" w:bottom="1440" w:gutter="0" w:footer="0" w:header="0"/>
          <w:type w:val="continuous"/>
        </w:sectPr>
      </w:pPr>
    </w:p>
    <w:p>
      <w:pPr>
        <w:ind w:left="20"/>
        <w:spacing w:after="0" w:line="219" w:lineRule="auto"/>
        <w:rPr>
          <w:sz w:val="20"/>
          <w:szCs w:val="20"/>
          <w:color w:val="auto"/>
        </w:rPr>
      </w:pPr>
      <w:r>
        <w:rPr>
          <w:rFonts w:ascii="Arial" w:cs="Arial" w:eastAsia="Arial" w:hAnsi="Arial"/>
          <w:sz w:val="18"/>
          <w:szCs w:val="18"/>
          <w:color w:val="auto"/>
        </w:rPr>
        <w:t>ASU No. 2021-08: Accounting for Contract Assets and Contract Liabilities from Contracts with Customers (Topic 805)</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6"/>
          <w:szCs w:val="16"/>
          <w:color w:val="auto"/>
        </w:rPr>
        <w:t>Requires entities to apply ASC 606 to recognize and measure contract assets and contract liabilities in a business combination. This guidance improves comparability after the business combination by providing consistent recognition and measurement guidance for revenue contracts with customers acquired in a business combination and revenue contracts with customers not acquired in a business combination.</w:t>
      </w:r>
    </w:p>
    <w:p>
      <w:pPr>
        <w:spacing w:after="0" w:line="20" w:lineRule="exact"/>
        <w:rPr>
          <w:sz w:val="20"/>
          <w:szCs w:val="20"/>
          <w:color w:val="auto"/>
        </w:rPr>
      </w:pPr>
      <w:r>
        <w:rPr>
          <w:sz w:val="20"/>
          <w:szCs w:val="20"/>
          <w:color w:val="auto"/>
        </w:rPr>
        <w:br w:type="column"/>
      </w:r>
    </w:p>
    <w:p>
      <w:pPr>
        <w:ind w:right="20"/>
        <w:spacing w:after="0" w:line="236" w:lineRule="auto"/>
        <w:rPr>
          <w:sz w:val="20"/>
          <w:szCs w:val="20"/>
          <w:color w:val="auto"/>
        </w:rPr>
      </w:pPr>
      <w:r>
        <w:rPr>
          <w:rFonts w:ascii="Arial" w:cs="Arial" w:eastAsia="Arial" w:hAnsi="Arial"/>
          <w:sz w:val="16"/>
          <w:szCs w:val="16"/>
          <w:color w:val="auto"/>
        </w:rPr>
        <w:t>We have made in the past, and we may make in the future, acquisitions to densify existing operations, expand service areas, and grow services for our customers, and these acquisitions may include contract assets or contract liabilities. We do not expect that the adoption of this guidance will have a material impact on our consolidated financial statements and related disclosures. This guidance is effective January 1, 2023 with early adoption permitted.</w:t>
      </w:r>
    </w:p>
    <w:p>
      <w:pPr>
        <w:spacing w:after="0" w:line="200" w:lineRule="exact"/>
        <w:rPr>
          <w:sz w:val="20"/>
          <w:szCs w:val="20"/>
          <w:color w:val="auto"/>
        </w:rPr>
      </w:pPr>
    </w:p>
    <w:p>
      <w:pPr>
        <w:sectPr>
          <w:pgSz w:w="11900" w:h="16838" w:orient="portrait"/>
          <w:cols w:equalWidth="0" w:num="3">
            <w:col w:w="2900" w:space="280"/>
            <w:col w:w="3780" w:space="300"/>
            <w:col w:w="3980"/>
          </w:cols>
          <w:pgMar w:left="320" w:top="1107"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RECOGNITION</w:t>
      </w:r>
    </w:p>
    <w:p>
      <w:pPr>
        <w:spacing w:after="0" w:line="12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Revenues associated with our solid waste operations are derived mainly from solid waste collection and disposal services, including landfill, transfer station and transportation services, landfill gas-to-energy services, and processing services. Revenues associated with our resource-renewal services are derived from processing and non-processing services.</w:t>
      </w:r>
    </w:p>
    <w:p>
      <w:pPr>
        <w:spacing w:after="0" w:line="7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set forth revenues disaggregated by service line and timing of revenue recognition by operating segment for each of the three months ended March 31, 2022 and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Three Months Ended March 31,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68,034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119,531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5,376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19,566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4,130</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27,395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71,319</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95,839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234,027</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15,717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218,310</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95,839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234,027</w:t>
            </w:r>
          </w:p>
        </w:tc>
        <w:tc>
          <w:tcPr>
            <w:tcW w:w="0" w:type="dxa"/>
            <w:vAlign w:val="bottom"/>
          </w:tcPr>
          <w:p>
            <w:pPr>
              <w:spacing w:after="0"/>
              <w:rPr>
                <w:sz w:val="1"/>
                <w:szCs w:val="1"/>
                <w:color w:val="auto"/>
              </w:rPr>
            </w:pPr>
          </w:p>
        </w:tc>
      </w:tr>
      <w:tr>
        <w:trPr>
          <w:trHeight w:val="21"/>
        </w:trPr>
        <w:tc>
          <w:tcPr>
            <w:tcW w:w="520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Eastern</w:t>
            </w:r>
          </w:p>
        </w:tc>
        <w:tc>
          <w:tcPr>
            <w:tcW w:w="28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Western</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Resource Solutions</w:t>
            </w:r>
          </w:p>
        </w:tc>
        <w:tc>
          <w:tcPr>
            <w:tcW w:w="180" w:type="dxa"/>
            <w:vAlign w:val="bottom"/>
          </w:tcPr>
          <w:p>
            <w:pPr>
              <w:spacing w:after="0"/>
              <w:rPr>
                <w:sz w:val="18"/>
                <w:szCs w:val="18"/>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w w:val="96"/>
              </w:rPr>
              <w:t>Total Revenues</w:t>
            </w:r>
          </w:p>
        </w:tc>
        <w:tc>
          <w:tcPr>
            <w:tcW w:w="0" w:type="dxa"/>
            <w:vAlign w:val="bottom"/>
          </w:tcPr>
          <w:p>
            <w:pPr>
              <w:spacing w:after="0"/>
              <w:rPr>
                <w:sz w:val="1"/>
                <w:szCs w:val="1"/>
                <w:color w:val="auto"/>
              </w:rPr>
            </w:pPr>
          </w:p>
        </w:tc>
      </w:tr>
      <w:tr>
        <w:trPr>
          <w:trHeight w:val="229"/>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61,393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97,469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19,022</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16,570</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2,261</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17,272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18,756</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34,151</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85,263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178,895</w:t>
            </w:r>
          </w:p>
        </w:tc>
        <w:tc>
          <w:tcPr>
            <w:tcW w:w="0" w:type="dxa"/>
            <w:vAlign w:val="bottom"/>
          </w:tcPr>
          <w:p>
            <w:pPr>
              <w:spacing w:after="0"/>
              <w:rPr>
                <w:sz w:val="1"/>
                <w:szCs w:val="1"/>
                <w:color w:val="auto"/>
              </w:rPr>
            </w:pPr>
          </w:p>
        </w:tc>
      </w:tr>
      <w:tr>
        <w:trPr>
          <w:trHeight w:val="223"/>
        </w:trPr>
        <w:tc>
          <w:tcPr>
            <w:tcW w:w="5200" w:type="dxa"/>
            <w:vAlign w:val="bottom"/>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$3,794 in the three months ended March 31, 2022 and $1,568 in the three months ended March 31, 2021. Rebates are generally recorded as a reduction of revenues upon the sale of such materials, or upon receipt of the recycled materials at our facilities. We did not record any revenues in the three months ended March 31, 2022 or March 31, 2021 from performance obligations satisfied in previous periods.</w:t>
      </w:r>
    </w:p>
    <w:p>
      <w:pPr>
        <w:spacing w:after="0" w:line="176"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$94,967 and $89,232 as of March 31, 2022 and December 31, 2021, respectively. Certain customers are billed in advance and, accordingly, recognition of the related revenues is deferred as a contract liability until the services are provided and control transferred to the customer. We recognized contract liabilities of $5,500 and $3,404 as of March 31, 2022 and December 31, 2021, respectively. Due to the short term nature of advanced billings, substantially all of the deferred revenue recognized as a contract liability as of December 31, 2021 and December 31, 2020 was recognized as revenue during the three months ended March 31, 2022 and March 31, 2021, respectively, when the services were performed.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12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three months ended March 31, 2022, we acquired the following businesses: a full service solid-waste collection, recycling and hauling business in our Resource Solutions operating segment; three tuck-in solid waste collection businesses in our Western region; a portable toilets business in our Eastern region; and a scrap metal collection business whose assets are allocated between our Eastern region and Resource Solutions operating segments. In the three months ended March 31, 2021, we acquired one tuck-in solid waste collection business in our Western region.</w:t>
      </w:r>
    </w:p>
    <w:p>
      <w:pPr>
        <w:spacing w:after="0" w:line="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Purchase price allocations are based on information existing at the acquisition dates or upon closing the transactions, including contingent consideration. Acquired intangible assets other than goodwill that are subject to amortization include customer relationships, trade names and covenants not-to-compete. Such assets are amortized over a four-year to ten-year period from the date of acquisition. All amounts recorded to goodwill are expected to be deductible for tax purposes.</w:t>
      </w:r>
    </w:p>
    <w:p>
      <w:pPr>
        <w:spacing w:after="0" w:line="200" w:lineRule="exact"/>
        <w:rPr>
          <w:sz w:val="20"/>
          <w:szCs w:val="20"/>
          <w:color w:val="auto"/>
        </w:rPr>
      </w:pP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07" w:right="47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 summary of the purchase price paid and the purchase price allocation for acquisitions follows:</w:t>
      </w:r>
    </w:p>
    <w:p>
      <w:pPr>
        <w:spacing w:after="0" w:line="31"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Three Months Ended</w:t>
      </w:r>
    </w:p>
    <w:p>
      <w:pPr>
        <w:jc w:val="center"/>
        <w:ind w:left="820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4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Cash used in acquisitions, net of cash acquired</w:t>
            </w: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49,747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Holdbacks</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consideration</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53,454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Allocated as follows: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560"/>
              <w:spacing w:after="0"/>
              <w:rPr>
                <w:sz w:val="20"/>
                <w:szCs w:val="20"/>
                <w:color w:val="auto"/>
              </w:rPr>
            </w:pPr>
            <w:r>
              <w:rPr>
                <w:rFonts w:ascii="Arial" w:cs="Arial" w:eastAsia="Arial" w:hAnsi="Arial"/>
                <w:sz w:val="18"/>
                <w:szCs w:val="18"/>
                <w:color w:val="auto"/>
              </w:rPr>
              <w:t>Land</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Buildings and improvements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560"/>
              <w:spacing w:after="0"/>
              <w:rPr>
                <w:sz w:val="20"/>
                <w:szCs w:val="20"/>
                <w:color w:val="auto"/>
              </w:rPr>
            </w:pPr>
            <w:r>
              <w:rPr>
                <w:rFonts w:ascii="Arial" w:cs="Arial" w:eastAsia="Arial" w:hAnsi="Arial"/>
                <w:sz w:val="18"/>
                <w:szCs w:val="18"/>
                <w:color w:val="auto"/>
              </w:rPr>
              <w:t>Equipment</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Covenants not-to-compete</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8240" w:type="dxa"/>
            <w:vAlign w:val="bottom"/>
          </w:tcPr>
          <w:p>
            <w:pPr>
              <w:ind w:left="560"/>
              <w:spacing w:after="0"/>
              <w:rPr>
                <w:sz w:val="20"/>
                <w:szCs w:val="20"/>
                <w:color w:val="auto"/>
              </w:rPr>
            </w:pPr>
            <w:r>
              <w:rPr>
                <w:rFonts w:ascii="Arial" w:cs="Arial" w:eastAsia="Arial" w:hAnsi="Arial"/>
                <w:sz w:val="18"/>
                <w:szCs w:val="18"/>
                <w:color w:val="auto"/>
              </w:rPr>
              <w:t>Customer relationships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954</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(3,573)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liabilities, less current portion</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8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28,787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860" w:type="dxa"/>
            <w:vAlign w:val="bottom"/>
            <w:tcBorders>
              <w:bottom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24,667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r>
      <w:tr>
        <w:trPr>
          <w:trHeight w:val="21"/>
        </w:trPr>
        <w:tc>
          <w:tcPr>
            <w:tcW w:w="8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Certain purchase price allocations are preliminary and are based on information existing at the acquisition dates or upon closing the transaction. Accordingly, the purchase price allocations are subject to change. Unaudited pro forma combined information that shows our operational results as though each acquisition completed since the beginning of the prior fiscal year had occurred as of January 1, 2021 is as follows:</w:t>
      </w:r>
    </w:p>
    <w:p>
      <w:pPr>
        <w:jc w:val="center"/>
        <w:ind w:left="8520"/>
        <w:spacing w:after="0" w:line="226" w:lineRule="auto"/>
        <w:rPr>
          <w:sz w:val="20"/>
          <w:szCs w:val="20"/>
          <w:color w:val="auto"/>
        </w:rPr>
      </w:pPr>
      <w:r>
        <w:rPr>
          <w:rFonts w:ascii="Arial" w:cs="Arial" w:eastAsia="Arial" w:hAnsi="Arial"/>
          <w:sz w:val="14"/>
          <w:szCs w:val="14"/>
          <w:b w:val="1"/>
          <w:bCs w:val="1"/>
          <w:color w:val="auto"/>
        </w:rPr>
        <w:t>Three Months Ended</w:t>
      </w:r>
    </w:p>
    <w:p>
      <w:pPr>
        <w:jc w:val="center"/>
        <w:ind w:left="85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54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218,841</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10,834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0" w:type="dxa"/>
            <w:vAlign w:val="bottom"/>
          </w:tcPr>
          <w:p>
            <w:pPr>
              <w:spacing w:after="0"/>
              <w:rPr>
                <w:sz w:val="1"/>
                <w:szCs w:val="1"/>
                <w:color w:val="auto"/>
              </w:rPr>
            </w:pPr>
          </w:p>
        </w:tc>
      </w:tr>
      <w:tr>
        <w:trPr>
          <w:trHeight w:val="270"/>
        </w:trPr>
        <w:tc>
          <w:tcPr>
            <w:tcW w:w="8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51,490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51,179</w:t>
            </w:r>
          </w:p>
        </w:tc>
        <w:tc>
          <w:tcPr>
            <w:tcW w:w="0" w:type="dxa"/>
            <w:vAlign w:val="bottom"/>
          </w:tcPr>
          <w:p>
            <w:pPr>
              <w:spacing w:after="0"/>
              <w:rPr>
                <w:sz w:val="1"/>
                <w:szCs w:val="1"/>
                <w:color w:val="auto"/>
              </w:rPr>
            </w:pPr>
          </w:p>
        </w:tc>
      </w:tr>
      <w:tr>
        <w:trPr>
          <w:trHeight w:val="20"/>
        </w:trPr>
        <w:tc>
          <w:tcPr>
            <w:tcW w:w="85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51,387</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4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2021 or of the results of our future operations. Furthermore, the unaudited</w:t>
      </w:r>
    </w:p>
    <w:p>
      <w:pPr>
        <w:ind w:right="140"/>
        <w:spacing w:after="0" w:line="260" w:lineRule="auto"/>
        <w:rPr>
          <w:sz w:val="20"/>
          <w:szCs w:val="20"/>
          <w:color w:val="auto"/>
        </w:rPr>
      </w:pPr>
      <w:r>
        <w:rPr>
          <w:rFonts w:ascii="Arial" w:cs="Arial" w:eastAsia="Arial" w:hAnsi="Arial"/>
          <w:sz w:val="18"/>
          <w:szCs w:val="18"/>
          <w:color w:val="auto"/>
        </w:rPr>
        <w:t>pro forma results do not give effect to all cost savings or incremental costs that may occur as a result of the integration and consolidation of the completed acquisitions.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5.</w:t>
        <w:tab/>
        <w:t>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Acquisitions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4"/>
        </w:trPr>
        <w:tc>
          <w:tcPr>
            <w:tcW w:w="43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3"/>
            <w:shd w:val="clear" w:color="auto" w:fill="CCEEFF"/>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52,072</w:t>
            </w: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52,402</w:t>
            </w:r>
          </w:p>
        </w:tc>
        <w:tc>
          <w:tcPr>
            <w:tcW w:w="0" w:type="dxa"/>
            <w:vAlign w:val="bottom"/>
          </w:tcPr>
          <w:p>
            <w:pPr>
              <w:spacing w:after="0"/>
              <w:rPr>
                <w:sz w:val="1"/>
                <w:szCs w:val="1"/>
                <w:color w:val="auto"/>
              </w:rPr>
            </w:pPr>
          </w:p>
        </w:tc>
      </w:tr>
      <w:tr>
        <w:trPr>
          <w:trHeight w:val="229"/>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Western region</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163,728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167,634</w:t>
            </w: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38,378</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232,860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258,414</w:t>
            </w:r>
          </w:p>
        </w:tc>
        <w:tc>
          <w:tcPr>
            <w:tcW w:w="0" w:type="dxa"/>
            <w:vAlign w:val="bottom"/>
          </w:tcPr>
          <w:p>
            <w:pPr>
              <w:spacing w:after="0"/>
              <w:rPr>
                <w:sz w:val="1"/>
                <w:szCs w:val="1"/>
                <w:color w:val="auto"/>
              </w:rPr>
            </w:pPr>
          </w:p>
        </w:tc>
      </w:tr>
      <w:tr>
        <w:trPr>
          <w:trHeight w:val="21"/>
        </w:trPr>
        <w:tc>
          <w:tcPr>
            <w:tcW w:w="4380" w:type="dxa"/>
            <w:vAlign w:val="bottom"/>
            <w:gridSpan w:val="2"/>
            <w:vMerge w:val="restart"/>
          </w:tcPr>
          <w:p>
            <w:pPr>
              <w:spacing w:after="0"/>
              <w:rPr>
                <w:sz w:val="20"/>
                <w:szCs w:val="20"/>
                <w:color w:val="auto"/>
              </w:rPr>
            </w:pPr>
            <w:r>
              <w:rPr>
                <w:rFonts w:ascii="Arial" w:cs="Arial" w:eastAsia="Arial" w:hAnsi="Arial"/>
                <w:sz w:val="18"/>
                <w:szCs w:val="18"/>
                <w:color w:val="auto"/>
              </w:rPr>
              <w:t>Summaries of intangible assets by type follows:</w:t>
            </w: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43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Customer Relationships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Trade Names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Not-to-Compete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Balance, March 31, 2022</w:t>
            </w: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163,062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(37,322)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(62,198)</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7,506</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87,270</w:t>
            </w:r>
          </w:p>
        </w:tc>
        <w:tc>
          <w:tcPr>
            <w:tcW w:w="4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Covenants</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b w:val="1"/>
                <w:bCs w:val="1"/>
                <w:color w:val="auto"/>
              </w:rPr>
              <w:t>Customer Relationships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Trade Names</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Not-to-Compete</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20" w:type="dxa"/>
            <w:vAlign w:val="bottom"/>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60" w:type="dxa"/>
            <w:vAlign w:val="bottom"/>
          </w:tcPr>
          <w:p>
            <w:pPr>
              <w:ind w:left="20"/>
              <w:spacing w:after="0"/>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115,005</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152,132</w:t>
            </w:r>
          </w:p>
        </w:tc>
        <w:tc>
          <w:tcPr>
            <w:tcW w:w="0" w:type="dxa"/>
            <w:vAlign w:val="bottom"/>
          </w:tcPr>
          <w:p>
            <w:pPr>
              <w:spacing w:after="0"/>
              <w:rPr>
                <w:sz w:val="1"/>
                <w:szCs w:val="1"/>
                <w:color w:val="auto"/>
              </w:rPr>
            </w:pPr>
          </w:p>
        </w:tc>
      </w:tr>
      <w:tr>
        <w:trPr>
          <w:trHeight w:val="229"/>
        </w:trPr>
        <w:tc>
          <w:tcPr>
            <w:tcW w:w="4380" w:type="dxa"/>
            <w:vAlign w:val="bottom"/>
            <w:gridSpan w:val="2"/>
          </w:tcPr>
          <w:p>
            <w:pPr>
              <w:ind w:left="36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(22,148)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(34,809)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(58,409)</w:t>
            </w:r>
          </w:p>
        </w:tc>
        <w:tc>
          <w:tcPr>
            <w:tcW w:w="0" w:type="dxa"/>
            <w:vAlign w:val="bottom"/>
          </w:tcPr>
          <w:p>
            <w:pPr>
              <w:spacing w:after="0"/>
              <w:rPr>
                <w:sz w:val="1"/>
                <w:szCs w:val="1"/>
                <w:color w:val="auto"/>
              </w:rPr>
            </w:pPr>
          </w:p>
        </w:tc>
      </w:tr>
      <w:tr>
        <w:trPr>
          <w:trHeight w:val="248"/>
        </w:trPr>
        <w:tc>
          <w:tcPr>
            <w:tcW w:w="43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80,196</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6,898</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Intangible amortization expense was $3,789 during the three months ended March 31, 2022 and $2,028 during the three months ended March 31,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amortization expense estimated for the five fiscal years following fiscal year 2021 and thereafter follows: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Estimated Future Amortization Expense as of March 31,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2022</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2023</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15,574</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2024</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Fiscal year ending December 31, 2025</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13,736</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2026</w:t>
            </w:r>
          </w:p>
        </w:tc>
        <w:tc>
          <w:tcPr>
            <w:tcW w:w="3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9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32,193</w:t>
            </w:r>
          </w:p>
        </w:tc>
      </w:tr>
    </w:tbl>
    <w:p>
      <w:pPr>
        <w:spacing w:after="0" w:line="200" w:lineRule="exact"/>
        <w:rPr>
          <w:sz w:val="20"/>
          <w:szCs w:val="20"/>
          <w:color w:val="auto"/>
        </w:rPr>
      </w:pPr>
    </w:p>
    <w:p>
      <w:pPr>
        <w:spacing w:after="0" w:line="33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ACCRUED FINAL CAPPING, CLOSURE AND POST CLOSURE</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86,914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Obligations incurred</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1,038</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expense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88,827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4"/>
          <w:szCs w:val="14"/>
          <w:color w:val="auto"/>
        </w:rPr>
      </w:pPr>
      <w:r>
        <w:rPr>
          <w:rFonts w:ascii="Arial" w:cs="Arial" w:eastAsia="Arial" w:hAnsi="Arial"/>
          <w:sz w:val="18"/>
          <w:szCs w:val="18"/>
          <w:color w:val="auto"/>
        </w:rPr>
        <w:t>May include amounts that are being processed through accounts payable as a part of our disbursements cycle.</w:t>
      </w:r>
    </w:p>
    <w:p>
      <w:pPr>
        <w:spacing w:after="0" w:line="22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Senior Secured Credit Facility: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Term loan A facility ("Term Loan Facility") due December 2026; bearing interest at LIBOR plus 1.375%</w:t>
            </w:r>
          </w:p>
        </w:tc>
        <w:tc>
          <w:tcPr>
            <w:tcW w:w="118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75"/>
        </w:trPr>
        <w:tc>
          <w:tcPr>
            <w:tcW w:w="8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Revolving Credit Facility due December 2026 ("Revolving Credit Facility"); bearing interest at LIBOR plus</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1.375%</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b w:val="1"/>
                <w:bCs w:val="1"/>
                <w:color w:val="auto"/>
              </w:rPr>
              <w:t>Tax-Exempt Bonds: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New York State Environmental Facilities Corporation Solid Waste Disposal Revenue Bonds Series 2014 ("New</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5"/>
              </w:rPr>
              <w:t>York Bonds 2014R-1") due December 2044 - fixed rate interest period through 2029; bearing interest at 2.875%</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8"/>
              </w:rPr>
              <w:t>New York State Environmental Facilities Corporation Solid Waste Disposal Revenue Bonds Series 2014R-2</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("New York Bonds 2014R-2") due December 2044 - fixed rate interest period through 2026; bearing interest at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3.125%</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New York State Environmental Facilities Corporation Solid Waste Disposal Revenue Bonds Series 2020 ("New</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8"/>
              </w:rPr>
              <w:t>York Bonds 2020") due September 2050 - fixed rate interest period through 2025; bearing interest at 2.750%</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Finance Authority of Maine Solid Waste Disposal Revenue Bonds Series 2005R-3 ("FAME Bonds 2005R-3") due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January 2025 - fixed rate interest period through 2025; bearing interest at 5.25%</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Finance Authority of Maine Solid Waste Disposal Revenue Bonds Series 2015R-1 ("FAME Bonds 2015R-1") due</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August 2035 - fixed rate interest period through 2025; bearing interest at 5.125%</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Finance Authority of Maine Solid Waste Disposal Revenue Bonds Series 2015R-2 ("FAME Bonds 2015R-2") due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August 2035 - fixed rate interest period through 2025; bearing interest at 4.375%</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Vermont Economic Development Authority Solid Waste Disposal Long-Term Revenue Bonds Series 2013</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("Vermont Bonds") due April 2036 - fixed rate interest period through 2028; bearing interest at 4.625%</w:t>
            </w: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5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6"/>
              </w:rPr>
              <w:t>Business Finance Authority of the State of New Hampshire Solid Waste Disposal Revenue Bonds Series 2013</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w w:val="98"/>
              </w:rPr>
              <w:t>("New Hampshire Bonds") due April 2029 - fixed rate interest period through 2029; bearing interest at 2.95%</w:t>
            </w: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Finance leases maturing through December 2107; bearing interest at a weighted average of 3.5%</w:t>
            </w:r>
          </w:p>
        </w:tc>
        <w:tc>
          <w:tcPr>
            <w:tcW w:w="1180" w:type="dxa"/>
            <w:vAlign w:val="bottom"/>
          </w:tcPr>
          <w:p>
            <w:pPr>
              <w:jc w:val="right"/>
              <w:spacing w:after="0"/>
              <w:rPr>
                <w:sz w:val="20"/>
                <w:szCs w:val="20"/>
                <w:color w:val="auto"/>
              </w:rPr>
            </w:pPr>
            <w:r>
              <w:rPr>
                <w:rFonts w:ascii="Arial" w:cs="Arial" w:eastAsia="Arial" w:hAnsi="Arial"/>
                <w:sz w:val="18"/>
                <w:szCs w:val="18"/>
                <w:color w:val="auto"/>
              </w:rPr>
              <w:t>44,783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45,724</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Notes payable maturing through June 2027; bearing interest at a weighted average of 3.1%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Principal amount of debt</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580,188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562,570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Less—unamortized debt issuance costs (1)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Debt less unamortized debt issuance costs</w:t>
            </w:r>
          </w:p>
        </w:tc>
        <w:tc>
          <w:tcPr>
            <w:tcW w:w="2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570,467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552,404</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Less—current maturities of debt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560,594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542,503</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4"/>
                <w:szCs w:val="14"/>
                <w:color w:val="auto"/>
              </w:rPr>
              <w:t>(1)</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w w:val="99"/>
              </w:rPr>
              <w:t>A summary of unamortized debt issuance costs by debt instrument follows:</w:t>
            </w: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162"/>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4"/>
                <w:szCs w:val="14"/>
                <w:color w:val="auto"/>
              </w:rPr>
            </w:pPr>
          </w:p>
        </w:tc>
        <w:tc>
          <w:tcPr>
            <w:tcW w:w="1460" w:type="dxa"/>
            <w:vAlign w:val="bottom"/>
            <w:gridSpan w:val="2"/>
          </w:tcPr>
          <w:p>
            <w:pPr>
              <w:jc w:val="right"/>
              <w:ind w:right="490"/>
              <w:spacing w:after="0"/>
              <w:rPr>
                <w:sz w:val="20"/>
                <w:szCs w:val="20"/>
                <w:color w:val="auto"/>
              </w:rPr>
            </w:pPr>
            <w:r>
              <w:rPr>
                <w:rFonts w:ascii="Arial" w:cs="Arial" w:eastAsia="Arial" w:hAnsi="Arial"/>
                <w:sz w:val="14"/>
                <w:szCs w:val="14"/>
                <w:b w:val="1"/>
                <w:bCs w:val="1"/>
                <w:color w:val="auto"/>
                <w:w w:val="94"/>
              </w:rPr>
              <w:t>December 31,</w:t>
            </w:r>
          </w:p>
        </w:tc>
      </w:tr>
      <w:tr>
        <w:trPr>
          <w:trHeight w:val="188"/>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Pr>
          <w:p>
            <w:pPr>
              <w:spacing w:after="0"/>
              <w:rPr>
                <w:sz w:val="16"/>
                <w:szCs w:val="16"/>
                <w:color w:val="auto"/>
              </w:rPr>
            </w:pPr>
          </w:p>
        </w:tc>
        <w:tc>
          <w:tcPr>
            <w:tcW w:w="146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2021</w:t>
            </w:r>
          </w:p>
        </w:tc>
      </w:tr>
      <w:tr>
        <w:trPr>
          <w:trHeight w:val="224"/>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78"/>
              </w:rPr>
              <w:t>Revolving</w:t>
            </w:r>
          </w:p>
        </w:tc>
        <w:tc>
          <w:tcPr>
            <w:tcW w:w="59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Credit Facility and Term Loan Facility (collectively, the "Credit Facility")</w:t>
            </w:r>
          </w:p>
        </w:tc>
        <w:tc>
          <w:tcPr>
            <w:tcW w:w="1080" w:type="dxa"/>
            <w:vAlign w:val="bottom"/>
            <w:tcBorders>
              <w:top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$5,601</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5,884</w:t>
            </w:r>
          </w:p>
        </w:tc>
      </w:tr>
      <w:tr>
        <w:trPr>
          <w:trHeight w:val="230"/>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2014R-1</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933</w:t>
            </w:r>
          </w:p>
        </w:tc>
      </w:tr>
      <w:tr>
        <w:trPr>
          <w:trHeight w:val="229"/>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2014R-2</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York Bonds 2020</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1,239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1,283</w:t>
            </w:r>
          </w:p>
        </w:tc>
      </w:tr>
      <w:tr>
        <w:trPr>
          <w:trHeight w:val="230"/>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Bonds 2005R-3</w:t>
            </w: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tcPr>
          <w:p>
            <w:pPr>
              <w:spacing w:after="0"/>
              <w:rPr>
                <w:sz w:val="20"/>
                <w:szCs w:val="20"/>
                <w:color w:val="auto"/>
              </w:rPr>
            </w:pPr>
            <w:r>
              <w:rPr>
                <w:rFonts w:ascii="Arial" w:cs="Arial" w:eastAsia="Arial" w:hAnsi="Arial"/>
                <w:sz w:val="18"/>
                <w:szCs w:val="18"/>
                <w:color w:val="auto"/>
              </w:rPr>
              <w:t>Bonds 2015R-1</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660" w:type="dxa"/>
            <w:vAlign w:val="bottom"/>
            <w:gridSpan w:val="2"/>
          </w:tcPr>
          <w:p>
            <w:pPr>
              <w:ind w:left="20"/>
              <w:spacing w:after="0"/>
              <w:rPr>
                <w:sz w:val="20"/>
                <w:szCs w:val="20"/>
                <w:color w:val="auto"/>
              </w:rPr>
            </w:pPr>
            <w:r>
              <w:rPr>
                <w:rFonts w:ascii="Arial" w:cs="Arial" w:eastAsia="Arial" w:hAnsi="Arial"/>
                <w:sz w:val="18"/>
                <w:szCs w:val="18"/>
                <w:color w:val="auto"/>
              </w:rPr>
              <w:t>FAME</w:t>
            </w: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Bonds 2015R-2</w:t>
            </w:r>
          </w:p>
        </w:tc>
        <w:tc>
          <w:tcPr>
            <w:tcW w:w="10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660" w:type="dxa"/>
            <w:vAlign w:val="bottom"/>
            <w:gridSpan w:val="2"/>
          </w:tcPr>
          <w:p>
            <w:pPr>
              <w:ind w:left="20"/>
              <w:spacing w:after="0"/>
              <w:rPr>
                <w:sz w:val="20"/>
                <w:szCs w:val="20"/>
                <w:color w:val="auto"/>
              </w:rPr>
            </w:pPr>
            <w:r>
              <w:rPr>
                <w:rFonts w:ascii="Arial" w:cs="Arial" w:eastAsia="Arial" w:hAnsi="Arial"/>
                <w:sz w:val="18"/>
                <w:szCs w:val="18"/>
                <w:color w:val="auto"/>
                <w:w w:val="91"/>
              </w:rPr>
              <w:t>Vermont</w:t>
            </w:r>
          </w:p>
        </w:tc>
        <w:tc>
          <w:tcPr>
            <w:tcW w:w="5920" w:type="dxa"/>
            <w:vAlign w:val="bottom"/>
          </w:tcPr>
          <w:p>
            <w:pPr>
              <w:ind w:left="40"/>
              <w:spacing w:after="0"/>
              <w:rPr>
                <w:sz w:val="20"/>
                <w:szCs w:val="20"/>
                <w:color w:val="auto"/>
              </w:rPr>
            </w:pPr>
            <w:r>
              <w:rPr>
                <w:rFonts w:ascii="Arial" w:cs="Arial" w:eastAsia="Arial" w:hAnsi="Arial"/>
                <w:sz w:val="18"/>
                <w:szCs w:val="18"/>
                <w:color w:val="auto"/>
              </w:rPr>
              <w:t>Bonds</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433</w:t>
            </w:r>
          </w:p>
        </w:tc>
      </w:tr>
      <w:tr>
        <w:trPr>
          <w:trHeight w:val="229"/>
        </w:trPr>
        <w:tc>
          <w:tcPr>
            <w:tcW w:w="6580" w:type="dxa"/>
            <w:vAlign w:val="bottom"/>
            <w:gridSpan w:val="3"/>
          </w:tcPr>
          <w:p>
            <w:pPr>
              <w:ind w:left="20"/>
              <w:spacing w:after="0"/>
              <w:rPr>
                <w:sz w:val="20"/>
                <w:szCs w:val="20"/>
                <w:color w:val="auto"/>
              </w:rPr>
            </w:pPr>
            <w:r>
              <w:rPr>
                <w:rFonts w:ascii="Arial" w:cs="Arial" w:eastAsia="Arial" w:hAnsi="Arial"/>
                <w:sz w:val="18"/>
                <w:szCs w:val="18"/>
                <w:color w:val="auto"/>
              </w:rPr>
              <w:t>New Hampshire Bonds</w:t>
            </w: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422</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1080" w:type="dxa"/>
            <w:vAlign w:val="bottom"/>
          </w:tcPr>
          <w:p>
            <w:pPr>
              <w:jc w:val="right"/>
              <w:ind w:right="45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$9,721</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10,166</w:t>
            </w:r>
          </w:p>
        </w:tc>
      </w:tr>
      <w:tr>
        <w:trPr>
          <w:trHeight w:val="21"/>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-1207770</wp:posOffset>
            </wp:positionV>
            <wp:extent cx="623189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31890" cy="14541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-334010</wp:posOffset>
            </wp:positionV>
            <wp:extent cx="623189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31890" cy="14541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March 31, 2022, we are party to an amended and restated credit agreement ("Credit Agreement"), which provides for a $350,000 aggregate principal amount Term Loan Facility and a $300,000 Revolving Credit Facility, with a $75,000 sublimit for letters of credit. We have the right to request, at our discretion, an increase in the amount of loans under the Credit Facility by an aggregate amount of $125,000, subject to the terms and conditions set forth in the Credit Agreement. The Credit Facility has a 5-year term that matures in December 2026 and bears interest at a rate of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Credit Facility. The Credit Facility is guaranteed jointly and severally, fully and unconditionally by all of our significant wholly-owned subsidiaries and secured by substantially all of our assets. As of March 31, 2022, further advances were available under the Credit Facility in the amount of $252,805. The available amount is net of outstanding irrevocable letters of credit totaling $28,195, and as of March 31, 2022 no amount had been drawn.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income (loss), net of tax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As of both March 31, 2022 and December 31, 2021, our active interest rate derivative agreements had total notional amounts of $195,000. According to the terms of the agreements, we receive interest based on the 1-month LIBOR index, in some instances restricted by a 0.0% floor, and pay interest at a weighted average rate of approximately 2.48%. The agreements mature between June 2022 and February 2027.</w:t>
      </w:r>
    </w:p>
    <w:p>
      <w:pPr>
        <w:spacing w:after="0" w:line="76"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Additionally, as of March 31, 2022 and December 31, 2021, we have forward starting interest rate derivative agreements with total notional amounts of $60,000 and $85,000, respectively, after considering any forward starting interest rate derivative agreements that have become effective in the current period. According to the terms of the agreements, we will receive interest based on the 1-month LIBOR index, restricted by a 0.0% floor, and will pay interest at a weighted average rate of approximately 1.44%. The agreements mature between June 2027 and May 2028.</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40" w:type="dxa"/>
            <w:vAlign w:val="bottom"/>
          </w:tcPr>
          <w:p>
            <w:pPr>
              <w:spacing w:after="0"/>
              <w:rPr>
                <w:sz w:val="11"/>
                <w:szCs w:val="11"/>
                <w:color w:val="auto"/>
              </w:rPr>
            </w:pPr>
          </w:p>
        </w:tc>
        <w:tc>
          <w:tcPr>
            <w:tcW w:w="552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Balance Sheet Location</w:t>
            </w:r>
          </w:p>
        </w:tc>
        <w:tc>
          <w:tcPr>
            <w:tcW w:w="260" w:type="dxa"/>
            <w:vAlign w:val="bottom"/>
          </w:tcPr>
          <w:p>
            <w:pPr>
              <w:spacing w:after="0"/>
              <w:rPr>
                <w:sz w:val="11"/>
                <w:szCs w:val="11"/>
                <w:color w:val="auto"/>
              </w:rPr>
            </w:pPr>
          </w:p>
        </w:tc>
        <w:tc>
          <w:tcPr>
            <w:tcW w:w="12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1"/>
                <w:szCs w:val="11"/>
                <w:color w:val="auto"/>
              </w:rPr>
            </w:pPr>
          </w:p>
        </w:tc>
        <w:tc>
          <w:tcPr>
            <w:tcW w:w="1140" w:type="dxa"/>
            <w:vAlign w:val="bottom"/>
          </w:tcPr>
          <w:p>
            <w:pPr>
              <w:jc w:val="right"/>
              <w:ind w:right="213"/>
              <w:spacing w:after="0" w:line="135"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88"/>
        </w:trPr>
        <w:tc>
          <w:tcPr>
            <w:tcW w:w="2740" w:type="dxa"/>
            <w:vAlign w:val="bottom"/>
          </w:tcPr>
          <w:p>
            <w:pPr>
              <w:spacing w:after="0"/>
              <w:rPr>
                <w:sz w:val="16"/>
                <w:szCs w:val="16"/>
                <w:color w:val="auto"/>
              </w:rPr>
            </w:pPr>
          </w:p>
        </w:tc>
        <w:tc>
          <w:tcPr>
            <w:tcW w:w="5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48"/>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net of tax</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swaps - tax effect</w:t>
            </w:r>
          </w:p>
        </w:tc>
        <w:tc>
          <w:tcPr>
            <w:tcW w:w="5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other comprehensive income (loss), net of tax</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income (loss), net of tax into earnings follows:</w:t>
      </w:r>
    </w:p>
    <w:p>
      <w:pPr>
        <w:jc w:val="center"/>
        <w:ind w:left="826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gridSpan w:val="2"/>
          </w:tcPr>
          <w:p>
            <w:pPr>
              <w:ind w:left="3040"/>
              <w:spacing w:after="0"/>
              <w:rPr>
                <w:sz w:val="20"/>
                <w:szCs w:val="20"/>
                <w:color w:val="auto"/>
              </w:rPr>
            </w:pPr>
            <w:r>
              <w:rPr>
                <w:rFonts w:ascii="Arial" w:cs="Arial" w:eastAsia="Arial" w:hAnsi="Arial"/>
                <w:sz w:val="14"/>
                <w:szCs w:val="14"/>
                <w:b w:val="1"/>
                <w:bCs w:val="1"/>
                <w:color w:val="auto"/>
              </w:rPr>
              <w:t>Statement of Operations Location</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r>
      <w:tr>
        <w:trPr>
          <w:trHeight w:val="224"/>
        </w:trPr>
        <w:tc>
          <w:tcPr>
            <w:tcW w:w="8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 The plaintiffs in some actions seek unspecified damages or injunctive relief, or both. These actions fall within various procedural stages at any point in time, and some are covered in part by insurance.</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We have recorded an aggregate accrual of $1,241 relating to our outstanding legal proceedings as of March 31, 2022.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 We disclose outstanding matters that we believe could have a material adverse effect on our financial condition, results of operations or cash flows.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 Expansion Permit</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October 9, 2020, our subsidiary, North Country Environmental Services, Inc. ("NCES"), received a Type I-A Permit Modification (the "Permit") for Expansion in the Stage VI area of the NCES landfill located in Bethlehem, New Hampshire. 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60"/>
        <w:spacing w:after="0" w:line="285" w:lineRule="auto"/>
        <w:rPr>
          <w:sz w:val="20"/>
          <w:szCs w:val="20"/>
          <w:color w:val="auto"/>
        </w:rPr>
      </w:pPr>
      <w:r>
        <w:rPr>
          <w:rFonts w:ascii="Arial" w:cs="Arial" w:eastAsia="Arial" w:hAnsi="Arial"/>
          <w:sz w:val="16"/>
          <w:szCs w:val="16"/>
          <w:color w:val="auto"/>
        </w:rPr>
        <w:t>November 9, 2020, the Conservation Law Foundation ("CLF") filed an appeal of the Permit to the New Hampshire Waste Management Council (the “Council”) on the grounds it failed to meet the public benefit criteria. On January 19, 2021, CLF filed a Complaint for Injunctive Relief with the Grafton Superior Court to enjoin NCES from accepting waste pursuant to the new Permit until such a time as CLF has exhausted its appeal rights. A hearing on the Complaint for Injunctive Relief was held on March 10, 2021; the Grafton Superior Court denied the motion on May 14, 2021. CLF did not appeal this decision. The Council denied NCES’s Motion to Dismiss CLF’s appeal for lack of standing by Order dated March 17, 2021. NCES filed a Motion to Reconsider on March 26, 2021, which was denied by the Council on May 11, 2021. A prehearing conference was held and a schedule for the case was established on June 8, 2021. NCES filed a Motion to Dismiss on the merits of the appeal on June 30, 2021. On July 16, 2021, CLF filed its objection to the Motion to Dismiss, and NCES filed its reply on July 26, 2021. The Council issued an Order on September 3, 2021 granting NCES’s Motion to Dismiss, in part. CLF filed a Motion for Reconsideration on September 23, 2021, and NCES filed its objection on September 28, 2021 and CLF filed a reply on September 30, 2021. CLF’s Motion for Reconsideration was granted on November 19, 2021, and its dismissed claims reinstated. On January 14, 2022, NCES filed a Motion in Limine seeking to exclude from evidence four potential evidentiary items on the basis that those items were either not directly related, or were not included in CLF’s Notice of Appeal. On January 21, 2022, CLF filed an objection to NCES’s motion, and NCES filed a reply on January 26, 2022. On January 31, 2022, the Court issued an Order granting NCES’s Motion in Limine with respect to three of the four items it sought to exclude from evidence, and denying its motion with respect to the remaining item. The hearing on the appeal was held on February 18 and February 22, 2022. Council deliberations concluded on February 22, 2022, ruling in favor of NCES on all motions concerning questions of fact. The hearing officer’s decision with regard to questions of law remains pending. NCES will continue to vigorously defend against this litigation.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Liabilities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w:t>
      </w:r>
    </w:p>
    <w:p>
      <w:pPr>
        <w:spacing w:after="0" w:line="8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accrue for costs associated with environmental remediation obligations when such costs become both probable and reasonably estimable. Determining the method and ultimate cost of remediation requires that a number of assumptions be made. There can sometimes be a range of reasonable estimates of the costs associated with remediation of a site. In these cases, we use the amount within the range that constitutes our best estimate. In the early stages of the remediation process, particular components of the overall liability may not be reasonably estimable; in this instance we use the components of the liability that can be reasonably estimated as a surrogate for the liability. It is reasonably possible that we will need to adjust the liabilities recorded for remediation to reflect the effects of new or additional information, to the extent such information impacts the costs, timing or duration of the required actions. Future changes in our estimates of the cost, timing or duration of the required actions could have a material adverse effect on our consolidated financial position, results of operations and cash flows. We disclose outstanding environmental remediation matters that remain unsettled or are settled in the reporting period that we believe could have a material adverse effect on our financial condition, results of operations or cash flows.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We inflate the estimated costs in current dollars to the expected time of payment and discount the total cost to present value using a risk-free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risk-free interest rate associated with our environmental remediation liabilities as of March 31, 2022 ranges between 1.5% and 2.6%.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changes to the aggregate environmental remediation liabilities for the three months ended March 31, 2022 and 2021 follows:</w:t>
      </w:r>
    </w:p>
    <w:p>
      <w:pPr>
        <w:spacing w:after="0" w:line="136"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Three Months Ended</w:t>
      </w:r>
    </w:p>
    <w:p>
      <w:pPr>
        <w:jc w:val="center"/>
        <w:ind w:left="664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6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2022</w:t>
            </w: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700" w:type="dxa"/>
            <w:vAlign w:val="bottom"/>
            <w:tcBorders>
              <w:top w:val="single" w:sz="8" w:color="auto"/>
              <w:bottom w:val="single" w:sz="8" w:color="auto"/>
            </w:tcBorders>
          </w:tcPr>
          <w:p>
            <w:pPr>
              <w:jc w:val="right"/>
              <w:ind w:right="893"/>
              <w:spacing w:after="0"/>
              <w:rPr>
                <w:sz w:val="20"/>
                <w:szCs w:val="20"/>
                <w:color w:val="auto"/>
              </w:rPr>
            </w:pPr>
            <w:r>
              <w:rPr>
                <w:rFonts w:ascii="Arial" w:cs="Arial" w:eastAsia="Arial" w:hAnsi="Arial"/>
                <w:sz w:val="14"/>
                <w:szCs w:val="14"/>
                <w:b w:val="1"/>
                <w:bCs w:val="1"/>
                <w:color w:val="auto"/>
              </w:rPr>
              <w:t>2021</w:t>
            </w:r>
          </w:p>
        </w:tc>
      </w:tr>
      <w:tr>
        <w:trPr>
          <w:trHeight w:val="224"/>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20" w:type="dxa"/>
            <w:vAlign w:val="bottom"/>
            <w:shd w:val="clear" w:color="auto" w:fill="CCEEFF"/>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w:t>
            </w:r>
          </w:p>
        </w:tc>
      </w:tr>
      <w:tr>
        <w:trPr>
          <w:trHeight w:val="229"/>
        </w:trPr>
        <w:tc>
          <w:tcPr>
            <w:tcW w:w="6660" w:type="dxa"/>
            <w:vAlign w:val="bottom"/>
          </w:tcPr>
          <w:p>
            <w:pPr>
              <w:ind w:left="360"/>
              <w:spacing w:after="0"/>
              <w:rPr>
                <w:sz w:val="20"/>
                <w:szCs w:val="20"/>
                <w:color w:val="auto"/>
              </w:rPr>
            </w:pPr>
            <w:r>
              <w:rPr>
                <w:rFonts w:ascii="Arial" w:cs="Arial" w:eastAsia="Arial" w:hAnsi="Arial"/>
                <w:sz w:val="18"/>
                <w:szCs w:val="18"/>
                <w:color w:val="auto"/>
              </w:rPr>
              <w:t>Accretion expense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settled (1)</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5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5,228</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5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520" w:type="dxa"/>
            <w:vAlign w:val="bottom"/>
            <w:tcBorders>
              <w:bottom w:val="single" w:sz="8" w:color="auto"/>
            </w:tcBorders>
          </w:tcPr>
          <w:p>
            <w:pPr>
              <w:jc w:val="right"/>
              <w:ind w:right="131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w:t>
            </w:r>
          </w:p>
        </w:tc>
      </w:tr>
      <w:tr>
        <w:trPr>
          <w:trHeight w:val="21"/>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5540" w:right="1460" w:hanging="5532"/>
        <w:spacing w:after="0" w:line="919" w:lineRule="auto"/>
        <w:tabs>
          <w:tab w:leader="none" w:pos="654" w:val="left"/>
        </w:tabs>
        <w:numPr>
          <w:ilvl w:val="0"/>
          <w:numId w:val="4"/>
        </w:numPr>
        <w:rPr>
          <w:rFonts w:ascii="Arial" w:cs="Arial" w:eastAsia="Arial" w:hAnsi="Arial"/>
          <w:sz w:val="14"/>
          <w:szCs w:val="14"/>
          <w:color w:val="auto"/>
        </w:rPr>
      </w:pPr>
      <w:r>
        <w:rPr>
          <w:rFonts w:ascii="Arial" w:cs="Arial" w:eastAsia="Arial" w:hAnsi="Arial"/>
          <w:sz w:val="18"/>
          <w:szCs w:val="18"/>
          <w:color w:val="auto"/>
        </w:rPr>
        <w:t>May include amounts paid and amounts that are being processed through accounts payable as a part of our disbursement cycle.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7" w:name="page18"/>
    <w:bookmarkEnd w:id="17"/>
    <w:p>
      <w:pPr>
        <w:ind w:right="8600" w:firstLine="8"/>
        <w:spacing w:after="0" w:line="378" w:lineRule="auto"/>
        <w:tabs>
          <w:tab w:leader="none" w:pos="31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Stock Based Compensation</w:t>
      </w: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March 31, 2022, there were 811 Class A common stock equivalents available for future grant under the 2016 Plan.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one-year to four-year period from the date of grant.</w:t>
      </w:r>
    </w:p>
    <w:p>
      <w:pPr>
        <w:spacing w:after="0" w:line="6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1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90"/>
              </w:rPr>
              <w:t>Stock Options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Exercise 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1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Granted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gridSpan w:val="2"/>
          </w:tcPr>
          <w:p>
            <w:pPr>
              <w:ind w:left="220"/>
              <w:spacing w:after="0"/>
              <w:rPr>
                <w:sz w:val="20"/>
                <w:szCs w:val="20"/>
                <w:color w:val="auto"/>
              </w:rPr>
            </w:pPr>
            <w:r>
              <w:rPr>
                <w:rFonts w:ascii="Arial" w:cs="Arial" w:eastAsia="Arial" w:hAnsi="Arial"/>
                <w:sz w:val="18"/>
                <w:szCs w:val="18"/>
                <w:color w:val="auto"/>
              </w:rPr>
              <w:t>Forfeited</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2022</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March 31, 2022</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9.45</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Stock-based compensation expense related to stock options was $16 during the three months ended March 31, 2022. We did not record any stock-based compensation expense for stock options during the three months ended March 31, 2021. As of March 31, 2022, we had $155 of unrecognized stock-based compensation expense related to outstanding stock options to be recognized over a weighted average period of 2.3 years.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the aggregate intrinsic value of stock options exercised was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if applicable, the value of dividends of our Class A common stock as compared to the Russell 2000 Index over the requisite service period.</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Restricted Stock Units,</w:t>
            </w:r>
          </w:p>
        </w:tc>
        <w:tc>
          <w:tcPr>
            <w:tcW w:w="152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Average Grant Date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124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20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and Performance Stock Units</w:t>
            </w:r>
          </w:p>
        </w:tc>
        <w:tc>
          <w:tcPr>
            <w:tcW w:w="920" w:type="dxa"/>
            <w:vAlign w:val="bottom"/>
          </w:tcPr>
          <w:p>
            <w:pPr>
              <w:jc w:val="center"/>
              <w:ind w:left="377"/>
              <w:spacing w:after="0" w:line="135" w:lineRule="exact"/>
              <w:rPr>
                <w:sz w:val="20"/>
                <w:szCs w:val="20"/>
                <w:color w:val="auto"/>
              </w:rPr>
            </w:pPr>
            <w:r>
              <w:rPr>
                <w:rFonts w:ascii="Arial" w:cs="Arial" w:eastAsia="Arial" w:hAnsi="Arial"/>
                <w:sz w:val="14"/>
                <w:szCs w:val="14"/>
                <w:b w:val="1"/>
                <w:bCs w:val="1"/>
                <w:color w:val="auto"/>
              </w:rPr>
              <w:t>Fair</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66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920" w:type="dxa"/>
            <w:vAlign w:val="bottom"/>
          </w:tcPr>
          <w:p>
            <w:pPr>
              <w:jc w:val="center"/>
              <w:ind w:left="417"/>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Term (years)</w:t>
            </w:r>
          </w:p>
        </w:tc>
        <w:tc>
          <w:tcPr>
            <w:tcW w:w="200" w:type="dxa"/>
            <w:vAlign w:val="bottom"/>
          </w:tcPr>
          <w:p>
            <w:pPr>
              <w:spacing w:after="0"/>
              <w:rPr>
                <w:sz w:val="16"/>
                <w:szCs w:val="16"/>
                <w:color w:val="auto"/>
              </w:rPr>
            </w:pPr>
          </w:p>
        </w:tc>
        <w:tc>
          <w:tcPr>
            <w:tcW w:w="124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24"/>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55.40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920" w:type="dxa"/>
            <w:vAlign w:val="bottom"/>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97.77</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45.42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57.55</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2022</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7"/>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68.41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March 31, 2022</w:t>
            </w: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vMerge w:val="continue"/>
          </w:tcPr>
          <w:p>
            <w:pPr>
              <w:spacing w:after="0"/>
              <w:rPr>
                <w:sz w:val="17"/>
                <w:szCs w:val="17"/>
                <w:color w:val="auto"/>
              </w:rPr>
            </w:pPr>
          </w:p>
        </w:tc>
        <w:tc>
          <w:tcPr>
            <w:tcW w:w="1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487</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17"/>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3"/>
              </w:rPr>
              <w:t>68.66</w:t>
            </w:r>
          </w:p>
        </w:tc>
        <w:tc>
          <w:tcPr>
            <w:tcW w:w="100" w:type="dxa"/>
            <w:vAlign w:val="bottom"/>
          </w:tcPr>
          <w:p>
            <w:pPr>
              <w:spacing w:after="0"/>
              <w:rPr>
                <w:sz w:val="17"/>
                <w:szCs w:val="17"/>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42,694</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60" w:right="460" w:hanging="652"/>
        <w:spacing w:after="0" w:line="342" w:lineRule="auto"/>
        <w:tabs>
          <w:tab w:leader="none" w:pos="654" w:val="left"/>
        </w:tabs>
        <w:numPr>
          <w:ilvl w:val="0"/>
          <w:numId w:val="6"/>
        </w:numPr>
        <w:rPr>
          <w:rFonts w:ascii="Arial" w:cs="Arial" w:eastAsia="Arial" w:hAnsi="Arial"/>
          <w:sz w:val="16"/>
          <w:szCs w:val="16"/>
          <w:color w:val="auto"/>
        </w:rPr>
      </w:pPr>
      <w:r>
        <w:rPr>
          <w:rFonts w:ascii="Arial" w:cs="Arial" w:eastAsia="Arial" w:hAnsi="Arial"/>
          <w:sz w:val="16"/>
          <w:szCs w:val="16"/>
          <w:color w:val="auto"/>
        </w:rPr>
        <w:t>Market-based performance stock unit grants are included at the 100% attainment level. Attainment of the maximum performance targets and market achievements would result in the issuance of an additional 221 shares of Class A common stock currently included in unvested.</w:t>
      </w:r>
    </w:p>
    <w:p>
      <w:pPr>
        <w:spacing w:after="0" w:line="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$2,151 during the three months ended March 31, 2022, as compared to $2,884 during the three months ended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the total fair value of other stock awards vested was $4,545.</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of March 31, 2022, total unrecognized stock-based compensation expense related to outstanding restricted stock was $71, which will be recognized over a weighted average period of 1.7 years. As of March 31, 2022, total unrecognized stock-based compensation expense related to outstanding restricted stock units was $6,015, which will be recognized over a weighted average period of 2.2 years. As of March 31, 2022, total expected unrecognized stock-based compensation expense related to outstanding performance stock units was $9,779 to be recognized over a weighted average period of 2.0 years.</w:t>
      </w:r>
    </w:p>
    <w:p>
      <w:pPr>
        <w:spacing w:after="0" w:line="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also recorded $73 of stock-based compensation expense related to our Amended and Restated 1997 Employee Stock Purchase Plan during the three months ended March 31, 2022, as compared to $57 during the three months ended March 31, 2021.</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Accumulated Other Comprehensive Income (Loss), Net of Tax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income (loss), net of tax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27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w w:val="97"/>
              </w:rPr>
              <w:t>Interest Rate Swaps</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(5,103)</w:t>
            </w: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w w:val="92"/>
              </w:rPr>
              <w:t>Other comprehensive income before reclassifications</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jc w:val="center"/>
              <w:ind w:left="50"/>
              <w:spacing w:after="0"/>
              <w:rPr>
                <w:sz w:val="20"/>
                <w:szCs w:val="20"/>
                <w:color w:val="auto"/>
              </w:rPr>
            </w:pPr>
            <w:r>
              <w:rPr>
                <w:rFonts w:ascii="Arial" w:cs="Arial" w:eastAsia="Arial" w:hAnsi="Arial"/>
                <w:sz w:val="18"/>
                <w:szCs w:val="18"/>
                <w:color w:val="auto"/>
                <w:w w:val="88"/>
              </w:rPr>
              <w:t>7,218</w:t>
            </w:r>
          </w:p>
        </w:tc>
        <w:tc>
          <w:tcPr>
            <w:tcW w:w="0" w:type="dxa"/>
            <w:vAlign w:val="bottom"/>
          </w:tcPr>
          <w:p>
            <w:pPr>
              <w:spacing w:after="0"/>
              <w:rPr>
                <w:sz w:val="1"/>
                <w:szCs w:val="1"/>
                <w:color w:val="auto"/>
              </w:rPr>
            </w:pPr>
          </w:p>
        </w:tc>
      </w:tr>
      <w:tr>
        <w:trPr>
          <w:trHeight w:val="230"/>
        </w:trPr>
        <w:tc>
          <w:tcPr>
            <w:tcW w:w="56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0"/>
              </w:rPr>
              <w:t>Amounts reclassified from accumulated other comprehensive income (loss)</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7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8"/>
              </w:rPr>
              <w:t>1,128</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4"/>
          </w:tcPr>
          <w:p>
            <w:pPr>
              <w:ind w:left="220"/>
              <w:spacing w:after="0"/>
              <w:rPr>
                <w:sz w:val="20"/>
                <w:szCs w:val="20"/>
                <w:color w:val="auto"/>
              </w:rPr>
            </w:pPr>
            <w:r>
              <w:rPr>
                <w:rFonts w:ascii="Arial" w:cs="Arial" w:eastAsia="Arial" w:hAnsi="Arial"/>
                <w:sz w:val="18"/>
                <w:szCs w:val="18"/>
                <w:color w:val="auto"/>
                <w:w w:val="98"/>
              </w:rPr>
              <w:t>Income tax provision related to items of other comprehensive income</w:t>
            </w:r>
          </w:p>
        </w:tc>
        <w:tc>
          <w:tcPr>
            <w:tcW w:w="4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7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4"/>
              </w:rPr>
              <w:t>(2,203)</w:t>
            </w: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income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8"/>
              </w:rPr>
              <w:t>6,143</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8"/>
                <w:szCs w:val="18"/>
                <w:color w:val="auto"/>
              </w:rPr>
              <w:t>Balance, March 31, 2022</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8"/>
              </w:rPr>
              <w:t>1,040</w:t>
            </w:r>
          </w:p>
        </w:tc>
        <w:tc>
          <w:tcPr>
            <w:tcW w:w="0" w:type="dxa"/>
            <w:vAlign w:val="bottom"/>
          </w:tcPr>
          <w:p>
            <w:pPr>
              <w:spacing w:after="0"/>
              <w:rPr>
                <w:sz w:val="1"/>
                <w:szCs w:val="1"/>
                <w:color w:val="auto"/>
              </w:rPr>
            </w:pPr>
          </w:p>
        </w:tc>
      </w:tr>
      <w:tr>
        <w:trPr>
          <w:trHeight w:val="21"/>
        </w:trPr>
        <w:tc>
          <w:tcPr>
            <w:tcW w:w="5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0540" w:type="dxa"/>
            <w:vAlign w:val="bottom"/>
            <w:gridSpan w:val="8"/>
          </w:tcPr>
          <w:p>
            <w:pPr>
              <w:spacing w:after="0"/>
              <w:rPr>
                <w:sz w:val="20"/>
                <w:szCs w:val="20"/>
                <w:color w:val="auto"/>
              </w:rPr>
            </w:pPr>
            <w:r>
              <w:rPr>
                <w:rFonts w:ascii="Arial" w:cs="Arial" w:eastAsia="Arial" w:hAnsi="Arial"/>
                <w:sz w:val="18"/>
                <w:szCs w:val="18"/>
                <w:color w:val="auto"/>
              </w:rPr>
              <w:t>A summary of reclassifications out of accumulated other comprehensive income (loss), net of tax follows: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3"/>
              </w:rPr>
              <w:t>Three Months Ended</w:t>
            </w:r>
          </w:p>
        </w:tc>
        <w:tc>
          <w:tcPr>
            <w:tcW w:w="2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4"/>
                <w:szCs w:val="14"/>
                <w:b w:val="1"/>
                <w:bCs w:val="1"/>
                <w:color w:val="auto"/>
                <w:w w:val="95"/>
              </w:rPr>
              <w:t>March 31,</w:t>
            </w:r>
          </w:p>
        </w:tc>
        <w:tc>
          <w:tcPr>
            <w:tcW w:w="1000" w:type="dxa"/>
            <w:vAlign w:val="bottom"/>
            <w:tcBorders>
              <w:bottom w:val="single" w:sz="8" w:color="auto"/>
            </w:tcBorders>
          </w:tcPr>
          <w:p>
            <w:pPr>
              <w:spacing w:after="0"/>
              <w:rPr>
                <w:sz w:val="16"/>
                <w:szCs w:val="16"/>
                <w:color w:val="auto"/>
              </w:rPr>
            </w:pPr>
          </w:p>
        </w:tc>
        <w:tc>
          <w:tcPr>
            <w:tcW w:w="2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Details About Accumulated Other Comprehensive Income</w:t>
            </w:r>
          </w:p>
        </w:tc>
        <w:tc>
          <w:tcPr>
            <w:tcW w:w="120" w:type="dxa"/>
            <w:vAlign w:val="bottom"/>
          </w:tcPr>
          <w:p>
            <w:pPr>
              <w:spacing w:after="0"/>
              <w:rPr>
                <w:sz w:val="11"/>
                <w:szCs w:val="11"/>
                <w:color w:val="auto"/>
              </w:rPr>
            </w:pPr>
          </w:p>
        </w:tc>
        <w:tc>
          <w:tcPr>
            <w:tcW w:w="2820" w:type="dxa"/>
            <w:vAlign w:val="bottom"/>
            <w:gridSpan w:val="4"/>
          </w:tcPr>
          <w:p>
            <w:pPr>
              <w:jc w:val="center"/>
              <w:ind w:right="34"/>
              <w:spacing w:after="0" w:line="130" w:lineRule="exact"/>
              <w:rPr>
                <w:sz w:val="20"/>
                <w:szCs w:val="20"/>
                <w:color w:val="auto"/>
              </w:rPr>
            </w:pPr>
            <w:r>
              <w:rPr>
                <w:rFonts w:ascii="Arial" w:cs="Arial" w:eastAsia="Arial" w:hAnsi="Arial"/>
                <w:sz w:val="14"/>
                <w:szCs w:val="14"/>
                <w:b w:val="1"/>
                <w:bCs w:val="1"/>
                <w:color w:val="auto"/>
                <w:w w:val="92"/>
              </w:rPr>
              <w:t>Amounts Reclassified Out of Accumulated</w:t>
            </w:r>
          </w:p>
        </w:tc>
        <w:tc>
          <w:tcPr>
            <w:tcW w:w="3460" w:type="dxa"/>
            <w:vAlign w:val="bottom"/>
            <w:gridSpan w:val="2"/>
            <w:vMerge w:val="restart"/>
          </w:tcPr>
          <w:p>
            <w:pPr>
              <w:jc w:val="center"/>
              <w:ind w:left="716"/>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4"/>
          </w:tcPr>
          <w:p>
            <w:pPr>
              <w:jc w:val="center"/>
              <w:ind w:right="34"/>
              <w:spacing w:after="0" w:line="135" w:lineRule="exact"/>
              <w:rPr>
                <w:sz w:val="20"/>
                <w:szCs w:val="20"/>
                <w:color w:val="auto"/>
              </w:rPr>
            </w:pPr>
            <w:r>
              <w:rPr>
                <w:rFonts w:ascii="Arial" w:cs="Arial" w:eastAsia="Arial" w:hAnsi="Arial"/>
                <w:sz w:val="14"/>
                <w:szCs w:val="14"/>
                <w:b w:val="1"/>
                <w:bCs w:val="1"/>
                <w:color w:val="auto"/>
                <w:w w:val="92"/>
              </w:rPr>
              <w:t>Other Comprehensive Income (Loss), Net of</w:t>
            </w:r>
          </w:p>
        </w:tc>
        <w:tc>
          <w:tcPr>
            <w:tcW w:w="34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140" w:type="dxa"/>
            <w:vAlign w:val="bottom"/>
          </w:tcPr>
          <w:p>
            <w:pPr>
              <w:ind w:left="1080"/>
              <w:spacing w:after="0"/>
              <w:rPr>
                <w:sz w:val="20"/>
                <w:szCs w:val="20"/>
                <w:color w:val="auto"/>
              </w:rPr>
            </w:pPr>
            <w:r>
              <w:rPr>
                <w:rFonts w:ascii="Arial" w:cs="Arial" w:eastAsia="Arial" w:hAnsi="Arial"/>
                <w:sz w:val="14"/>
                <w:szCs w:val="14"/>
                <w:b w:val="1"/>
                <w:bCs w:val="1"/>
                <w:color w:val="auto"/>
              </w:rPr>
              <w:t>(Loss), Net of Tax Components</w:t>
            </w:r>
          </w:p>
        </w:tc>
        <w:tc>
          <w:tcPr>
            <w:tcW w:w="120" w:type="dxa"/>
            <w:vAlign w:val="bottom"/>
          </w:tcPr>
          <w:p>
            <w:pPr>
              <w:spacing w:after="0"/>
              <w:rPr>
                <w:sz w:val="16"/>
                <w:szCs w:val="16"/>
                <w:color w:val="auto"/>
              </w:rPr>
            </w:pPr>
          </w:p>
        </w:tc>
        <w:tc>
          <w:tcPr>
            <w:tcW w:w="1820" w:type="dxa"/>
            <w:vAlign w:val="bottom"/>
            <w:gridSpan w:val="3"/>
          </w:tcPr>
          <w:p>
            <w:pPr>
              <w:jc w:val="center"/>
              <w:ind w:left="801"/>
              <w:spacing w:after="0"/>
              <w:rPr>
                <w:sz w:val="20"/>
                <w:szCs w:val="20"/>
                <w:color w:val="auto"/>
              </w:rPr>
            </w:pPr>
            <w:r>
              <w:rPr>
                <w:rFonts w:ascii="Arial" w:cs="Arial" w:eastAsia="Arial" w:hAnsi="Arial"/>
                <w:sz w:val="14"/>
                <w:szCs w:val="14"/>
                <w:b w:val="1"/>
                <w:bCs w:val="1"/>
                <w:color w:val="auto"/>
                <w:w w:val="90"/>
              </w:rPr>
              <w:t>Tax</w:t>
            </w:r>
          </w:p>
        </w:tc>
        <w:tc>
          <w:tcPr>
            <w:tcW w:w="1000" w:type="dxa"/>
            <w:vAlign w:val="bottom"/>
          </w:tcPr>
          <w:p>
            <w:pPr>
              <w:spacing w:after="0"/>
              <w:rPr>
                <w:sz w:val="16"/>
                <w:szCs w:val="16"/>
                <w:color w:val="auto"/>
              </w:rPr>
            </w:pPr>
          </w:p>
        </w:tc>
        <w:tc>
          <w:tcPr>
            <w:tcW w:w="3460" w:type="dxa"/>
            <w:vAlign w:val="bottom"/>
            <w:gridSpan w:val="2"/>
          </w:tcPr>
          <w:p>
            <w:pPr>
              <w:jc w:val="center"/>
              <w:ind w:left="696"/>
              <w:spacing w:after="0"/>
              <w:rPr>
                <w:sz w:val="20"/>
                <w:szCs w:val="20"/>
                <w:color w:val="auto"/>
              </w:rPr>
            </w:pPr>
            <w:r>
              <w:rPr>
                <w:rFonts w:ascii="Arial" w:cs="Arial" w:eastAsia="Arial" w:hAnsi="Arial"/>
                <w:sz w:val="14"/>
                <w:szCs w:val="14"/>
                <w:b w:val="1"/>
                <w:bCs w:val="1"/>
                <w:color w:val="auto"/>
                <w:w w:val="91"/>
              </w:rPr>
              <w:t>Statements of Operations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Income before income taxes</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346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Basic earnings per share is computed by dividing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Denominators:</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50,650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50,374</w:t>
            </w:r>
          </w:p>
        </w:tc>
        <w:tc>
          <w:tcPr>
            <w:tcW w:w="0" w:type="dxa"/>
            <w:vAlign w:val="bottom"/>
          </w:tcPr>
          <w:p>
            <w:pPr>
              <w:spacing w:after="0"/>
              <w:rPr>
                <w:sz w:val="1"/>
                <w:szCs w:val="1"/>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Unvested restricted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51,490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51,657</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88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8200" w:firstLine="8"/>
        <w:spacing w:after="0" w:line="400" w:lineRule="auto"/>
        <w:tabs>
          <w:tab w:leader="none" w:pos="39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OTHER ITEMS AND CHARGES Expense from Acquisition Activities</w:t>
      </w:r>
    </w:p>
    <w:p>
      <w:pPr>
        <w:ind w:right="220"/>
        <w:spacing w:after="0" w:line="277" w:lineRule="auto"/>
        <w:rPr>
          <w:sz w:val="20"/>
          <w:szCs w:val="20"/>
          <w:color w:val="auto"/>
        </w:rPr>
      </w:pPr>
      <w:r>
        <w:rPr>
          <w:rFonts w:ascii="Arial" w:cs="Arial" w:eastAsia="Arial" w:hAnsi="Arial"/>
          <w:sz w:val="18"/>
          <w:szCs w:val="18"/>
          <w:color w:val="auto"/>
        </w:rPr>
        <w:t>In the three months ended March 31, 2022 and 2021, we recorded charges of $2,043 and $414, respectively, comprised primarily of legal, consulting and other similar costs associated with the acquisition and integration of acquired businesses or select development projects.</w:t>
      </w:r>
    </w:p>
    <w:p>
      <w:pPr>
        <w:spacing w:after="0" w:line="1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FAIR VALUE OF FINANCIAL INSTRUMENTS</w:t>
      </w:r>
    </w:p>
    <w:p>
      <w:pPr>
        <w:spacing w:after="0" w:line="12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derivatives, contingent consideration related to acquisitions, trade payables and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derivatives included in the Level 2 tier below is calculated using discounted cash flow valuation methodologies based upon the one-month LIBOR yield curves that are observable at commonly quoted intervals for the full term of the swaps. We recognize all derivatives accounted for on the balance sheet at fair value.</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7"/>
          </w:tcPr>
          <w:p>
            <w:pPr>
              <w:jc w:val="center"/>
              <w:ind w:right="98"/>
              <w:spacing w:after="0"/>
              <w:rPr>
                <w:sz w:val="20"/>
                <w:szCs w:val="20"/>
                <w:color w:val="auto"/>
              </w:rPr>
            </w:pPr>
            <w:r>
              <w:rPr>
                <w:rFonts w:ascii="Arial" w:cs="Arial" w:eastAsia="Arial" w:hAnsi="Arial"/>
                <w:sz w:val="14"/>
                <w:szCs w:val="14"/>
                <w:b w:val="1"/>
                <w:bCs w:val="1"/>
                <w:color w:val="auto"/>
                <w:w w:val="95"/>
              </w:rPr>
              <w:t>Fair Value Measurement at March 31, 2022 Using:</w:t>
            </w:r>
          </w:p>
        </w:tc>
        <w:tc>
          <w:tcPr>
            <w:tcW w:w="0" w:type="dxa"/>
            <w:vAlign w:val="bottom"/>
          </w:tcPr>
          <w:p>
            <w:pPr>
              <w:spacing w:after="0"/>
              <w:rPr>
                <w:sz w:val="1"/>
                <w:szCs w:val="1"/>
                <w:color w:val="auto"/>
              </w:rPr>
            </w:pPr>
          </w:p>
        </w:tc>
      </w:tr>
      <w:tr>
        <w:trPr>
          <w:trHeight w:val="134"/>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9"/>
        </w:trPr>
        <w:tc>
          <w:tcPr>
            <w:tcW w:w="60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7"/>
          </w:tcPr>
          <w:p>
            <w:pPr>
              <w:jc w:val="center"/>
              <w:ind w:right="98"/>
              <w:spacing w:after="0"/>
              <w:rPr>
                <w:sz w:val="20"/>
                <w:szCs w:val="20"/>
                <w:color w:val="auto"/>
              </w:rPr>
            </w:pPr>
            <w:r>
              <w:rPr>
                <w:rFonts w:ascii="Arial" w:cs="Arial" w:eastAsia="Arial" w:hAnsi="Arial"/>
                <w:sz w:val="14"/>
                <w:szCs w:val="14"/>
                <w:b w:val="1"/>
                <w:bCs w:val="1"/>
                <w:color w:val="auto"/>
                <w:w w:val="93"/>
              </w:rPr>
              <w:t>Fair Value Measurement at December 31, 2021 Using:</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1"/>
                <w:szCs w:val="11"/>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40" w:type="dxa"/>
            <w:vAlign w:val="bottom"/>
          </w:tcPr>
          <w:p>
            <w:pPr>
              <w:spacing w:after="0"/>
              <w:rPr>
                <w:sz w:val="11"/>
                <w:szCs w:val="11"/>
                <w:color w:val="auto"/>
              </w:rPr>
            </w:pPr>
          </w:p>
        </w:tc>
        <w:tc>
          <w:tcPr>
            <w:tcW w:w="150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1"/>
                <w:szCs w:val="11"/>
                <w:color w:val="auto"/>
              </w:rPr>
            </w:pPr>
          </w:p>
        </w:tc>
        <w:tc>
          <w:tcPr>
            <w:tcW w:w="150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88"/>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36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8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1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2022, the fair value of our fixed rate debt, including our FAME Bonds 2005R-3, FAME Bonds 2015R-1, FAME Bonds 2015R-2, Vermont Bonds, New York Bonds 2014R-1, New York Bonds 2014R-2, New York Bonds 2020 and New Hampshire Bonds was approximately $165,864 and the carrying value was $162,000. The fair value of the FAME Bonds 2005R-3, the FAME Bonds 2015R-1, the FAME Bonds 2015R-2, the Vermont Bonds, the New York Bonds 2014R-1, the New York Bonds 2014R-2, New York Bonds 2020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8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2022, the carrying value of our Term Loan Facility was $350,000 and the carrying value of our Revolving Credit Facility was $19,000. Their fair values are based on current borrowing rates for similar types of borrowing arrangements, or Level 2 inputs, and approximate their carrying values.</w:t>
      </w:r>
    </w:p>
    <w:p>
      <w:pPr>
        <w:spacing w:after="0" w:line="7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2014R-1, New York Bonds 2014R-2, New York Bonds 2020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2" w:name="page23"/>
    <w:bookmarkEnd w:id="22"/>
    <w:p>
      <w:pPr>
        <w:spacing w:after="0"/>
        <w:tabs>
          <w:tab w:leader="none" w:pos="400" w:val="left"/>
        </w:tabs>
        <w:rPr>
          <w:sz w:val="20"/>
          <w:szCs w:val="20"/>
          <w:color w:val="auto"/>
        </w:rPr>
      </w:pPr>
      <w:r>
        <w:rPr>
          <w:rFonts w:ascii="Arial" w:cs="Arial" w:eastAsia="Arial" w:hAnsi="Arial"/>
          <w:sz w:val="18"/>
          <w:szCs w:val="18"/>
          <w:b w:val="1"/>
          <w:bCs w:val="1"/>
          <w:color w:val="auto"/>
        </w:rPr>
        <w:t>13.</w:t>
        <w:tab/>
        <w:t>SEGMENT REPORTING</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report selected information about our reportable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transfer, transportation and disposal, landfill gas-to-energy, processing, and recycling services in the northeastern United States. Our Resource Solutions operating segment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Revenues associated with our Resource Solutions operations are derived from two lines-of-service: processing and non-processing. Revenues from processing services are derived from municipalities and customers in the form of processing fees, tipping fees, commodity sales, and organic material sales. Revenues from non-processing services are derived from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 Legal, tax, information technology, human resources, certain finance and accounting and other administrative functions are included in our Corporate Entities segment, which is not a reportable operating segment. Corporate Entities results reflect those costs not allocated to our reportable operating segments.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4"/>
        </w:trPr>
        <w:tc>
          <w:tcPr>
            <w:tcW w:w="3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16,668</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355,371</w:t>
            </w:r>
          </w:p>
        </w:tc>
        <w:tc>
          <w:tcPr>
            <w:tcW w:w="0" w:type="dxa"/>
            <w:vAlign w:val="bottom"/>
          </w:tcPr>
          <w:p>
            <w:pPr>
              <w:spacing w:after="0"/>
              <w:rPr>
                <w:sz w:val="1"/>
                <w:szCs w:val="1"/>
                <w:color w:val="auto"/>
              </w:rPr>
            </w:pPr>
          </w:p>
        </w:tc>
      </w:tr>
      <w:tr>
        <w:trPr>
          <w:trHeight w:val="229"/>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95,839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32,493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684,969</w:t>
            </w:r>
          </w:p>
        </w:tc>
        <w:tc>
          <w:tcPr>
            <w:tcW w:w="0" w:type="dxa"/>
            <w:vAlign w:val="bottom"/>
          </w:tcPr>
          <w:p>
            <w:pPr>
              <w:spacing w:after="0"/>
              <w:rPr>
                <w:sz w:val="1"/>
                <w:szCs w:val="1"/>
                <w:color w:val="auto"/>
              </w:rPr>
            </w:pPr>
          </w:p>
        </w:tc>
      </w:tr>
      <w:tr>
        <w:trPr>
          <w:trHeight w:val="229"/>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176,128</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90,503</w:t>
            </w:r>
          </w:p>
        </w:tc>
        <w:tc>
          <w:tcPr>
            <w:tcW w:w="0" w:type="dxa"/>
            <w:vAlign w:val="bottom"/>
          </w:tcPr>
          <w:p>
            <w:pPr>
              <w:spacing w:after="0"/>
              <w:rPr>
                <w:sz w:val="1"/>
                <w:szCs w:val="1"/>
                <w:color w:val="auto"/>
              </w:rPr>
            </w:pPr>
          </w:p>
        </w:tc>
      </w:tr>
      <w:tr>
        <w:trPr>
          <w:trHeight w:val="229"/>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234,027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1,306,971</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7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Inter-company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Depreciation and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Operating</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income (loss)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4"/>
        </w:trPr>
        <w:tc>
          <w:tcPr>
            <w:tcW w:w="3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52,345</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221,200</w:t>
            </w:r>
          </w:p>
        </w:tc>
        <w:tc>
          <w:tcPr>
            <w:tcW w:w="0" w:type="dxa"/>
            <w:vAlign w:val="bottom"/>
          </w:tcPr>
          <w:p>
            <w:pPr>
              <w:spacing w:after="0"/>
              <w:rPr>
                <w:sz w:val="1"/>
                <w:szCs w:val="1"/>
                <w:color w:val="auto"/>
              </w:rPr>
            </w:pPr>
          </w:p>
        </w:tc>
      </w:tr>
      <w:tr>
        <w:trPr>
          <w:trHeight w:val="230"/>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Western</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85,764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28,682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14,039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646,381</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88,759</w:t>
            </w:r>
          </w:p>
        </w:tc>
        <w:tc>
          <w:tcPr>
            <w:tcW w:w="0" w:type="dxa"/>
            <w:vAlign w:val="bottom"/>
          </w:tcPr>
          <w:p>
            <w:pPr>
              <w:spacing w:after="0"/>
              <w:rPr>
                <w:sz w:val="1"/>
                <w:szCs w:val="1"/>
                <w:color w:val="auto"/>
              </w:rPr>
            </w:pPr>
          </w:p>
        </w:tc>
      </w:tr>
      <w:tr>
        <w:trPr>
          <w:trHeight w:val="229"/>
        </w:trPr>
        <w:tc>
          <w:tcPr>
            <w:tcW w:w="3700" w:type="dxa"/>
            <w:vAlign w:val="bottom"/>
            <w:gridSpan w:val="3"/>
          </w:tcPr>
          <w:p>
            <w:pPr>
              <w:ind w:left="20"/>
              <w:spacing w:after="0"/>
              <w:rPr>
                <w:sz w:val="20"/>
                <w:szCs w:val="20"/>
                <w:color w:val="auto"/>
              </w:rPr>
            </w:pPr>
            <w:r>
              <w:rPr>
                <w:rFonts w:ascii="Arial" w:cs="Arial" w:eastAsia="Arial" w:hAnsi="Arial"/>
                <w:sz w:val="18"/>
                <w:szCs w:val="18"/>
                <w:color w:val="auto"/>
              </w:rPr>
              <w:t>Corporate entities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237,906</w:t>
            </w:r>
          </w:p>
        </w:tc>
        <w:tc>
          <w:tcPr>
            <w:tcW w:w="0" w:type="dxa"/>
            <w:vAlign w:val="bottom"/>
          </w:tcPr>
          <w:p>
            <w:pPr>
              <w:spacing w:after="0"/>
              <w:rPr>
                <w:sz w:val="1"/>
                <w:szCs w:val="1"/>
                <w:color w:val="auto"/>
              </w:rPr>
            </w:pPr>
          </w:p>
        </w:tc>
      </w:tr>
      <w:tr>
        <w:trPr>
          <w:trHeight w:val="230"/>
        </w:trPr>
        <w:tc>
          <w:tcPr>
            <w:tcW w:w="3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12,009</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1,194,246</w:t>
            </w:r>
          </w:p>
        </w:tc>
        <w:tc>
          <w:tcPr>
            <w:tcW w:w="0" w:type="dxa"/>
            <w:vAlign w:val="bottom"/>
          </w:tcPr>
          <w:p>
            <w:pPr>
              <w:spacing w:after="0"/>
              <w:rPr>
                <w:sz w:val="1"/>
                <w:szCs w:val="1"/>
                <w:color w:val="auto"/>
              </w:rPr>
            </w:pPr>
          </w:p>
        </w:tc>
      </w:tr>
      <w:tr>
        <w:trPr>
          <w:trHeight w:val="21"/>
        </w:trPr>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revenues attributable to services provided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Disposal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43,153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37,853</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r>
      <w:tr>
        <w:trPr>
          <w:trHeight w:val="223"/>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Solid waste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138,109</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27,395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17,272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39,474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34,151</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Resource solutions operations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51,423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189,532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The following discussion should be read in conjunction with our unaudited consolidated financial statements and notes thereto included under Item 1. In addition, reference should be made to our audited consolidated financial statements and notes thereto and related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w:t>
      </w:r>
      <w:r>
        <w:rPr>
          <w:rFonts w:ascii="Arial" w:cs="Arial" w:eastAsia="Arial" w:hAnsi="Arial"/>
          <w:sz w:val="18"/>
          <w:szCs w:val="18"/>
          <w:color w:val="auto"/>
        </w:rPr>
        <w:t>" appearing in our Annual Report on Form 10-K for the fiscal year ended December 31, 2021 filed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and Exchange Commission (“SEC”) on February 18, 2022.</w:t>
      </w:r>
    </w:p>
    <w:p>
      <w:pPr>
        <w:spacing w:after="0" w:line="7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This Quarterly Report on Form 10-Q and, in particular,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may contain or incorporate a number of forward-looking statements within the meaning of Section 27A of the Securities Act of 1933, as amended, and Section 21E of the Exchange Act of 1934, as amended, including statements regarding:</w:t>
      </w:r>
    </w:p>
    <w:p>
      <w:pPr>
        <w:spacing w:after="0" w:line="76"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right="84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commodity pricing of our recyclables, increases in landfill tipping fees and fuel costs and general economic and weather conditions;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a number of important risks and uncertainties that could cause our actual results to differ materially from those indicated by such forward-looking statements. These risks and uncertainties include, without limitation, those detailed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fiscal year ended December 31, 2021.</w:t>
      </w:r>
    </w:p>
    <w:p>
      <w:pPr>
        <w:spacing w:after="0" w:line="7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Casella Waste Systems, Inc., a Delaware corporation, and its wholly-owned subsidiaries (collectively, “we”, “us” or “our”), is a regional, vertically integrated solid waste services company. We provide resource management expertise and services to residential, commercial, municipal, institutional and industrial customers, primarily in the areas of solid waste collection and disposal, transfer, recycling and organics services. We provide integrated solid waste services in seven states: Vermont, New Hampshire, New York, Massachusetts, Connecticut, Maine and Pennsylvania, with our headquarters located in Rutland, Vermont. We manage our solid waste operations on a geographic basis through two regional operating segments, the Eastern and Western regions, each of which provides a full range of solid waste services. We manage our resource-renewal operations through the Resource Solutions operating segment, which leverages our core competencies in materials processing, industrial recycling, organics and resource management service offerings to deliver a comprehensive solution for our larger commercial, municipal, institutional and industrial customers that have more diverse waste and recycling needs. Our Resources Solutions operations consist of two lines-of-service: processing and non-processing. Processing services consist of the receipt of recycled, sludge or other organic materials at one of our materials recovery, processing or disposal facilities, where it is then sorted, mixed and/or processed, and then disposed of or sold. Non-processing services consist of brokerage services and overall resource management services, which provide a wide range of environmental services and zero waste solutions to large and complex organizations, as well as traditional collection, disposal and recycling services provided to large account multi-site customers.</w:t>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April 15, 2022, we owned and/or operated 49 solid waste collection operations, 63 transfer stations, 25 recycling facilities, eight Subtitle D landfills, three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services, including landfill, transfer and transportation, landfill gas-to-energy, and processing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We manage our resource-renewal operations through the Resource Solutions operating segment, which includes processing and non-processing services. Revenues from processing services are derived from municipalities and customers in the form of processing fees, tipping fees, and commodity sales, primarily comprised of newspaper, corrugated containers, plastics, ferrous and aluminum, and organic materials such as our earthlife® soils products including fertilizers, composts and mulches. Revenues from non-processing services are derived from brokerage services and overall resource management services providing a wide range of environmental services and zero waste solutions to large and complex organizations, as well as traditional collection, disposal and recycling services provided to large account multi-site customers.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07"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A summary of revenues attributable to services provided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01"/>
        </w:trPr>
        <w:tc>
          <w:tcPr>
            <w:tcW w:w="3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Disposal</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18.4 %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3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Solid waste</w:t>
            </w: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Non-processing</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16.9 %</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3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Resource solutions</w:t>
            </w: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28.6 %</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000"/>
        <w:spacing w:after="0"/>
        <w:rPr>
          <w:sz w:val="20"/>
          <w:szCs w:val="20"/>
          <w:color w:val="auto"/>
        </w:rPr>
      </w:pPr>
      <w:r>
        <w:rPr>
          <w:rFonts w:ascii="Arial" w:cs="Arial" w:eastAsia="Arial" w:hAnsi="Arial"/>
          <w:sz w:val="14"/>
          <w:szCs w:val="14"/>
          <w:b w:val="1"/>
          <w:bCs w:val="1"/>
          <w:color w:val="auto"/>
        </w:rPr>
        <w:t>Ended March 31, 2022 vs.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17.2</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23"/>
        </w:trPr>
        <w:tc>
          <w:tcPr>
            <w:tcW w:w="8020" w:type="dxa"/>
            <w:vAlign w:val="bottom"/>
          </w:tcPr>
          <w:p>
            <w:pPr>
              <w:ind w:left="36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29.1</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21.0 %</w:t>
            </w:r>
          </w:p>
        </w:tc>
      </w:tr>
      <w:tr>
        <w:trPr>
          <w:trHeight w:val="21"/>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$6.3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$1.5 million from favorable disposal pricing associated with our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$0.5 million from higher collection volumes as a result of increased activity and new customer acquisition; and</w:t>
      </w:r>
    </w:p>
    <w:p>
      <w:pPr>
        <w:spacing w:after="0" w:line="63" w:lineRule="exact"/>
        <w:rPr>
          <w:rFonts w:ascii="Arial" w:cs="Arial" w:eastAsia="Arial" w:hAnsi="Arial"/>
          <w:sz w:val="18"/>
          <w:szCs w:val="18"/>
          <w:color w:val="auto"/>
        </w:rPr>
      </w:pPr>
    </w:p>
    <w:p>
      <w:pPr>
        <w:ind w:left="460" w:right="120" w:hanging="331"/>
        <w:spacing w:after="0" w:line="277"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$0.3 million from higher disposal volumes (of which $0.3 million relates to higher transportation volumes and $0.3 million relates to higher transfer station volumes, partially offset by $(0.3) million that relates to lower third-party landfill volumes); partially offset by</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surcharges and other fees change component in quarterly solid waste revenues growth from the prior year period is the result of higher energy fee revenues on higher diesel fuel prices, partially offset by lower sustainability recycling adjustment fees ("SRA Fee") on higher recycled commodity prices.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commodity price and volume change component in quarterly solid waste revenues growth from the prior year period is the result of $1.3 million primarily from favorable energy pricing and $0.3 million from higher landfill gas-to-energy and commodity processing volumes.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acquisitions change component in quarterly solid waste revenues growth from the prior year period is the result of increased acquisition activity in line with our growth strategy, including the following:</w:t>
      </w:r>
    </w:p>
    <w:p>
      <w:pPr>
        <w:spacing w:after="0" w:line="8" w:lineRule="exact"/>
        <w:rPr>
          <w:sz w:val="20"/>
          <w:szCs w:val="20"/>
          <w:color w:val="auto"/>
        </w:rPr>
      </w:pPr>
    </w:p>
    <w:p>
      <w:pPr>
        <w:ind w:left="460" w:right="160" w:hanging="331"/>
        <w:spacing w:after="0" w:line="259" w:lineRule="auto"/>
        <w:tabs>
          <w:tab w:leader="none" w:pos="4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acquisition of six businesses in the three months ended March 31, 2022: a full service solid-waste collection, recycling and hauling business in our Resource Solutions operating segment; three tuck-in solid waste collection businesses in our Western region; a portable toilets business in our Eastern region; and a scrap metal collection business whose assets are allocated between our Eastern region and Resource Solutions operating segments; and</w:t>
      </w:r>
    </w:p>
    <w:p>
      <w:pPr>
        <w:spacing w:after="0" w:line="24" w:lineRule="exact"/>
        <w:rPr>
          <w:rFonts w:ascii="Arial" w:cs="Arial" w:eastAsia="Arial" w:hAnsi="Arial"/>
          <w:sz w:val="18"/>
          <w:szCs w:val="18"/>
          <w:color w:val="auto"/>
        </w:rPr>
      </w:pPr>
    </w:p>
    <w:p>
      <w:pPr>
        <w:ind w:left="460" w:right="80" w:hanging="331"/>
        <w:spacing w:after="0" w:line="293" w:lineRule="auto"/>
        <w:tabs>
          <w:tab w:leader="none" w:pos="4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timing and acquisition of ten businesses in the fiscal year ended December 31, 2021: a residential, commercial and roll-off collection business in eastern Connecticut that operates a rail-served C&amp;D processing and waste transfer facility, a waste transfer station, a single-stream recycling facility, and several other recycling operations whose assets and liabilities are allocated between our Eastern region and Resource Solutions operating segments; a solid-waste collection business that operates a waste transfer station, a septic and portable toilet business, and two tuck-in solid-waste collection businesses in our Eastern region; and a solid-waste transfer station business, a waste composting and food-scrap hauling business, a solid-waste collection business that operates a waste transfer station, and two tuck-in solid-waste collection businesses in our Western region.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Solutions revenues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change component in quarterly resource solutions revenues growth of $15.4 million from the prior year period is the result of the following:</w:t>
      </w:r>
    </w:p>
    <w:p>
      <w:pPr>
        <w:spacing w:after="0" w:line="75" w:lineRule="exact"/>
        <w:rPr>
          <w:sz w:val="20"/>
          <w:szCs w:val="20"/>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$9.3 million from acquisition activity;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$3.4 million from higher non-processing revenues due to higher volumes on organic business growth and favorable pricing;</w:t>
      </w:r>
    </w:p>
    <w:p>
      <w:pPr>
        <w:spacing w:after="0" w:line="63" w:lineRule="exact"/>
        <w:rPr>
          <w:rFonts w:ascii="Arial" w:cs="Arial" w:eastAsia="Arial" w:hAnsi="Arial"/>
          <w:sz w:val="18"/>
          <w:szCs w:val="18"/>
          <w:color w:val="auto"/>
        </w:rPr>
      </w:pPr>
    </w:p>
    <w:p>
      <w:pPr>
        <w:ind w:left="460" w:right="260" w:hanging="331"/>
        <w:spacing w:after="0" w:line="277"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 million from the favorable impact of commodity pricing in the marketplace (not including the negative impact of lower intercompany tipping fees that were reduced due to higher commodity pricing); and</w:t>
      </w:r>
    </w:p>
    <w:p>
      <w:pPr>
        <w:spacing w:after="0" w:line="8" w:lineRule="exact"/>
        <w:rPr>
          <w:rFonts w:ascii="Arial" w:cs="Arial" w:eastAsia="Arial" w:hAnsi="Arial"/>
          <w:sz w:val="18"/>
          <w:szCs w:val="18"/>
          <w:color w:val="auto"/>
        </w:rPr>
      </w:pPr>
    </w:p>
    <w:p>
      <w:pPr>
        <w:ind w:left="440" w:hanging="311"/>
        <w:spacing w:after="0"/>
        <w:tabs>
          <w:tab w:leader="none" w:pos="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$0.5 million from higher processing volumes driven by higher recycling commodity volumes and other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7"/>
              <w:spacing w:after="0"/>
              <w:rPr>
                <w:sz w:val="20"/>
                <w:szCs w:val="20"/>
                <w:color w:val="auto"/>
              </w:rPr>
            </w:pPr>
            <w:r>
              <w:rPr>
                <w:rFonts w:ascii="Arial" w:cs="Arial" w:eastAsia="Arial" w:hAnsi="Arial"/>
                <w:sz w:val="14"/>
                <w:szCs w:val="14"/>
                <w:b w:val="1"/>
                <w:bCs w:val="1"/>
                <w:color w:val="auto"/>
              </w:rPr>
              <w:t>$</w:t>
            </w:r>
          </w:p>
        </w:tc>
      </w:tr>
      <w:tr>
        <w:trPr>
          <w:trHeight w:val="201"/>
        </w:trPr>
        <w:tc>
          <w:tcPr>
            <w:tcW w:w="32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162.5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88"/>
              </w:rPr>
              <w:t>127.1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515"/>
              <w:spacing w:after="0"/>
              <w:rPr>
                <w:sz w:val="20"/>
                <w:szCs w:val="20"/>
                <w:color w:val="auto"/>
              </w:rPr>
            </w:pPr>
            <w:r>
              <w:rPr>
                <w:rFonts w:ascii="Arial" w:cs="Arial" w:eastAsia="Arial" w:hAnsi="Arial"/>
                <w:sz w:val="18"/>
                <w:szCs w:val="18"/>
                <w:color w:val="auto"/>
              </w:rPr>
              <w:t>29.8</w:t>
            </w:r>
          </w:p>
        </w:tc>
        <w:tc>
          <w:tcPr>
            <w:tcW w:w="1180" w:type="dxa"/>
            <w:vAlign w:val="bottom"/>
          </w:tcPr>
          <w:p>
            <w:pPr>
              <w:jc w:val="right"/>
              <w:spacing w:after="0"/>
              <w:rPr>
                <w:sz w:val="20"/>
                <w:szCs w:val="20"/>
                <w:color w:val="auto"/>
              </w:rPr>
            </w:pPr>
            <w:r>
              <w:rPr>
                <w:rFonts w:ascii="Arial" w:cs="Arial" w:eastAsia="Arial" w:hAnsi="Arial"/>
                <w:sz w:val="18"/>
                <w:szCs w:val="18"/>
                <w:color w:val="auto"/>
              </w:rPr>
              <w:t>12.7 %</w:t>
            </w:r>
          </w:p>
        </w:tc>
        <w:tc>
          <w:tcPr>
            <w:tcW w:w="100" w:type="dxa"/>
            <w:vAlign w:val="bottom"/>
          </w:tcPr>
          <w:p>
            <w:pPr>
              <w:spacing w:after="0"/>
              <w:rPr>
                <w:sz w:val="19"/>
                <w:szCs w:val="19"/>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15"/>
              <w:spacing w:after="0"/>
              <w:rPr>
                <w:sz w:val="20"/>
                <w:szCs w:val="20"/>
                <w:color w:val="auto"/>
              </w:rPr>
            </w:pPr>
            <w:r>
              <w:rPr>
                <w:rFonts w:ascii="Arial" w:cs="Arial" w:eastAsia="Arial" w:hAnsi="Arial"/>
                <w:sz w:val="18"/>
                <w:szCs w:val="18"/>
                <w:color w:val="auto"/>
              </w:rPr>
              <w:t>27.1</w:t>
            </w:r>
          </w:p>
        </w:tc>
        <w:tc>
          <w:tcPr>
            <w:tcW w:w="980" w:type="dxa"/>
            <w:vAlign w:val="bottom"/>
          </w:tcPr>
          <w:p>
            <w:pPr>
              <w:jc w:val="right"/>
              <w:spacing w:after="0"/>
              <w:rPr>
                <w:sz w:val="20"/>
                <w:szCs w:val="20"/>
                <w:color w:val="auto"/>
              </w:rPr>
            </w:pPr>
            <w:r>
              <w:rPr>
                <w:rFonts w:ascii="Arial" w:cs="Arial" w:eastAsia="Arial" w:hAnsi="Arial"/>
                <w:sz w:val="18"/>
                <w:szCs w:val="18"/>
                <w:color w:val="auto"/>
              </w:rPr>
              <w:t>14.3 %</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29.4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rPr>
              <w:t>22.7</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Cost of operations includes labor costs, tipping fees paid to third-party disposal facilities, fuel costs, maintenance and repair costs of vehicles and equipment, workers’ compensation and vehicle insurance costs, the cost of purchasing materials to be recycled,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a percentage of revenues, cost of operations increased 230 basis points during the three months ended March 31, 2022 from the same period of the prior year. The period-to-period change in cost of operations can be primarily attributed to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Third-party direct costs increased $12.7 million quarterly, while increasing 70 basis points as a percentage of revenues, due to the following:</w:t>
      </w:r>
    </w:p>
    <w:p>
      <w:pPr>
        <w:spacing w:after="0" w:line="63" w:lineRule="exact"/>
        <w:rPr>
          <w:sz w:val="20"/>
          <w:szCs w:val="20"/>
          <w:color w:val="auto"/>
        </w:rPr>
      </w:pPr>
    </w:p>
    <w:p>
      <w:pPr>
        <w:ind w:left="460" w:right="340" w:hanging="331"/>
        <w:spacing w:after="0" w:line="277"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third-party disposal costs associated with increased solid waste volumes on acquisition activity, and to a lesser extent, organic growth, and higher fuel surcharges from third-party transporters;</w:t>
      </w:r>
    </w:p>
    <w:p>
      <w:pPr>
        <w:spacing w:after="0" w:line="8" w:lineRule="exact"/>
        <w:rPr>
          <w:rFonts w:ascii="Arial" w:cs="Arial" w:eastAsia="Arial" w:hAnsi="Arial"/>
          <w:sz w:val="18"/>
          <w:szCs w:val="18"/>
          <w:color w:val="auto"/>
        </w:rPr>
      </w:pPr>
    </w:p>
    <w:p>
      <w:pPr>
        <w:ind w:left="460" w:right="460" w:hanging="331"/>
        <w:spacing w:after="0" w:line="277"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purchased material costs associated with acquisition activity and higher recycling commodity prices in our Resource Solutions operating segment; and</w:t>
      </w:r>
    </w:p>
    <w:p>
      <w:pPr>
        <w:spacing w:after="0" w:line="8" w:lineRule="exact"/>
        <w:rPr>
          <w:rFonts w:ascii="Arial" w:cs="Arial" w:eastAsia="Arial" w:hAnsi="Arial"/>
          <w:sz w:val="18"/>
          <w:szCs w:val="18"/>
          <w:color w:val="auto"/>
        </w:rPr>
      </w:pPr>
    </w:p>
    <w:p>
      <w:pPr>
        <w:ind w:left="460" w:right="100" w:hanging="331"/>
        <w:spacing w:after="0" w:line="263" w:lineRule="auto"/>
        <w:tabs>
          <w:tab w:leader="none" w:pos="4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primarily with increased solid waste volumes on acquisition activity, and to a lesser extent, organic growth, higher fuel surcharges from third-party transporters, and higher non-processing, commodity and other processing volumes in our Resource Solutions operating segment.</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right="260"/>
        <w:spacing w:after="0" w:line="263" w:lineRule="auto"/>
        <w:rPr>
          <w:sz w:val="20"/>
          <w:szCs w:val="20"/>
          <w:color w:val="auto"/>
        </w:rPr>
      </w:pPr>
      <w:r>
        <w:rPr>
          <w:rFonts w:ascii="Arial" w:cs="Arial" w:eastAsia="Arial" w:hAnsi="Arial"/>
          <w:sz w:val="18"/>
          <w:szCs w:val="18"/>
          <w:color w:val="auto"/>
        </w:rPr>
        <w:t>Labor and related benefit costs increased $8.6 million quarterly, while increasing 100 basis points as a percentage of revenues, due primarily to wage inflation in our markets and increased overtime on higher solid waste volumes associated with an increased demand for services and acquisition activity, higher health insurance costs and higher workers compensation costs on claim activity.</w:t>
      </w:r>
    </w:p>
    <w:p>
      <w:pPr>
        <w:spacing w:after="0" w:line="76"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Maintenance and repair costs increased $7.3 million quarterly, while increasing 10 basis points as a percentage of revenues, due primarily to higher fleet, facility and container maintenance costs associated with inflation, acquisition activity, and an increased demand for services.</w:t>
      </w:r>
    </w:p>
    <w:p>
      <w:pPr>
        <w:spacing w:after="0" w:line="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Fuel costs increased $4.3 million quarterly, while increasing 130 basis points as a percentage of revenues, due to higher fuel prices and higher volumes driven by acquisition activity and an increased demand for services.</w:t>
      </w:r>
    </w:p>
    <w:p>
      <w:pPr>
        <w:spacing w:after="0" w:line="62"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Direct operational costs increased $2.5 million quarterly while decreasing (70) basis points as a percentage of revenues due to higher landfill operating costs in our Western region due to severe winter weather and construction delays, higher vehicle insurance costs and higher repair and replacement part costs, partially offset by lower host community and royalty fees.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General and administration expenses include management, clerical and administrative compensation and overhead, professional services and costs associated with marketing, sales force and community relations efforts.</w:t>
      </w:r>
    </w:p>
    <w:p>
      <w:pPr>
        <w:spacing w:after="0" w:line="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period-to-period change in general and administration expense can be primarily attributed to increased overhead costs associated with wage inflation and business growth, partially offset by lower equity compensation costs and lower bad debt expense.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6"/>
              <w:spacing w:after="0"/>
              <w:rPr>
                <w:sz w:val="20"/>
                <w:szCs w:val="20"/>
                <w:color w:val="auto"/>
              </w:rPr>
            </w:pPr>
            <w:r>
              <w:rPr>
                <w:rFonts w:ascii="Arial" w:cs="Arial" w:eastAsia="Arial" w:hAnsi="Arial"/>
                <w:sz w:val="14"/>
                <w:szCs w:val="14"/>
                <w:b w:val="1"/>
                <w:bCs w:val="1"/>
                <w:color w:val="auto"/>
              </w:rPr>
              <w:t>$</w:t>
            </w:r>
          </w:p>
        </w:tc>
      </w:tr>
      <w:tr>
        <w:trPr>
          <w:trHeight w:val="201"/>
        </w:trPr>
        <w:tc>
          <w:tcPr>
            <w:tcW w:w="32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2021</w:t>
            </w: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96"/>
              <w:spacing w:after="0"/>
              <w:rPr>
                <w:sz w:val="20"/>
                <w:szCs w:val="20"/>
                <w:color w:val="auto"/>
              </w:rPr>
            </w:pPr>
            <w:r>
              <w:rPr>
                <w:rFonts w:ascii="Arial" w:cs="Arial" w:eastAsia="Arial" w:hAnsi="Arial"/>
                <w:sz w:val="18"/>
                <w:szCs w:val="18"/>
                <w:color w:val="auto"/>
                <w:w w:val="87"/>
              </w:rPr>
              <w:t>5.3</w:t>
            </w: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center"/>
              <w:ind w:left="676"/>
              <w:spacing w:after="0"/>
              <w:rPr>
                <w:sz w:val="20"/>
                <w:szCs w:val="20"/>
                <w:color w:val="auto"/>
              </w:rPr>
            </w:pPr>
            <w:r>
              <w:rPr>
                <w:rFonts w:ascii="Arial" w:cs="Arial" w:eastAsia="Arial" w:hAnsi="Arial"/>
                <w:sz w:val="18"/>
                <w:szCs w:val="18"/>
                <w:color w:val="auto"/>
                <w:w w:val="97"/>
              </w:rPr>
              <w:t>(0.3)</w:t>
            </w:r>
          </w:p>
        </w:tc>
      </w:tr>
      <w:tr>
        <w:trPr>
          <w:trHeight w:val="23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5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96"/>
              <w:spacing w:after="0"/>
              <w:rPr>
                <w:sz w:val="20"/>
                <w:szCs w:val="20"/>
                <w:color w:val="auto"/>
              </w:rPr>
            </w:pPr>
            <w:r>
              <w:rPr>
                <w:rFonts w:ascii="Arial" w:cs="Arial" w:eastAsia="Arial" w:hAnsi="Arial"/>
                <w:sz w:val="18"/>
                <w:szCs w:val="18"/>
                <w:color w:val="auto"/>
                <w:w w:val="87"/>
              </w:rPr>
              <w:t>1.7</w:t>
            </w:r>
          </w:p>
        </w:tc>
      </w:tr>
      <w:tr>
        <w:trPr>
          <w:trHeight w:val="223"/>
        </w:trPr>
        <w:tc>
          <w:tcPr>
            <w:tcW w:w="32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center"/>
              <w:ind w:left="696"/>
              <w:spacing w:after="0"/>
              <w:rPr>
                <w:sz w:val="20"/>
                <w:szCs w:val="20"/>
                <w:color w:val="auto"/>
              </w:rPr>
            </w:pPr>
            <w:r>
              <w:rPr>
                <w:rFonts w:ascii="Arial" w:cs="Arial" w:eastAsia="Arial" w:hAnsi="Arial"/>
                <w:sz w:val="18"/>
                <w:szCs w:val="18"/>
                <w:color w:val="auto"/>
                <w:w w:val="87"/>
              </w:rPr>
              <w:t>6.7</w:t>
            </w:r>
          </w:p>
        </w:tc>
      </w:tr>
      <w:tr>
        <w:trPr>
          <w:trHeight w:val="20"/>
        </w:trPr>
        <w:tc>
          <w:tcPr>
            <w:tcW w:w="3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period-to-period increase in depreciation and other amortization expense can be primarily attributed to increased investments in our fleet and acquisition activity, which included $1.5 million of additional depreciation and other amortization expense related to a purchase price allocation adjustment in the three months ended March 31, 2022. Landfill amortization expense decreased primarily due to lower third-party and overall landfill volumes.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 from Acquisition Activities</w:t>
      </w:r>
    </w:p>
    <w:p>
      <w:pPr>
        <w:spacing w:after="0" w:line="11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In the three months ended March 31, 2022 and 2021, we recorded charges of $2.0 million and $0.4 million, respectively, comprised primarily of legal, consulting and other similar costs associated with the acquisition and integration of acquired businesses or select development projects.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interest expense, net decreased $(0.2) million quarterly due primarily to lower average interest rates on our debt associated with a lower interest rate spread associated with our amended and restated credit agreement ("Credit Agreement"), partially offset by higher average debt balances associated with borrowings against our amended and restated revolving credit facility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provision for income taxes decreased $(1.5) million quarterly as compared to the same period in the prior year, primarily due to the lower income from operations and the difference in the one-time adjustments for the tax benefit on equity compensation awards between the periods. The provision for income taxes in the three months ended March 31, 2022 included $0.5 million of current income taxes and $0.5 million of deferred income taxes. For the three months ended March 31, 2021, the provision included a $(0.1) million current income tax benefit and $2.3 million of deferred income taxes. The effective rate for the three months ended March 31, 2022 was 31%, before the one-time adjustments primarily related to tax effects of accumulated other comprehensive losses and equity compensation, and is computed based on the statutory rate of 21%, adjusted primarily for state taxes and nondeductible officer compensation.</w:t>
      </w:r>
    </w:p>
    <w:p>
      <w:pPr>
        <w:spacing w:after="0" w:line="8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On December 22, 2017, the Tax Cuts and Jobs Act (the “TCJ Act”) was enacted. The TCJ Act significantly changed U.S. corporate income tax laws by, among other things, changing carryforward rules for net operating losses. Our $52.4 million in federal net operating loss carryforwards generated as of the end of 2017 continue to be carried forward for 20 years and are expected to be available to fully offset taxable income earned in the fiscal year ending December 31, 2022 ("fiscal year 2022") and future tax years. Federal net operating losses generated after 2017, totaling $46.5 million carried forward to fiscal year 2022, will be carried forward indefinitely, but generally may only offset up to 80% of taxable income earned in a tax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reportable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8"/>
        </w:trPr>
        <w:tc>
          <w:tcPr>
            <w:tcW w:w="6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636"/>
              <w:spacing w:after="0"/>
              <w:rPr>
                <w:sz w:val="20"/>
                <w:szCs w:val="20"/>
                <w:color w:val="auto"/>
              </w:rPr>
            </w:pPr>
            <w:r>
              <w:rPr>
                <w:rFonts w:ascii="Arial" w:cs="Arial" w:eastAsia="Arial" w:hAnsi="Arial"/>
                <w:sz w:val="14"/>
                <w:szCs w:val="14"/>
                <w:b w:val="1"/>
                <w:bCs w:val="1"/>
                <w:color w:val="auto"/>
              </w:rPr>
              <w:t>$</w:t>
            </w:r>
          </w:p>
        </w:tc>
      </w:tr>
      <w:tr>
        <w:trPr>
          <w:trHeight w:val="196"/>
        </w:trPr>
        <w:tc>
          <w:tcPr>
            <w:tcW w:w="65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Change</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23"/>
        </w:trPr>
        <w:tc>
          <w:tcPr>
            <w:tcW w:w="65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0"/>
        </w:trPr>
        <w:tc>
          <w:tcPr>
            <w:tcW w:w="6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 in solid waste revenues (dollars in millions and as percentage growth of solid waste revenues) follows:</w:t>
      </w:r>
    </w:p>
    <w:p>
      <w:pPr>
        <w:spacing w:after="0" w:line="4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000"/>
        <w:spacing w:after="0"/>
        <w:rPr>
          <w:sz w:val="20"/>
          <w:szCs w:val="20"/>
          <w:color w:val="auto"/>
        </w:rPr>
      </w:pPr>
      <w:r>
        <w:rPr>
          <w:rFonts w:ascii="Arial" w:cs="Arial" w:eastAsia="Arial" w:hAnsi="Arial"/>
          <w:sz w:val="14"/>
          <w:szCs w:val="14"/>
          <w:b w:val="1"/>
          <w:bCs w:val="1"/>
          <w:color w:val="auto"/>
        </w:rPr>
        <w:t>Ended March 31, 2022 vs.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14.2</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27.2 %</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$2.8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$0.7 million from favorable disposal pricing related to transfer stations and landfills.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Volume.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$0.5 million from higher collection volumes as a result of increased activity and new customer acquisition;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$0.2 million from higher disposal volumes related to transfer stations, partially offset by lower landfill volumes; partially offset by</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$(0.1) million from lower processing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surcharges and other fees change component in quarterly solid waste revenues growth from the prior year period is the result of higher energy fee revenues on higher diesel fuel prices, partially offset by lower SRA Fees, on higher recycled commodity prices.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acquisitions change component in quarterly solid waste revenues growth from the prior year period is a result of increased acquisition activity in line with our growth strategy, including the following:</w:t>
      </w:r>
    </w:p>
    <w:p>
      <w:pPr>
        <w:spacing w:after="0" w:line="8" w:lineRule="exact"/>
        <w:rPr>
          <w:sz w:val="20"/>
          <w:szCs w:val="20"/>
          <w:color w:val="auto"/>
        </w:rPr>
      </w:pPr>
    </w:p>
    <w:p>
      <w:pPr>
        <w:ind w:left="460" w:right="480" w:hanging="331"/>
        <w:spacing w:after="0" w:line="277"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acquisition of a portable toilets business and a scrap metal collection business whose assets are partially allocated to our Eastern region; and</w:t>
      </w:r>
    </w:p>
    <w:p>
      <w:pPr>
        <w:spacing w:after="0" w:line="8" w:lineRule="exact"/>
        <w:rPr>
          <w:rFonts w:ascii="Arial" w:cs="Arial" w:eastAsia="Arial" w:hAnsi="Arial"/>
          <w:sz w:val="18"/>
          <w:szCs w:val="18"/>
          <w:color w:val="auto"/>
        </w:rPr>
      </w:pPr>
    </w:p>
    <w:p>
      <w:pPr>
        <w:ind w:left="460" w:right="140" w:hanging="331"/>
        <w:spacing w:after="0" w:line="259" w:lineRule="auto"/>
        <w:tabs>
          <w:tab w:leader="none" w:pos="4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prior year acquisition of a residential, commercial and roll-off collection business in eastern Connecticut that operates a rail-served C&amp;D processing and waste transfer facility, a waste transfer station, a single-stream recycling facility, and several other recycling operations whose assets and liabilities are partially allocated to our Eastern region; a solid-waste collection business that operates a waste transfer station; a septic and portable toilet business; and two tuck-in solid-waste collection businesses.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43" w:lineRule="exact"/>
        <w:rPr>
          <w:sz w:val="20"/>
          <w:szCs w:val="20"/>
          <w:color w:val="auto"/>
        </w:rPr>
      </w:pPr>
    </w:p>
    <w:p>
      <w:pPr>
        <w:jc w:val="center"/>
        <w:ind w:left="8000"/>
        <w:spacing w:after="0"/>
        <w:rPr>
          <w:sz w:val="20"/>
          <w:szCs w:val="20"/>
          <w:color w:val="auto"/>
        </w:rPr>
      </w:pPr>
      <w:r>
        <w:rPr>
          <w:rFonts w:ascii="Arial" w:cs="Arial" w:eastAsia="Arial" w:hAnsi="Arial"/>
          <w:sz w:val="14"/>
          <w:szCs w:val="14"/>
          <w:b w:val="1"/>
          <w:bCs w:val="1"/>
          <w:color w:val="auto"/>
        </w:rPr>
        <w:t>Period-to-Period Change for the Three Months</w:t>
      </w:r>
    </w:p>
    <w:p>
      <w:pPr>
        <w:jc w:val="center"/>
        <w:ind w:left="8000"/>
        <w:spacing w:after="0"/>
        <w:rPr>
          <w:sz w:val="20"/>
          <w:szCs w:val="20"/>
          <w:color w:val="auto"/>
        </w:rPr>
      </w:pPr>
      <w:r>
        <w:rPr>
          <w:rFonts w:ascii="Arial" w:cs="Arial" w:eastAsia="Arial" w:hAnsi="Arial"/>
          <w:sz w:val="14"/>
          <w:szCs w:val="14"/>
          <w:b w:val="1"/>
          <w:bCs w:val="1"/>
          <w:color w:val="auto"/>
        </w:rPr>
        <w:t>Ended March 31, 2022 vs. 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20" w:type="dxa"/>
            <w:vAlign w:val="bottom"/>
            <w:tcBorders>
              <w:bottom w:val="single" w:sz="8" w:color="CCEEFF"/>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 Growth</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Volume</w:t>
            </w:r>
          </w:p>
        </w:tc>
        <w:tc>
          <w:tcPr>
            <w:tcW w:w="104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0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Solid waste revenues</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10.0</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r>
      <w:tr>
        <w:trPr>
          <w:trHeight w:val="20"/>
        </w:trPr>
        <w:tc>
          <w:tcPr>
            <w:tcW w:w="8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from the prior year period is the result of the following:</w:t>
      </w:r>
    </w:p>
    <w:p>
      <w:pPr>
        <w:spacing w:after="0" w:line="63" w:lineRule="exact"/>
        <w:rPr>
          <w:sz w:val="20"/>
          <w:szCs w:val="20"/>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$3.5 million from favorable collection pricing; and</w:t>
      </w:r>
    </w:p>
    <w:p>
      <w:pPr>
        <w:spacing w:after="0" w:line="63" w:lineRule="exact"/>
        <w:rPr>
          <w:rFonts w:ascii="Arial" w:cs="Arial" w:eastAsia="Arial" w:hAnsi="Arial"/>
          <w:sz w:val="18"/>
          <w:szCs w:val="18"/>
          <w:color w:val="auto"/>
        </w:rPr>
      </w:pPr>
    </w:p>
    <w:p>
      <w:pPr>
        <w:ind w:left="440" w:hanging="311"/>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from favorable disposal pricing related to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surcharges and other fees change component in quarterly solid waste revenues growth from the prior year period is the result of higher energy fee revenues on higher diesel fuel prices, partially offset by lower SRA Fees, on higher recycled commodity prices.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commodity price and volume change component in quarterly solid waste revenues growth from the prior year period is primarily the result of favorable energy pricing and higher landfill gas-to-energy and commodity processing volumes.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Acquisitions.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acquisitions change component in quarterly solid waste revenues growth from the prior year period is the result of increased acquisition activity in line with our growth strategy, including the following:</w:t>
      </w:r>
    </w:p>
    <w:p>
      <w:pPr>
        <w:spacing w:after="0" w:line="8" w:lineRule="exact"/>
        <w:rPr>
          <w:sz w:val="20"/>
          <w:szCs w:val="20"/>
          <w:color w:val="auto"/>
        </w:rPr>
      </w:pPr>
    </w:p>
    <w:p>
      <w:pPr>
        <w:ind w:left="440" w:hanging="311"/>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acquisition of three tuck-in solid waste collection businesses; and</w:t>
      </w:r>
    </w:p>
    <w:p>
      <w:pPr>
        <w:spacing w:after="0" w:line="63" w:lineRule="exact"/>
        <w:rPr>
          <w:rFonts w:ascii="Arial" w:cs="Arial" w:eastAsia="Arial" w:hAnsi="Arial"/>
          <w:sz w:val="18"/>
          <w:szCs w:val="18"/>
          <w:color w:val="auto"/>
        </w:rPr>
      </w:pPr>
    </w:p>
    <w:p>
      <w:pPr>
        <w:ind w:left="460" w:right="300" w:hanging="331"/>
        <w:spacing w:after="0" w:line="308" w:lineRule="auto"/>
        <w:tabs>
          <w:tab w:leader="none" w:pos="4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and prior year acquisition of a solid-waste transfer station business, a waste composting and food-scrap hauling business, a solid-waste collection business that operates a waste transfer station, and two tuck-in solid-waste collection businesses.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88"/>
        </w:trPr>
        <w:tc>
          <w:tcPr>
            <w:tcW w:w="65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635"/>
              <w:spacing w:after="0"/>
              <w:rPr>
                <w:sz w:val="20"/>
                <w:szCs w:val="20"/>
                <w:color w:val="auto"/>
              </w:rPr>
            </w:pPr>
            <w:r>
              <w:rPr>
                <w:rFonts w:ascii="Arial" w:cs="Arial" w:eastAsia="Arial" w:hAnsi="Arial"/>
                <w:sz w:val="14"/>
                <w:szCs w:val="14"/>
                <w:b w:val="1"/>
                <w:bCs w:val="1"/>
                <w:color w:val="auto"/>
              </w:rPr>
              <w:t>$</w:t>
            </w:r>
          </w:p>
        </w:tc>
      </w:tr>
      <w:tr>
        <w:trPr>
          <w:trHeight w:val="196"/>
        </w:trPr>
        <w:tc>
          <w:tcPr>
            <w:tcW w:w="65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89"/>
              </w:rPr>
              <w:t>Change</w:t>
            </w:r>
          </w:p>
        </w:tc>
      </w:tr>
      <w:tr>
        <w:trPr>
          <w:trHeight w:val="224"/>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7"/>
              </w:rPr>
              <w:t>(4.4)</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center"/>
              <w:ind w:left="715"/>
              <w:spacing w:after="0"/>
              <w:rPr>
                <w:sz w:val="20"/>
                <w:szCs w:val="20"/>
                <w:color w:val="auto"/>
              </w:rPr>
            </w:pPr>
            <w:r>
              <w:rPr>
                <w:rFonts w:ascii="Arial" w:cs="Arial" w:eastAsia="Arial" w:hAnsi="Arial"/>
                <w:sz w:val="18"/>
                <w:szCs w:val="18"/>
                <w:color w:val="auto"/>
                <w:w w:val="87"/>
              </w:rPr>
              <w:t>1.5</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Resource solutions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715"/>
              <w:spacing w:after="0"/>
              <w:rPr>
                <w:sz w:val="20"/>
                <w:szCs w:val="20"/>
                <w:color w:val="auto"/>
              </w:rPr>
            </w:pPr>
            <w:r>
              <w:rPr>
                <w:rFonts w:ascii="Arial" w:cs="Arial" w:eastAsia="Arial" w:hAnsi="Arial"/>
                <w:sz w:val="18"/>
                <w:szCs w:val="18"/>
                <w:color w:val="auto"/>
                <w:w w:val="87"/>
              </w:rPr>
              <w:t>1.2</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entities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695"/>
              <w:spacing w:after="0"/>
              <w:rPr>
                <w:sz w:val="20"/>
                <w:szCs w:val="20"/>
                <w:color w:val="auto"/>
              </w:rPr>
            </w:pPr>
            <w:r>
              <w:rPr>
                <w:rFonts w:ascii="Arial" w:cs="Arial" w:eastAsia="Arial" w:hAnsi="Arial"/>
                <w:sz w:val="18"/>
                <w:szCs w:val="18"/>
                <w:color w:val="auto"/>
                <w:w w:val="97"/>
              </w:rPr>
              <w:t>(0.1)</w:t>
            </w:r>
          </w:p>
        </w:tc>
      </w:tr>
      <w:tr>
        <w:trPr>
          <w:trHeight w:val="248"/>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97"/>
              </w:rPr>
              <w:t>(1.8)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Operating income declined $(4.4) million quarterly from the prior year period. Excluding the impact of the Southbridge Landfill closure charge and the expense from acquisition activities, our operating performance in the three months ended March 31, 2022 was driven by the following cost impacts discussed below more than offsetting revenue growth, inclusive of inter-company revenues.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$20.4 million quarterly from the prior year period due to:</w:t>
      </w:r>
    </w:p>
    <w:p>
      <w:pPr>
        <w:spacing w:after="0" w:line="63" w:lineRule="exact"/>
        <w:rPr>
          <w:sz w:val="20"/>
          <w:szCs w:val="20"/>
          <w:color w:val="auto"/>
        </w:rPr>
      </w:pPr>
    </w:p>
    <w:p>
      <w:pPr>
        <w:ind w:left="460" w:right="80" w:hanging="331"/>
        <w:spacing w:after="0" w:line="277"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third-party disposal costs and higher hauling and third-party transportation costs associated with increased solid waste volumes on acquisition activity and, to a lesser extent, organic growth, and higher fuel surcharges from third-party transporters;</w:t>
      </w:r>
    </w:p>
    <w:p>
      <w:pPr>
        <w:spacing w:after="0" w:line="8" w:lineRule="exact"/>
        <w:rPr>
          <w:rFonts w:ascii="Arial" w:cs="Arial" w:eastAsia="Arial" w:hAnsi="Arial"/>
          <w:sz w:val="18"/>
          <w:szCs w:val="18"/>
          <w:color w:val="auto"/>
        </w:rPr>
      </w:pPr>
    </w:p>
    <w:p>
      <w:pPr>
        <w:ind w:left="460" w:right="20" w:hanging="331"/>
        <w:spacing w:after="0" w:line="263" w:lineRule="auto"/>
        <w:tabs>
          <w:tab w:leader="none" w:pos="4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labor and related benefit costs due primarily to wage inflation in our markets and increased overtime on higher solid waste volumes associated with acquisition activity and an increased demand for services, higher health insurance costs, and higher workers compensation costs on claim activity;</w:t>
      </w:r>
    </w:p>
    <w:p>
      <w:pPr>
        <w:spacing w:after="0" w:line="62" w:lineRule="exact"/>
        <w:rPr>
          <w:rFonts w:ascii="Arial" w:cs="Arial" w:eastAsia="Arial" w:hAnsi="Arial"/>
          <w:sz w:val="18"/>
          <w:szCs w:val="18"/>
          <w:color w:val="auto"/>
        </w:rPr>
      </w:pPr>
    </w:p>
    <w:p>
      <w:pPr>
        <w:ind w:left="460" w:right="460" w:hanging="331"/>
        <w:spacing w:after="0" w:line="232" w:lineRule="auto"/>
        <w:tabs>
          <w:tab w:leader="none" w:pos="455" w:val="left"/>
        </w:tabs>
        <w:numPr>
          <w:ilvl w:val="0"/>
          <w:numId w:val="19"/>
        </w:numPr>
        <w:rPr>
          <w:rFonts w:ascii="Arial" w:cs="Arial" w:eastAsia="Arial" w:hAnsi="Arial"/>
          <w:sz w:val="22"/>
          <w:szCs w:val="22"/>
          <w:color w:val="auto"/>
        </w:rPr>
      </w:pPr>
      <w:r>
        <w:rPr>
          <w:rFonts w:ascii="Arial" w:cs="Arial" w:eastAsia="Arial" w:hAnsi="Arial"/>
          <w:sz w:val="18"/>
          <w:szCs w:val="18"/>
          <w:color w:val="auto"/>
        </w:rPr>
        <w:t>higher maintenance and repair costs due primarily to higher fleet, facility and container maintenance costs associated with inflation, acquisition activity, and an increased demand for services;</w:t>
      </w:r>
    </w:p>
    <w:p>
      <w:pPr>
        <w:spacing w:after="0" w:line="59" w:lineRule="exact"/>
        <w:rPr>
          <w:rFonts w:ascii="Arial" w:cs="Arial" w:eastAsia="Arial" w:hAnsi="Arial"/>
          <w:sz w:val="22"/>
          <w:szCs w:val="22"/>
          <w:color w:val="auto"/>
        </w:rPr>
      </w:pPr>
    </w:p>
    <w:p>
      <w:pPr>
        <w:ind w:left="440" w:hanging="311"/>
        <w:spacing w:after="0"/>
        <w:tabs>
          <w:tab w:leader="none" w:pos="4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higher fuel costs due to higher fuel prices and higher volumes driven by acquisition activity and an increased demand for services; and</w:t>
      </w:r>
    </w:p>
    <w:p>
      <w:pPr>
        <w:spacing w:after="0" w:line="39" w:lineRule="exact"/>
        <w:rPr>
          <w:rFonts w:ascii="Arial" w:cs="Arial" w:eastAsia="Arial" w:hAnsi="Arial"/>
          <w:sz w:val="22"/>
          <w:szCs w:val="22"/>
          <w:color w:val="auto"/>
        </w:rPr>
      </w:pPr>
    </w:p>
    <w:p>
      <w:pPr>
        <w:ind w:left="440" w:hanging="311"/>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direct operational costs due to increased vehicle insurance costs and higher repair and replacement part costs.</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$1.7 million quarterly from the prior year period due to increased overhead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wage inflation and business growth; partially offset by lower equity compensation costs and lower bad debt expense.</w:t>
      </w:r>
    </w:p>
    <w:p>
      <w:pPr>
        <w:spacing w:after="0" w:line="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$4.8 million quarterly from the prior year period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in our fleet and acquisition activity, which included additional depreciation and other amortization expense related to a purchase price allocation adjustment in the three months ended March 31, 2022. Landfill amortization expense decreased primarily due to lower third-party and overall landfill volumes.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Operating income increased $1.5 million quarterly from the prior year period. Excluding the impact of the expense from acquisition activities, our improved operating performance in the three months ended March 31, 2022 was driven by revenue growth, inclusive of inter-company revenues, more than offsetting the following cost changes.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$10.8 million quarterly from the prior year period due to:</w:t>
      </w:r>
    </w:p>
    <w:p>
      <w:pPr>
        <w:spacing w:after="0" w:line="158" w:lineRule="exact"/>
        <w:rPr>
          <w:sz w:val="20"/>
          <w:szCs w:val="20"/>
          <w:color w:val="auto"/>
        </w:rPr>
      </w:pPr>
    </w:p>
    <w:p>
      <w:pPr>
        <w:ind w:left="460" w:right="60" w:hanging="331"/>
        <w:spacing w:after="0" w:line="232" w:lineRule="auto"/>
        <w:tabs>
          <w:tab w:leader="none" w:pos="455" w:val="left"/>
        </w:tabs>
        <w:numPr>
          <w:ilvl w:val="0"/>
          <w:numId w:val="20"/>
        </w:numPr>
        <w:rPr>
          <w:rFonts w:ascii="Arial" w:cs="Arial" w:eastAsia="Arial" w:hAnsi="Arial"/>
          <w:sz w:val="22"/>
          <w:szCs w:val="22"/>
          <w:color w:val="auto"/>
        </w:rPr>
      </w:pPr>
      <w:r>
        <w:rPr>
          <w:rFonts w:ascii="Arial" w:cs="Arial" w:eastAsia="Arial" w:hAnsi="Arial"/>
          <w:sz w:val="18"/>
          <w:szCs w:val="18"/>
          <w:color w:val="auto"/>
        </w:rPr>
        <w:t>higher third-party disposal costs and higher hauling and third-party transportation costs associated with increased solid waste volumes on acquisition activity, and higher fuel surcharges from third-party transporters;</w:t>
      </w:r>
    </w:p>
    <w:p>
      <w:pPr>
        <w:spacing w:after="0" w:line="41" w:lineRule="exact"/>
        <w:rPr>
          <w:rFonts w:ascii="Arial" w:cs="Arial" w:eastAsia="Arial" w:hAnsi="Arial"/>
          <w:sz w:val="22"/>
          <w:szCs w:val="22"/>
          <w:color w:val="auto"/>
        </w:rPr>
      </w:pPr>
    </w:p>
    <w:p>
      <w:pPr>
        <w:ind w:left="460" w:hanging="331"/>
        <w:spacing w:after="0" w:line="27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labor and related benefit costs due primarily to wage inflation in our markets and increased overtime on higher solid waste volumes associated with acquisition activity, higher health insurance costs, and higher workers compensation costs on claim activity;</w:t>
      </w:r>
    </w:p>
    <w:p>
      <w:pPr>
        <w:spacing w:after="0" w:line="48" w:lineRule="exact"/>
        <w:rPr>
          <w:rFonts w:ascii="Arial" w:cs="Arial" w:eastAsia="Arial" w:hAnsi="Arial"/>
          <w:sz w:val="18"/>
          <w:szCs w:val="18"/>
          <w:color w:val="auto"/>
        </w:rPr>
      </w:pPr>
    </w:p>
    <w:p>
      <w:pPr>
        <w:ind w:left="440" w:hanging="311"/>
        <w:spacing w:after="0"/>
        <w:tabs>
          <w:tab w:leader="none" w:pos="440" w:val="left"/>
        </w:tabs>
        <w:numPr>
          <w:ilvl w:val="0"/>
          <w:numId w:val="20"/>
        </w:numPr>
        <w:rPr>
          <w:rFonts w:ascii="Arial" w:cs="Arial" w:eastAsia="Arial" w:hAnsi="Arial"/>
          <w:sz w:val="19"/>
          <w:szCs w:val="19"/>
          <w:color w:val="auto"/>
        </w:rPr>
      </w:pPr>
      <w:r>
        <w:rPr>
          <w:rFonts w:ascii="Arial" w:cs="Arial" w:eastAsia="Arial" w:hAnsi="Arial"/>
          <w:sz w:val="16"/>
          <w:szCs w:val="16"/>
          <w:color w:val="auto"/>
        </w:rPr>
        <w:t>higher maintenance and repair costs due primarily to higher fleet and facility maintenance costs associated with inflation and acquisition activity;</w:t>
      </w:r>
    </w:p>
    <w:p>
      <w:pPr>
        <w:spacing w:after="0" w:line="69" w:lineRule="exact"/>
        <w:rPr>
          <w:rFonts w:ascii="Arial" w:cs="Arial" w:eastAsia="Arial" w:hAnsi="Arial"/>
          <w:sz w:val="19"/>
          <w:szCs w:val="19"/>
          <w:color w:val="auto"/>
        </w:rPr>
      </w:pPr>
    </w:p>
    <w:p>
      <w:pPr>
        <w:ind w:left="440" w:hanging="311"/>
        <w:spacing w:after="0"/>
        <w:tabs>
          <w:tab w:leader="none" w:pos="440" w:val="left"/>
        </w:tabs>
        <w:numPr>
          <w:ilvl w:val="0"/>
          <w:numId w:val="20"/>
        </w:numPr>
        <w:rPr>
          <w:rFonts w:ascii="Arial" w:cs="Arial" w:eastAsia="Arial" w:hAnsi="Arial"/>
          <w:sz w:val="22"/>
          <w:szCs w:val="22"/>
          <w:color w:val="auto"/>
        </w:rPr>
      </w:pPr>
      <w:r>
        <w:rPr>
          <w:rFonts w:ascii="Arial" w:cs="Arial" w:eastAsia="Arial" w:hAnsi="Arial"/>
          <w:sz w:val="18"/>
          <w:szCs w:val="18"/>
          <w:color w:val="auto"/>
        </w:rPr>
        <w:t>higher fuel costs due to higher fuel prices and higher volumes driven by acquisition activity and an increased demand for services; and</w:t>
      </w:r>
    </w:p>
    <w:p>
      <w:pPr>
        <w:spacing w:after="0" w:line="39" w:lineRule="exact"/>
        <w:rPr>
          <w:rFonts w:ascii="Arial" w:cs="Arial" w:eastAsia="Arial" w:hAnsi="Arial"/>
          <w:sz w:val="22"/>
          <w:szCs w:val="22"/>
          <w:color w:val="auto"/>
        </w:rPr>
      </w:pPr>
    </w:p>
    <w:p>
      <w:pPr>
        <w:ind w:left="460" w:right="200" w:hanging="331"/>
        <w:spacing w:after="0" w:line="277"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higher direct operational costs due to higher landfill operating costs due to severe winter weather and construction delays, higher vehicle insurance costs and higher repair and replacement part costs, partially offset by lower host community and royalty fees.</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$0.3 million quarterly from the prior year period due to increased overhead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wage inflation and business growth and higher bad debt expense; partially offset by lower equity compensation costs.</w:t>
      </w:r>
    </w:p>
    <w:p>
      <w:pPr>
        <w:spacing w:after="0" w:line="16"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increased $0.6 million quarterly from the prior year period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in our fleet and acquisition activity. Landfill amortization expense decreased primarily due to lower third-party and overall landfill volumes.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Resource Solutions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Operating income increased $1.2 million quarterly from the prior year period driven primarily by the operating performance of processing services. Excluding the impact of the expense from acquisition activities, our improved operating performance in the three months ended March 31, 2022 was driven by revenue growth, inclusive of inter-company revenues, more than offsetting the following cost changes.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$11.3 million quarterly from the prior year period due to:</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purchased material costs associated with acquisition activity and higher recycling commodity prices;</w:t>
      </w:r>
    </w:p>
    <w:p>
      <w:pPr>
        <w:spacing w:after="0" w:line="6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primarily with higher non-processing and other processing volumes, and higher fuel surcharges from third-party transporters;</w:t>
      </w:r>
    </w:p>
    <w:p>
      <w:pPr>
        <w:spacing w:after="0" w:line="8"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labor and related benefit costs due primarily to wage inflation in our markets and increased overtime on higher commodity, non-processing and other processing volumes associated with acquisition activity, and higher health insurance costs;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higher maintenance and repair costs due primarily to higher facility and container maintenance costs associated with inflation, acquisition activity, and an increased demand for services.</w:t>
      </w:r>
    </w:p>
    <w:p>
      <w:pPr>
        <w:spacing w:after="0" w:line="62"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$0.3 million quarterly from the prior year period due to increased overhead</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wage inflation and business growth; partially offset by lower bad debt expense and lower equity compensation costs.</w:t>
      </w:r>
    </w:p>
    <w:p>
      <w:pPr>
        <w:spacing w:after="0" w:line="1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$1.2 million quarterly from the prior year period due to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activity, which included additional depreciation and other amortization expense related to a purchase price allocation adjustment in the three months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continually monitor our actual and forecasted cash flows, our liquidity, and our capital requirements in order to properly manage our liquidity needs as we move forward based on the capital intensive nature of our business and our growth acquisition strategy. We have $252.8 million of undrawn capacity from our $300.0 million Revolving Credit Facility as of March 31, 2022 to help meet our short-term and long-term liquidity needs.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A summary of cash and cash equivalents, restricted assets and debt balances, excluding any debt issuance costs (in millions)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4"/>
                <w:szCs w:val="14"/>
                <w:color w:val="auto"/>
              </w:rPr>
            </w:pPr>
          </w:p>
        </w:tc>
        <w:tc>
          <w:tcPr>
            <w:tcW w:w="1160" w:type="dxa"/>
            <w:vAlign w:val="bottom"/>
          </w:tcPr>
          <w:p>
            <w:pPr>
              <w:jc w:val="right"/>
              <w:ind w:right="21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4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740" w:type="dxa"/>
            <w:vAlign w:val="bottom"/>
            <w:tcBorders>
              <w:bottom w:val="single" w:sz="8" w:color="CCEEFF"/>
            </w:tcBorders>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investment securities - landfill closure</w:t>
            </w:r>
          </w:p>
        </w:tc>
        <w:tc>
          <w:tcPr>
            <w:tcW w:w="9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Non-current portion</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674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18"/>
                <w:szCs w:val="18"/>
                <w:color w:val="auto"/>
              </w:rPr>
            </w:pPr>
          </w:p>
        </w:tc>
        <w:tc>
          <w:tcPr>
            <w:tcW w:w="3060" w:type="dxa"/>
            <w:vAlign w:val="bottom"/>
            <w:gridSpan w:val="6"/>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center"/>
              <w:ind w:right="1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jc w:val="right"/>
              <w:ind w:right="717"/>
              <w:spacing w:after="0"/>
              <w:rPr>
                <w:sz w:val="20"/>
                <w:szCs w:val="20"/>
                <w:color w:val="auto"/>
              </w:rPr>
            </w:pPr>
            <w:r>
              <w:rPr>
                <w:rFonts w:ascii="Arial" w:cs="Arial" w:eastAsia="Arial" w:hAnsi="Arial"/>
                <w:sz w:val="18"/>
                <w:szCs w:val="18"/>
                <w:color w:val="auto"/>
                <w:w w:val="7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3"/>
              </w:rPr>
              <w:t>(62.5)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shd w:val="clear" w:color="auto" w:fill="CCEEFF"/>
          </w:tcPr>
          <w:p>
            <w:pPr>
              <w:jc w:val="right"/>
              <w:ind w:right="717"/>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97"/>
        </w:trPr>
        <w:tc>
          <w:tcPr>
            <w:tcW w:w="6740" w:type="dxa"/>
            <w:vAlign w:val="bottom"/>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40" w:type="dxa"/>
            <w:vAlign w:val="bottom"/>
          </w:tcPr>
          <w:p>
            <w:pPr>
              <w:spacing w:after="0"/>
              <w:rPr>
                <w:sz w:val="20"/>
                <w:szCs w:val="20"/>
                <w:color w:val="auto"/>
              </w:rPr>
            </w:pPr>
            <w:r>
              <w:rPr>
                <w:rFonts w:ascii="Arial" w:cs="Arial" w:eastAsia="Arial" w:hAnsi="Arial"/>
                <w:sz w:val="18"/>
                <w:szCs w:val="18"/>
                <w:color w:val="auto"/>
              </w:rPr>
              <w:t>A summary of operating cash flows (in millions) follows: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4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right-of-use assets expense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Arial" w:cs="Arial" w:eastAsia="Arial" w:hAnsi="Arial"/>
                <w:sz w:val="18"/>
                <w:szCs w:val="18"/>
                <w:color w:val="auto"/>
              </w:rPr>
              <w:t>Gain on sale of property and equipment</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expense from acquisition activities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Deferred income taxes</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assets and liabilities, net</w:t>
            </w:r>
          </w:p>
        </w:tc>
        <w:tc>
          <w:tcPr>
            <w:tcW w:w="9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cash provided by operating activities decreased $(7.4) million in the three months ended March 31, 2022 as compared to the three months ended March 31, 2021. This was the result of improved operational performance being more than offset by an increase in the unfavorable cash flow impact associated with the changes in our assets and liabilities, net of effects of acquisitions and divestitures. For discussion of our improved operational performance in the three months ended March 31, 2022 as compared to the three months ended March 31, 2021, see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above. The increase in the unfavorable cash flow impact associated with the changes in our assets and liabilities, net of effects of acquisitions and divestitures, which are affected by both cost changes and the timing of payments, in the three months ended March 31, 2022 as compared to the three months ended March 31, 2021 was primarily due to the following:</w:t>
      </w:r>
    </w:p>
    <w:p>
      <w:pPr>
        <w:spacing w:after="0" w:line="87" w:lineRule="exact"/>
        <w:rPr>
          <w:sz w:val="20"/>
          <w:szCs w:val="20"/>
          <w:color w:val="auto"/>
        </w:rPr>
      </w:pPr>
    </w:p>
    <w:p>
      <w:pPr>
        <w:ind w:left="500" w:right="240" w:hanging="330"/>
        <w:spacing w:after="0" w:line="277" w:lineRule="auto"/>
        <w:tabs>
          <w:tab w:leader="none" w:pos="4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$(7.5) million unfavorable impact to operating cash flows associated with the change in accounts receivable associated with acquisition activity;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500" w:right="440" w:hanging="330"/>
        <w:spacing w:after="0" w:line="277" w:lineRule="auto"/>
        <w:tabs>
          <w:tab w:leader="none" w:pos="4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$(6.8) million unfavorable impact to operating cash flows associated with the change in accrued expenses and other liabilities associated with lower incentive compensation.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1"/>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Acquisitions, net of cash acquired. </w:t>
      </w:r>
      <w:r>
        <w:rPr>
          <w:rFonts w:ascii="Arial" w:cs="Arial" w:eastAsia="Arial" w:hAnsi="Arial"/>
          <w:sz w:val="18"/>
          <w:szCs w:val="18"/>
          <w:color w:val="auto"/>
        </w:rPr>
        <w:t>In the three months ended March 31, 2022, we acquired six businesses for total consideration of $53.5 million,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$49.8 million in cash, as compared to the three months ended March 31, 2021 during which we acquired one tuck-in solid waste collection and recycling business in our Western region for total consideration of $3.9 million, including $3.5 million in cash, and paid $1.1 million in holdback payments on businesses previously acquired.</w:t>
      </w:r>
    </w:p>
    <w:p>
      <w:pPr>
        <w:spacing w:after="0" w:line="79"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were $13.9 million lower in the three months ended March 31, 2022 as compared to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2021 primarily due to the timing of capital spend pertaining to our fleet, which has been delayed due to supply issues, and completion of construction and development of phase VI at our Subtitle D landfill in Coventry, Vermont in the fiscal year ended December 31, 2021.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3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jc w:val="center"/>
        <w:ind w:left="82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Principal payments on debt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Debt activity</w:t>
      </w:r>
      <w:r>
        <w:rPr>
          <w:rFonts w:ascii="Arial" w:cs="Arial" w:eastAsia="Arial" w:hAnsi="Arial"/>
          <w:sz w:val="18"/>
          <w:szCs w:val="18"/>
          <w:color w:val="auto"/>
        </w:rPr>
        <w:t>. Net cash associated with debt activity increased $19.4 million. The increase in financing cash flows in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is due to increased borrowings on our Revolving Credit Facility associated with acquisition activity.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As of March 31, 2022, we had outstanding $350.0 million aggregate principal amount of borrowings under our term loan A facility ("Term Loan Facility") and $19.0 million in borrowings under our $300.0 million Revolving Credit Facility, with a $75.0 million sublimit for letters of credit.(the Term Loan Facility and the Revolving Credit Facility together, the “Credit Facility”). The Credit Facility has a 5-year term that matures in December 2026 and bears interest at a rate of LIBOR plus 1.375% per annum, which will be reduced to a rate of LIBOR plus as low as 1.125% upon us reaching a consolidated net leverage ratio of less than 2.25x. The Credit Facility contains customary benchmark replacement provisions pursuant to which, upon certain triggering events, the LIBOR benchmark used to calculate the LIBOR rate will be replaced with a secured overnight financing rate, as adjusted, on the terms and conditions in the Credit Facility. The Credit Facility is guaranteed jointly and severally, fully and unconditionally by all of our significant wholly-owned subsidiaries and secured by substantially all of our assets. As of March 31, 2022, further advances were available under the Credit Facility in the amount of $252.8 million. The available amount is net of outstanding irrevocable letters of credit totaling $28.2 million, and as of March 31, 2022 no amount had been drawn. We have the right to request, at our discretion, an increase in the amount of loans under the Credit Facility by an aggregate amount of $125.0 million, subject to the terms and conditions set forth in the Credit Agreement.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In addition to these financial covenants, the Credit Agreement also contains a number of important customary affirmative and negative covenants which restrict, among other things, our ability to sell assets, incur additional debt, create liens, make investments, and pay dividends. As of March 31, 2022, we were in compliance with the covenants contained in the Credit Agreement.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 and Other Debt</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As of March 31, 2022, we had outstanding $162.0 million aggregate principal amount of tax exempt bonds, $44.8 million aggregate principal amount of finance leases and $4.4 million aggregate principal amount of notes payable. See Note 7,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our consolidated financial statements included in Part I, Item 1 of this Quarterly Report on Form 10-Q for further disclosure over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Inflationary increases in costs, including current inflationary pressures associated primarily with fuel, labor and certain capital items, have affected, and may continue to affect, our operating margins. While rapid inflation negatively impacted operating results and margins during the three months ended March 31, 2022, we believe that our flexible pricing structures and mature cost recovery fees will allow us to recover certain of the cost of inflation from our customer base. Consistent with industry practice, most of our contracts provide for a pass-through of certain costs to our customers, including increases in landfill tipping fees and in some cases fuel costs, intended to 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Despite these programs,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121"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12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 the volume of waste relating to C&amp;D activities decreases substantially during the winter months in the northeastern United States.</w:t>
      </w:r>
    </w:p>
    <w:p>
      <w:pPr>
        <w:spacing w:after="0" w:line="76"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processing line-of-business in the Resource Solutions operating segment experiences increased volumes of fiber in November and December due to increased retail activity during the holiday season.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12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financial statements have been prepared in accordance with generally accepted accounting principles in the United States and necessarily include certain estimates and judgments made by management.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Our critical accounting estimates are more fully discussed in Item 7,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of our Annual Report on Form 10-K for the fiscal year ended December 31,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121"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color w:val="auto"/>
        </w:rPr>
        <w:t>Our strategy to reduce exposure to interest rate risk involves entering into interest rate derivative agreements to hedge against adverse movements in interest rates related to the variable rate portion of our long-term debt. We have designated these derivative instruments as highly effective cash flow hedges, and therefore the change in fair value is recorded in our stockholders’ equity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 and included in cash flows from operating activities.</w:t>
      </w:r>
    </w:p>
    <w:p>
      <w:pPr>
        <w:spacing w:after="0" w:line="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March 31, 2022, our active interest rate derivative agreements had total notional amounts of $195.0 million. According to the terms of the agreements, we receive interest based on the 1-month LIBOR index, in some instances restricted by a 0.0% floor, and pay interest at a weighted average rate of approximately 2.48% as of March 31, 2022. The agreements mature between June 2022 and February 2027. Additionally, as of March 31, 2022, we have forward starting interest rate derivative agreements with total notional amounts of $60.0 million that mature between June 2027 and May 2028. We will receive interest based on the 1-month LIBOR index, restricted by a 0.0% floor, and will pay interest at a weighted average rate of approximately 1.44%.</w:t>
      </w:r>
    </w:p>
    <w:p>
      <w:pPr>
        <w:spacing w:after="0" w:line="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March 31, 2022, we had $211.2 million of fixed rate debt in addition to the $195.0 million fixed through our interest rate derivative agreements. We had interest rate risk relating to approximately $174.0 million of long-term debt as of March 31, 2022. The weighted average interest rate on the variable rate portion of long-term debt was approximately 1.8% at March 31, 2022. Should the average interest rate on the variable rate portion of long-term debt change by 100 basis points, we estimate that our annual interest expense would change by up to approximately $1.7 million.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Information about commodity price volatility market risk as of March 31, 2022 does not differ materially from that discussed in Item 7A, "</w:t>
      </w:r>
      <w:r>
        <w:rPr>
          <w:rFonts w:ascii="Arial" w:cs="Arial" w:eastAsia="Arial" w:hAnsi="Arial"/>
          <w:sz w:val="17"/>
          <w:szCs w:val="17"/>
          <w:i w:val="1"/>
          <w:iCs w:val="1"/>
          <w:color w:val="auto"/>
        </w:rPr>
        <w:t>Quantitative and</w:t>
      </w:r>
      <w:r>
        <w:rPr>
          <w:rFonts w:ascii="Arial" w:cs="Arial" w:eastAsia="Arial" w:hAnsi="Arial"/>
          <w:sz w:val="17"/>
          <w:szCs w:val="17"/>
          <w:color w:val="auto"/>
        </w:rPr>
        <w:t xml:space="preserve"> </w:t>
      </w:r>
      <w:r>
        <w:rPr>
          <w:rFonts w:ascii="Arial" w:cs="Arial" w:eastAsia="Arial" w:hAnsi="Arial"/>
          <w:sz w:val="17"/>
          <w:szCs w:val="17"/>
          <w:i w:val="1"/>
          <w:iCs w:val="1"/>
          <w:color w:val="auto"/>
        </w:rPr>
        <w:t>Qualitative Disclosures About Market Risk</w:t>
      </w:r>
      <w:r>
        <w:rPr>
          <w:rFonts w:ascii="Arial" w:cs="Arial" w:eastAsia="Arial" w:hAnsi="Arial"/>
          <w:sz w:val="17"/>
          <w:szCs w:val="17"/>
          <w:color w:val="auto"/>
        </w:rPr>
        <w:t>" of our Annual Report on Form 10-K for the fiscal year ended December 31, 2021.</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6" w:name="page37"/>
    <w:bookmarkEnd w:id="36"/>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our disclosure controls and procedures as of March 31,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71"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three months ended March 31, 2022 that has materially affected, or is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37" w:name="page38"/>
    <w:bookmarkEnd w:id="37"/>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Legal Proceedings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The information required by this Item is provided in Note 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to our consolidated financial statements included in Part I, Item 1 of this Quarterly Report on Form 10-Q.</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 over Certain Environmental Matters Involving Governmental Authorities with Possible Sanctions of $1,000,000 or More</w:t>
      </w:r>
    </w:p>
    <w:p>
      <w:pPr>
        <w:spacing w:after="0" w:line="13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Item 103 of the SEC's Regulation S-K requires disclosure of certain environmental matters when a governmental authority is a party to the proceedings and the proceedings involve potential monetary sanctions unless we reasonably believe the monetary sanctions will not equal or exceed a specified threshold which we determine is reasonably designed to result in disclosure of any such proceeding that is material to our business or financial condition. Pursuant to Item 103, we have determined such disclosure threshold to be $1,000,000. We have no matters to disclose in accordance with that requirement.</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38" w:name="page39"/>
    <w:bookmarkEnd w:id="38"/>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business is subject to a number of risks, including those identified in Item 1A, “</w:t>
      </w:r>
      <w:r>
        <w:rPr>
          <w:rFonts w:ascii="Arial" w:cs="Arial" w:eastAsia="Arial" w:hAnsi="Arial"/>
          <w:sz w:val="18"/>
          <w:szCs w:val="18"/>
          <w:i w:val="1"/>
          <w:iCs w:val="1"/>
          <w:color w:val="auto"/>
        </w:rPr>
        <w:t>Risk Factors</w:t>
      </w:r>
      <w:r>
        <w:rPr>
          <w:rFonts w:ascii="Arial" w:cs="Arial" w:eastAsia="Arial" w:hAnsi="Arial"/>
          <w:sz w:val="18"/>
          <w:szCs w:val="18"/>
          <w:color w:val="auto"/>
        </w:rPr>
        <w:t>” of our Annual Report on Form 10-K for the fiscal year ended December 31, 2021, that could have a material effect on our business, results of operations, financial condition and/or liquidity and that could cause our operating results to vary significantly from period to period. We may disclose additional changes to our risk factors or disclose additional factors from time to time in our future filings with the Securities and Exchange Commission.</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100" w:type="dxa"/>
            <w:vAlign w:val="bottom"/>
            <w:gridSpan w:val="7"/>
            <w:vMerge w:val="restart"/>
          </w:tcPr>
          <w:p>
            <w:pPr>
              <w:ind w:left="3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No.</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10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20" w:type="dxa"/>
            <w:vAlign w:val="bottom"/>
            <w:tcBorders>
              <w:top w:val="single" w:sz="8" w:color="auto"/>
            </w:tcBorders>
            <w:gridSpan w:val="8"/>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Employment Agreement between Casella Waste Systems, Inc. and Kevin Drohan effective as of April 1, 2022 (incorporated herein by</w:t>
              </w:r>
            </w:hyperlink>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57">
              <w:r>
                <w:rPr>
                  <w:rFonts w:ascii="Arial" w:cs="Arial" w:eastAsia="Arial" w:hAnsi="Arial"/>
                  <w:sz w:val="18"/>
                  <w:szCs w:val="18"/>
                  <w:color w:val="0000FF"/>
                </w:rPr>
                <w:t>reference to Exhibit 10.1 to the Current Report on Form 8-K of Casella as filed on March 31, 2022 (file no. 000-23211)).</w:t>
              </w:r>
            </w:hyperlink>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7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31.1 +</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John W. Casella, Principal Executive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9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0"/>
              </w:rPr>
              <w:t>31.2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Edmond R. Coletta, Principal Financial Officer, pursuant to Section 302 of the Sarbanes – Oxley Act of 2002.</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14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32.1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of Chief Executive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Act of 2002.</w:t>
              </w:r>
            </w:hyperlink>
          </w:p>
        </w:tc>
        <w:tc>
          <w:tcPr>
            <w:tcW w:w="8860" w:type="dxa"/>
            <w:vAlign w:val="bottom"/>
            <w:tcBorders>
              <w:top w:val="single" w:sz="8" w:color="0000FF"/>
            </w:tcBorders>
            <w:gridSpan w:val="6"/>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060" w:type="dxa"/>
            <w:vAlign w:val="bottom"/>
          </w:tcPr>
          <w:p>
            <w:pPr>
              <w:jc w:val="center"/>
              <w:spacing w:after="0"/>
              <w:rPr>
                <w:sz w:val="20"/>
                <w:szCs w:val="20"/>
                <w:color w:val="auto"/>
              </w:rPr>
            </w:pPr>
            <w:r>
              <w:rPr>
                <w:rFonts w:ascii="Arial" w:cs="Arial" w:eastAsia="Arial" w:hAnsi="Arial"/>
                <w:sz w:val="18"/>
                <w:szCs w:val="18"/>
                <w:color w:val="auto"/>
                <w:w w:val="91"/>
              </w:rPr>
              <w:t>32.2 ++</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8"/>
          </w:tcPr>
          <w:p>
            <w:pPr>
              <w:spacing w:after="0"/>
              <w:rPr>
                <w:rFonts w:ascii="Arial" w:cs="Arial" w:eastAsia="Arial" w:hAnsi="Arial"/>
                <w:sz w:val="18"/>
                <w:szCs w:val="18"/>
                <w:color w:val="0000FF"/>
                <w:w w:val="93"/>
              </w:rPr>
            </w:pPr>
            <w:hyperlink w:anchor="page44">
              <w:r>
                <w:rPr>
                  <w:rFonts w:ascii="Arial" w:cs="Arial" w:eastAsia="Arial" w:hAnsi="Arial"/>
                  <w:sz w:val="18"/>
                  <w:szCs w:val="18"/>
                  <w:color w:val="0000FF"/>
                  <w:w w:val="93"/>
                </w:rPr>
                <w:t>Certification of Chief Financial Officer pursuant to 18 U.S.C. Section 1350, as adopted pursuant to Section 906 of the Sarbanes- Oxley</w:t>
              </w:r>
            </w:hyperlink>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44">
              <w:r>
                <w:rPr>
                  <w:rFonts w:ascii="Arial" w:cs="Arial" w:eastAsia="Arial" w:hAnsi="Arial"/>
                  <w:sz w:val="18"/>
                  <w:szCs w:val="18"/>
                  <w:color w:val="0000FF"/>
                  <w:w w:val="93"/>
                </w:rPr>
                <w:t>Act of 2002.</w:t>
              </w:r>
            </w:hyperlink>
          </w:p>
        </w:tc>
        <w:tc>
          <w:tcPr>
            <w:tcW w:w="8800" w:type="dxa"/>
            <w:vAlign w:val="bottom"/>
            <w:tcBorders>
              <w:top w:val="single" w:sz="8" w:color="0000FF"/>
            </w:tcBorders>
            <w:gridSpan w:val="5"/>
          </w:tcPr>
          <w:p>
            <w:pPr>
              <w:spacing w:after="0"/>
              <w:rPr>
                <w:sz w:val="13"/>
                <w:szCs w:val="13"/>
                <w:color w:val="auto"/>
              </w:rPr>
            </w:pPr>
          </w:p>
        </w:tc>
        <w:tc>
          <w:tcPr>
            <w:tcW w:w="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7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101.INS</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8"/>
              </w:rPr>
              <w:t>The instance document does not appear in the interactive data file because its XBRL tags are embedded within the inline XBRL</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101.SCH</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101.CAL</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Calculation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101.LAB</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Label Linkbase Document.**</w:t>
            </w:r>
          </w:p>
        </w:tc>
        <w:tc>
          <w:tcPr>
            <w:tcW w:w="0" w:type="dxa"/>
            <w:vAlign w:val="bottom"/>
          </w:tcPr>
          <w:p>
            <w:pPr>
              <w:spacing w:after="0"/>
              <w:rPr>
                <w:sz w:val="1"/>
                <w:szCs w:val="1"/>
                <w:color w:val="auto"/>
              </w:rPr>
            </w:pPr>
          </w:p>
        </w:tc>
      </w:tr>
      <w:tr>
        <w:trPr>
          <w:trHeight w:val="283"/>
        </w:trPr>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101.PRE</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Presentation Linkbase Document.**</w:t>
            </w:r>
          </w:p>
        </w:tc>
        <w:tc>
          <w:tcPr>
            <w:tcW w:w="0" w:type="dxa"/>
            <w:vAlign w:val="bottom"/>
          </w:tcPr>
          <w:p>
            <w:pPr>
              <w:spacing w:after="0"/>
              <w:rPr>
                <w:sz w:val="1"/>
                <w:szCs w:val="1"/>
                <w:color w:val="auto"/>
              </w:rPr>
            </w:pPr>
          </w:p>
        </w:tc>
      </w:tr>
      <w:tr>
        <w:trPr>
          <w:trHeight w:val="284"/>
        </w:trPr>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101.DEF</w:t>
            </w: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06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8"/>
          </w:tcPr>
          <w:p>
            <w:pPr>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200" w:right="180" w:hanging="742"/>
        <w:spacing w:after="0" w:line="233"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Submitted Electronically Herewith. Attached as Exhibit 101 to this report are the following formatted in inline XBRL (Extensible Business Reporting Language): (i) Consolidated Balance Sheets as of March 31, 2022 and December 31, 2021, (ii) Consolidated Statements of Operations for the three months ended March 31, 2022 and 2021, (iii) Consolidated Statements of Comprehensive Income for the three months ended March 31, 2022 and 2021, (iv) Consolidated Statements of Stockholders’ Equity for the three months ended March 31, 2022 and 2021, (v) Consolidated Statements of Cash Flows for the three months ended March 31, 2022 and 2021, and</w:t>
      </w:r>
    </w:p>
    <w:p>
      <w:pPr>
        <w:ind w:left="1200"/>
        <w:spacing w:after="0"/>
        <w:rPr>
          <w:rFonts w:ascii="Arial" w:cs="Arial" w:eastAsia="Arial" w:hAnsi="Arial"/>
          <w:sz w:val="16"/>
          <w:szCs w:val="16"/>
          <w:color w:val="auto"/>
        </w:rPr>
      </w:pPr>
      <w:r>
        <w:rPr>
          <w:rFonts w:ascii="Arial" w:cs="Arial" w:eastAsia="Arial" w:hAnsi="Arial"/>
          <w:sz w:val="18"/>
          <w:szCs w:val="18"/>
          <w:color w:val="auto"/>
        </w:rPr>
        <w:t>(vi) Notes to Consolidated Financial Statements.</w:t>
      </w:r>
    </w:p>
    <w:p>
      <w:pPr>
        <w:spacing w:after="0" w:line="7" w:lineRule="exact"/>
        <w:rPr>
          <w:sz w:val="20"/>
          <w:szCs w:val="20"/>
          <w:color w:val="auto"/>
        </w:rPr>
      </w:pPr>
    </w:p>
    <w:p>
      <w:pPr>
        <w:ind w:left="1200" w:hanging="703"/>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00" w:hanging="753"/>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Casella Waste Systems, Inc.</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April 29,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Kevin Drohan</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Kevin Drohan</w:t>
            </w:r>
          </w:p>
        </w:tc>
      </w:tr>
      <w:tr>
        <w:trPr>
          <w:trHeight w:val="230"/>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Vice President and Chief Accounting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499"/>
        </w:trPr>
        <w:tc>
          <w:tcPr>
            <w:tcW w:w="3700" w:type="dxa"/>
            <w:vAlign w:val="bottom"/>
          </w:tcPr>
          <w:p>
            <w:pPr>
              <w:spacing w:after="0"/>
              <w:rPr>
                <w:sz w:val="20"/>
                <w:szCs w:val="20"/>
                <w:color w:val="auto"/>
              </w:rPr>
            </w:pPr>
            <w:r>
              <w:rPr>
                <w:rFonts w:ascii="Arial" w:cs="Arial" w:eastAsia="Arial" w:hAnsi="Arial"/>
                <w:sz w:val="18"/>
                <w:szCs w:val="18"/>
                <w:color w:val="auto"/>
              </w:rPr>
              <w:t>Date: April 29,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29"/>
        </w:trPr>
        <w:tc>
          <w:tcPr>
            <w:tcW w:w="370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370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320" w:top="1107" w:right="37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Date: April 29,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John W. Casella</w:t>
            </w:r>
          </w:p>
        </w:tc>
      </w:tr>
      <w:tr>
        <w:trPr>
          <w:trHeight w:val="230"/>
        </w:trPr>
        <w:tc>
          <w:tcPr>
            <w:tcW w:w="55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Chairman and Chief Executive Officer</w:t>
            </w:r>
          </w:p>
        </w:tc>
      </w:tr>
      <w:tr>
        <w:trPr>
          <w:trHeight w:val="230"/>
        </w:trPr>
        <w:tc>
          <w:tcPr>
            <w:tcW w:w="55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20" w:hanging="7"/>
        <w:spacing w:after="0" w:line="263" w:lineRule="auto"/>
        <w:tabs>
          <w:tab w:leader="none" w:pos="6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20" w:right="80" w:hanging="7"/>
        <w:spacing w:after="0" w:line="308" w:lineRule="auto"/>
        <w:tabs>
          <w:tab w:leader="none" w:pos="6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420" w:right="300" w:hanging="7"/>
        <w:spacing w:after="0" w:line="263" w:lineRule="auto"/>
        <w:tabs>
          <w:tab w:leader="none" w:pos="6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420" w:right="20" w:firstLine="479"/>
        <w:spacing w:after="0" w:line="263" w:lineRule="auto"/>
        <w:tabs>
          <w:tab w:leader="none" w:pos="1302"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420" w:right="140" w:firstLine="479"/>
        <w:spacing w:after="0" w:line="263"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20" w:right="240" w:firstLine="479"/>
        <w:spacing w:after="0" w:line="342" w:lineRule="auto"/>
        <w:tabs>
          <w:tab w:leader="none" w:pos="1302"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20" w:firstLine="479"/>
        <w:spacing w:after="0" w:line="263"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420" w:hanging="7"/>
        <w:spacing w:after="0" w:line="308" w:lineRule="auto"/>
        <w:tabs>
          <w:tab w:leader="none" w:pos="663"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460" w:firstLine="479"/>
        <w:spacing w:after="0" w:line="308" w:lineRule="auto"/>
        <w:tabs>
          <w:tab w:leader="none" w:pos="1302"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160" w:firstLine="479"/>
        <w:spacing w:after="0" w:line="277" w:lineRule="auto"/>
        <w:tabs>
          <w:tab w:leader="none" w:pos="129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Date: April 29, 2022</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Edmond R. Coletta</w:t>
            </w:r>
          </w:p>
        </w:tc>
      </w:tr>
      <w:tr>
        <w:trPr>
          <w:trHeight w:val="230"/>
        </w:trPr>
        <w:tc>
          <w:tcPr>
            <w:tcW w:w="4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Senior Vice President and Chief Financial Officer</w:t>
            </w:r>
          </w:p>
        </w:tc>
      </w:tr>
      <w:tr>
        <w:trPr>
          <w:trHeight w:val="230"/>
        </w:trPr>
        <w:tc>
          <w:tcPr>
            <w:tcW w:w="434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2022 as filed with the Securities and Exchange Commission on the date hereof (“Report”), the undersigned, John W. Casella, Chairman and Chief Executive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April 29, 2022</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John W. Casella</w:t>
            </w:r>
          </w:p>
        </w:tc>
      </w:tr>
      <w:tr>
        <w:trPr>
          <w:trHeight w:val="222"/>
        </w:trPr>
        <w:tc>
          <w:tcPr>
            <w:tcW w:w="5680" w:type="dxa"/>
            <w:vAlign w:val="bottom"/>
          </w:tcPr>
          <w:p>
            <w:pPr>
              <w:spacing w:after="0"/>
              <w:rPr>
                <w:sz w:val="19"/>
                <w:szCs w:val="19"/>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68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March 31, 2022 as filed with the Securities and Exchange Commission on the date hereof (“Report”), the undersigned, Edmond R. Coletta, Senior Vice President and Chief Financial Officer, hereby certifies, pursuant to 18 U.S.C. Section 1350, that, to his knowledge:</w:t>
      </w:r>
    </w:p>
    <w:p>
      <w:pPr>
        <w:spacing w:after="0" w:line="184" w:lineRule="exact"/>
        <w:rPr>
          <w:sz w:val="20"/>
          <w:szCs w:val="20"/>
          <w:color w:val="auto"/>
        </w:rPr>
      </w:pPr>
    </w:p>
    <w:p>
      <w:pPr>
        <w:ind w:left="640" w:hanging="22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40" w:hanging="22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Date: April 29, 2022</w:t>
            </w: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Edmond R. Coletta</w:t>
            </w:r>
          </w:p>
        </w:tc>
      </w:tr>
      <w:tr>
        <w:trPr>
          <w:trHeight w:val="222"/>
        </w:trPr>
        <w:tc>
          <w:tcPr>
            <w:tcW w:w="5240" w:type="dxa"/>
            <w:vAlign w:val="bottom"/>
          </w:tcPr>
          <w:p>
            <w:pPr>
              <w:spacing w:after="0"/>
              <w:rPr>
                <w:sz w:val="19"/>
                <w:szCs w:val="19"/>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0"/>
        </w:trPr>
        <w:tc>
          <w:tcPr>
            <w:tcW w:w="524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9"/>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7" Type="http://schemas.openxmlformats.org/officeDocument/2006/relationships/hyperlink" Target="https://www.sec.gov/ix?doc=/Archives/edgar/data/911177/000091117722000013/cwst-202203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2022-04-29T22:09:58Z</dcterms:created>
  <dcterms:modified xsi:type="dcterms:W3CDTF">2022-04-29T22:09:58Z</dcterms:modified>
</cp:coreProperties>
</file>