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6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000-23211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CASELLA WASTE SYSTEMS,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center"/>
        <w:tblInd w:w="0" w:type="dxa"/>
        <w:tblLayout w:type="fixed"/>
        <w:tblCellMar>
          <w:top w:w="28" w:type="dxa"/>
          <w:left w:w="28" w:type="dxa"/>
          <w:bottom w:w="28" w:type="dxa"/>
          <w:right w:w="28" w:type="dxa"/>
        </w:tblCellMar>
      </w:tblPr>
      <w:tblGrid>
        <w:gridCol w:w="859"/>
        <w:gridCol w:w="753"/>
        <w:gridCol w:w="758"/>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03-0338873</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tbl>
      <w:tblPr>
        <w:tblW w:w="3850" w:type="dxa"/>
        <w:jc w:val="center"/>
        <w:tblInd w:w="0" w:type="dxa"/>
        <w:tblLayout w:type="fixed"/>
        <w:tblCellMar>
          <w:top w:w="28" w:type="dxa"/>
          <w:left w:w="28" w:type="dxa"/>
          <w:bottom w:w="28" w:type="dxa"/>
          <w:right w:w="28" w:type="dxa"/>
        </w:tblCellMar>
      </w:tblPr>
      <w:tblGrid>
        <w:gridCol w:w="541"/>
        <w:gridCol w:w="476"/>
        <w:gridCol w:w="476"/>
        <w:gridCol w:w="476"/>
        <w:gridCol w:w="476"/>
        <w:gridCol w:w="476"/>
        <w:gridCol w:w="272"/>
        <w:gridCol w:w="272"/>
        <w:gridCol w:w="38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25 Greens Hill Lane,</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Rutland,</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Vermont</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05701</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(802) 775-0325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7342" w:type="dxa"/>
        <w:jc w:val="left"/>
        <w:tblInd w:w="0" w:type="dxa"/>
        <w:tblLayout w:type="fixed"/>
        <w:tblCellMar>
          <w:top w:w="28" w:type="dxa"/>
          <w:left w:w="28" w:type="dxa"/>
          <w:bottom w:w="28" w:type="dxa"/>
          <w:right w:w="28" w:type="dxa"/>
        </w:tblCellMar>
      </w:tblPr>
      <w:tblGrid>
        <w:gridCol w:w="1285"/>
        <w:gridCol w:w="1127"/>
        <w:gridCol w:w="1142"/>
        <w:gridCol w:w="109"/>
        <w:gridCol w:w="109"/>
        <w:gridCol w:w="109"/>
        <w:gridCol w:w="274"/>
        <w:gridCol w:w="274"/>
        <w:gridCol w:w="276"/>
        <w:gridCol w:w="109"/>
        <w:gridCol w:w="109"/>
        <w:gridCol w:w="109"/>
        <w:gridCol w:w="676"/>
        <w:gridCol w:w="676"/>
        <w:gridCol w:w="958"/>
      </w:tblGrid>
      <w:tr>
        <w:trPr/>
        <w:tc>
          <w:tcPr>
            <w:tcW w:w="12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tc>
      </w:tr>
      <w:tr>
        <w:trPr/>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CWST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bl>
    <w:p>
      <w:pPr>
        <w:pStyle w:val="TextBody"/>
        <w:bidi w:val="0"/>
        <w:spacing w:lineRule="auto" w:line="288" w:before="60" w:after="283"/>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362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420"/>
        <w:gridCol w:w="420"/>
        <w:gridCol w:w="421"/>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tbl>
      <w:tblPr>
        <w:tblW w:w="4314" w:type="dxa"/>
        <w:jc w:val="center"/>
        <w:tblInd w:w="0" w:type="dxa"/>
        <w:tblLayout w:type="fixed"/>
        <w:tblCellMar>
          <w:top w:w="28" w:type="dxa"/>
          <w:left w:w="28" w:type="dxa"/>
          <w:bottom w:w="28" w:type="dxa"/>
          <w:right w:w="28" w:type="dxa"/>
        </w:tblCellMar>
      </w:tblPr>
      <w:tblGrid>
        <w:gridCol w:w="576"/>
        <w:gridCol w:w="505"/>
        <w:gridCol w:w="508"/>
        <w:gridCol w:w="109"/>
        <w:gridCol w:w="109"/>
        <w:gridCol w:w="109"/>
        <w:gridCol w:w="675"/>
        <w:gridCol w:w="675"/>
        <w:gridCol w:w="676"/>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tbl>
      <w:tblPr>
        <w:tblW w:w="308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79"/>
        <w:gridCol w:w="679"/>
        <w:gridCol w:w="6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lineRule="auto" w:line="288" w:before="60" w:after="283"/>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shares outstanding of each of the registrant’s classes of common stock, as of April 15, 2024:</w:t>
      </w:r>
    </w:p>
    <w:tbl>
      <w:tblPr>
        <w:tblW w:w="5131" w:type="dxa"/>
        <w:jc w:val="left"/>
        <w:tblInd w:w="0" w:type="dxa"/>
        <w:tblLayout w:type="fixed"/>
        <w:tblCellMar>
          <w:top w:w="28" w:type="dxa"/>
          <w:left w:w="28" w:type="dxa"/>
          <w:bottom w:w="28" w:type="dxa"/>
          <w:right w:w="28" w:type="dxa"/>
        </w:tblCellMar>
      </w:tblPr>
      <w:tblGrid>
        <w:gridCol w:w="1333"/>
        <w:gridCol w:w="1173"/>
        <w:gridCol w:w="1183"/>
        <w:gridCol w:w="480"/>
        <w:gridCol w:w="481"/>
        <w:gridCol w:w="109"/>
        <w:gridCol w:w="109"/>
        <w:gridCol w:w="109"/>
        <w:gridCol w:w="154"/>
      </w:tblGrid>
      <w:tr>
        <w:trPr/>
        <w:tc>
          <w:tcPr>
            <w:tcW w:w="133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$0.01 par value per share: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57,120,029 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B common stock, $0.01 par value per share: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642"/>
        <w:gridCol w:w="2294"/>
        <w:gridCol w:w="2304"/>
        <w:gridCol w:w="211"/>
        <w:gridCol w:w="976"/>
        <w:gridCol w:w="109"/>
        <w:gridCol w:w="109"/>
        <w:gridCol w:w="109"/>
        <w:gridCol w:w="109"/>
        <w:gridCol w:w="211"/>
        <w:gridCol w:w="976"/>
        <w:gridCol w:w="155"/>
      </w:tblGrid>
      <w:tr>
        <w:trPr/>
        <w:tc>
          <w:tcPr>
            <w:tcW w:w="2642"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$3,881 and $4,066,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Refundable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 and amortization of $1,196,561 and $1,167,541,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2,535,470 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and per share data)</w:t>
      </w:r>
    </w:p>
    <w:tbl>
      <w:tblPr>
        <w:tblW w:w="10205" w:type="dxa"/>
        <w:jc w:val="center"/>
        <w:tblInd w:w="0" w:type="dxa"/>
        <w:tblLayout w:type="fixed"/>
        <w:tblCellMar>
          <w:top w:w="28" w:type="dxa"/>
          <w:left w:w="28" w:type="dxa"/>
          <w:bottom w:w="28" w:type="dxa"/>
          <w:right w:w="28" w:type="dxa"/>
        </w:tblCellMar>
      </w:tblPr>
      <w:tblGrid>
        <w:gridCol w:w="2611"/>
        <w:gridCol w:w="2086"/>
        <w:gridCol w:w="2099"/>
        <w:gridCol w:w="242"/>
        <w:gridCol w:w="1122"/>
        <w:gridCol w:w="124"/>
        <w:gridCol w:w="124"/>
        <w:gridCol w:w="124"/>
        <w:gridCol w:w="124"/>
        <w:gridCol w:w="242"/>
        <w:gridCol w:w="1122"/>
        <w:gridCol w:w="185"/>
      </w:tblGrid>
      <w:tr>
        <w:trPr/>
        <w:tc>
          <w:tcPr>
            <w:tcW w:w="261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debt</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expenses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accrued final capping, closure and post-closure costs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278,858 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less current portion</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1,007,662 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less current portion</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final capping, closure and post-closure costs, less current portion</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$0.01 par value per share; 100,000,000 shares authorized; 57,120,000 and 57,007,000 shares issued and outstanding,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$0.01 par value per share; 1,000,000 shares authorized; 988,000 shares issued and outstanding, respectively; 10 votes per share</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1,170,946 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1,168,812 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(150,638)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 net of tax</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1,025,924 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1,021,791 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2,477,254 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2,535,470 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bl>
      <w:tblPr>
        <w:tblW w:w="8905" w:type="dxa"/>
        <w:jc w:val="center"/>
        <w:tblInd w:w="0" w:type="dxa"/>
        <w:tblLayout w:type="fixed"/>
        <w:tblCellMar>
          <w:top w:w="28" w:type="dxa"/>
          <w:left w:w="28" w:type="dxa"/>
          <w:bottom w:w="28" w:type="dxa"/>
          <w:right w:w="28" w:type="dxa"/>
        </w:tblCellMar>
      </w:tblPr>
      <w:tblGrid>
        <w:gridCol w:w="2105"/>
        <w:gridCol w:w="1839"/>
        <w:gridCol w:w="1861"/>
        <w:gridCol w:w="211"/>
        <w:gridCol w:w="826"/>
        <w:gridCol w:w="109"/>
        <w:gridCol w:w="109"/>
        <w:gridCol w:w="109"/>
        <w:gridCol w:w="109"/>
        <w:gridCol w:w="211"/>
        <w:gridCol w:w="826"/>
        <w:gridCol w:w="109"/>
        <w:gridCol w:w="109"/>
        <w:gridCol w:w="109"/>
        <w:gridCol w:w="109"/>
        <w:gridCol w:w="154"/>
      </w:tblGrid>
      <w:tr>
        <w:trPr/>
        <w:tc>
          <w:tcPr>
            <w:tcW w:w="210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from acquisition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Southbridge Landfill closure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attributable to common stockholders: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(loss) earnings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share attributable to common stockholders: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earnings per common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COMPREHENSIVE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700" w:type="dxa"/>
        <w:jc w:val="center"/>
        <w:tblInd w:w="0" w:type="dxa"/>
        <w:tblLayout w:type="fixed"/>
        <w:tblCellMar>
          <w:top w:w="28" w:type="dxa"/>
          <w:left w:w="28" w:type="dxa"/>
          <w:bottom w:w="28" w:type="dxa"/>
          <w:right w:w="28" w:type="dxa"/>
        </w:tblCellMar>
      </w:tblPr>
      <w:tblGrid>
        <w:gridCol w:w="2510"/>
        <w:gridCol w:w="2211"/>
        <w:gridCol w:w="2224"/>
        <w:gridCol w:w="211"/>
        <w:gridCol w:w="691"/>
        <w:gridCol w:w="109"/>
        <w:gridCol w:w="109"/>
        <w:gridCol w:w="109"/>
        <w:gridCol w:w="109"/>
        <w:gridCol w:w="211"/>
        <w:gridCol w:w="616"/>
        <w:gridCol w:w="109"/>
        <w:gridCol w:w="109"/>
        <w:gridCol w:w="109"/>
        <w:gridCol w:w="109"/>
        <w:gridCol w:w="154"/>
      </w:tblGrid>
      <w:tr>
        <w:trPr/>
        <w:tc>
          <w:tcPr>
            <w:tcW w:w="2510"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Hedging activity:</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settlements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income reclassified into 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resulting from changes in fair value of derivative instruments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 related to items of other comprehensive income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10953" w:type="dxa"/>
        <w:jc w:val="center"/>
        <w:tblInd w:w="0" w:type="dxa"/>
        <w:tblLayout w:type="fixed"/>
        <w:tblCellMar>
          <w:top w:w="28" w:type="dxa"/>
          <w:left w:w="28" w:type="dxa"/>
          <w:bottom w:w="28" w:type="dxa"/>
          <w:right w:w="28" w:type="dxa"/>
        </w:tblCellMar>
      </w:tblPr>
      <w:tblGrid>
        <w:gridCol w:w="750"/>
        <w:gridCol w:w="225"/>
        <w:gridCol w:w="226"/>
        <w:gridCol w:w="196"/>
        <w:gridCol w:w="871"/>
        <w:gridCol w:w="109"/>
        <w:gridCol w:w="109"/>
        <w:gridCol w:w="109"/>
        <w:gridCol w:w="109"/>
        <w:gridCol w:w="323"/>
        <w:gridCol w:w="323"/>
        <w:gridCol w:w="171"/>
        <w:gridCol w:w="109"/>
        <w:gridCol w:w="109"/>
        <w:gridCol w:w="109"/>
        <w:gridCol w:w="196"/>
        <w:gridCol w:w="421"/>
        <w:gridCol w:w="109"/>
        <w:gridCol w:w="109"/>
        <w:gridCol w:w="109"/>
        <w:gridCol w:w="109"/>
        <w:gridCol w:w="210"/>
        <w:gridCol w:w="211"/>
        <w:gridCol w:w="171"/>
        <w:gridCol w:w="109"/>
        <w:gridCol w:w="109"/>
        <w:gridCol w:w="109"/>
        <w:gridCol w:w="196"/>
        <w:gridCol w:w="331"/>
        <w:gridCol w:w="109"/>
        <w:gridCol w:w="109"/>
        <w:gridCol w:w="109"/>
        <w:gridCol w:w="109"/>
        <w:gridCol w:w="196"/>
        <w:gridCol w:w="871"/>
        <w:gridCol w:w="109"/>
        <w:gridCol w:w="109"/>
        <w:gridCol w:w="109"/>
        <w:gridCol w:w="109"/>
        <w:gridCol w:w="196"/>
        <w:gridCol w:w="751"/>
        <w:gridCol w:w="109"/>
        <w:gridCol w:w="109"/>
        <w:gridCol w:w="109"/>
        <w:gridCol w:w="109"/>
        <w:gridCol w:w="228"/>
        <w:gridCol w:w="665"/>
        <w:gridCol w:w="128"/>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Casella Waste Systems, Inc.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Accumulated Other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57,007 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of Class A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Hedging activity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2024</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57,120 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(150,638)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tbl>
      <w:tblPr>
        <w:tblW w:w="11773" w:type="dxa"/>
        <w:jc w:val="center"/>
        <w:tblInd w:w="0" w:type="dxa"/>
        <w:tblLayout w:type="fixed"/>
        <w:tblCellMar>
          <w:top w:w="28" w:type="dxa"/>
          <w:left w:w="28" w:type="dxa"/>
          <w:bottom w:w="28" w:type="dxa"/>
          <w:right w:w="28" w:type="dxa"/>
        </w:tblCellMar>
      </w:tblPr>
      <w:tblGrid>
        <w:gridCol w:w="750"/>
        <w:gridCol w:w="225"/>
        <w:gridCol w:w="226"/>
        <w:gridCol w:w="196"/>
        <w:gridCol w:w="736"/>
        <w:gridCol w:w="109"/>
        <w:gridCol w:w="109"/>
        <w:gridCol w:w="109"/>
        <w:gridCol w:w="109"/>
        <w:gridCol w:w="323"/>
        <w:gridCol w:w="323"/>
        <w:gridCol w:w="171"/>
        <w:gridCol w:w="109"/>
        <w:gridCol w:w="109"/>
        <w:gridCol w:w="109"/>
        <w:gridCol w:w="196"/>
        <w:gridCol w:w="421"/>
        <w:gridCol w:w="109"/>
        <w:gridCol w:w="109"/>
        <w:gridCol w:w="109"/>
        <w:gridCol w:w="109"/>
        <w:gridCol w:w="210"/>
        <w:gridCol w:w="211"/>
        <w:gridCol w:w="171"/>
        <w:gridCol w:w="109"/>
        <w:gridCol w:w="109"/>
        <w:gridCol w:w="109"/>
        <w:gridCol w:w="196"/>
        <w:gridCol w:w="331"/>
        <w:gridCol w:w="109"/>
        <w:gridCol w:w="109"/>
        <w:gridCol w:w="109"/>
        <w:gridCol w:w="109"/>
        <w:gridCol w:w="196"/>
        <w:gridCol w:w="736"/>
        <w:gridCol w:w="109"/>
        <w:gridCol w:w="109"/>
        <w:gridCol w:w="109"/>
        <w:gridCol w:w="109"/>
        <w:gridCol w:w="196"/>
        <w:gridCol w:w="751"/>
        <w:gridCol w:w="109"/>
        <w:gridCol w:w="109"/>
        <w:gridCol w:w="109"/>
        <w:gridCol w:w="109"/>
        <w:gridCol w:w="232"/>
        <w:gridCol w:w="659"/>
        <w:gridCol w:w="130"/>
        <w:gridCol w:w="109"/>
        <w:gridCol w:w="109"/>
        <w:gridCol w:w="109"/>
        <w:gridCol w:w="109"/>
        <w:gridCol w:w="109"/>
        <w:gridCol w:w="109"/>
        <w:gridCol w:w="109"/>
        <w:gridCol w:w="109"/>
        <w:gridCol w:w="109"/>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Casella Waste Systems, Inc.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Accumulated Other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of Class A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Hedging activity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50,898 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934" w:type="dxa"/>
        <w:jc w:val="center"/>
        <w:tblInd w:w="0" w:type="dxa"/>
        <w:tblLayout w:type="fixed"/>
        <w:tblCellMar>
          <w:top w:w="28" w:type="dxa"/>
          <w:left w:w="28" w:type="dxa"/>
          <w:bottom w:w="28" w:type="dxa"/>
          <w:right w:w="28" w:type="dxa"/>
        </w:tblCellMar>
      </w:tblPr>
      <w:tblGrid>
        <w:gridCol w:w="2223"/>
        <w:gridCol w:w="1952"/>
        <w:gridCol w:w="1959"/>
        <w:gridCol w:w="196"/>
        <w:gridCol w:w="736"/>
        <w:gridCol w:w="109"/>
        <w:gridCol w:w="109"/>
        <w:gridCol w:w="109"/>
        <w:gridCol w:w="109"/>
        <w:gridCol w:w="196"/>
        <w:gridCol w:w="646"/>
        <w:gridCol w:w="109"/>
        <w:gridCol w:w="109"/>
        <w:gridCol w:w="109"/>
        <w:gridCol w:w="109"/>
        <w:gridCol w:w="154"/>
      </w:tblGrid>
      <w:tr>
        <w:trPr/>
        <w:tc>
          <w:tcPr>
            <w:tcW w:w="2223"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accretion on landfill and environmental remediation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Disposition of assets, other items and charges,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 net of effects of acquisitions and divestitures: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inventories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contract liabilities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Additions to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debt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Cash Flow Information: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interest payments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income tax payments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 for financing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 for operating lease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Casella Waste Systems, Inc. (“Parent”) and its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integrated solid waste services in nine states: Vermont, New Hampshire, New York, Massachusetts, Connecticut, Maine, Pennsylvania, Delaware and Maryland, with our headquarters located in Rutland, Vermont. We manage our solid waste operations on a geographic basis through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 </w:t>
      </w:r>
    </w:p>
    <w:p>
      <w:pPr>
        <w:pStyle w:val="TextBody"/>
        <w:bidi w:val="0"/>
        <w:spacing w:lineRule="auto" w:line="288" w:before="120" w:after="283"/>
        <w:jc w:val="left"/>
        <w:rPr/>
      </w:pPr>
      <w:r>
        <w:rPr>
          <w:rFonts w:ascii="Times New Roman;sans-serif" w:hAnsi="Times New Roman;sans-serif"/>
          <w:b w:val="false"/>
          <w:color w:val="000000"/>
          <w:sz w:val="20"/>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our Annual Report on Form 10-K for the fiscal year ended December 31, 2023 (“fiscal year 2023”), which was filed with the SEC on February 16, 2024 (“2023 Form 10-K”).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including normal recurring and nonrecurring adjustments, as applicable, necessary for a fair statement of the financial position, results of operations and cash flows for the periods presented. The results for the three months ended March 31, 2024 may not be indicative of the results for any other interim period or the entire fiscal year. The consolidated financial statements presented herein should be read in conjunction with our audited consolidated financial statements included in our 2023 Form 10-K.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Subsequent Events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evaluated subsequent events or transactions that have occurred after the consolidated balance sheet date of March 31, 2024 through the date of filing of the consolidated financial statements with the SEC on this Quarterly Report on Form 10-Q and determined that there have been no material events that have occurred that would require recognition or adjustments to our disclosures in our consolidated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    ACCOUNTING CHANGES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brief description of recent Accounting Standards Updates (“ASU”) to the Accounting Standards Codification (“ASC”) issued by the Financial Accounting Standards Board (“FASB”) and deemed to have a possible material impact on our consolidated financial statements based on current account balances and activity:</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3"/>
        <w:gridCol w:w="468"/>
        <w:gridCol w:w="472"/>
        <w:gridCol w:w="109"/>
        <w:gridCol w:w="109"/>
        <w:gridCol w:w="109"/>
        <w:gridCol w:w="1094"/>
        <w:gridCol w:w="927"/>
        <w:gridCol w:w="937"/>
        <w:gridCol w:w="109"/>
        <w:gridCol w:w="109"/>
        <w:gridCol w:w="109"/>
        <w:gridCol w:w="1763"/>
        <w:gridCol w:w="1388"/>
        <w:gridCol w:w="1969"/>
      </w:tblGrid>
      <w:tr>
        <w:trPr/>
        <w:tc>
          <w:tcPr>
            <w:tcW w:w="53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20"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Financial Statements or Other</w:t>
              <w:br/>
              <w:t>Significant Matters</w:t>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Accounting standards issued pending adoption</w:t>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 No. 2023-07: Improvements to Reportable Segment Disclosures (Topic 280)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Requires entities to provide additional disclosure related to the chief operating decision maker (“CODM”) and reportable operating segments, including providing more detailed information about reportable operating segment's significant expenses and how that information is used by the CODM.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expect the adoption of this guidance to have a material impact on our consolidated financial statements, however, the adoption of this guidance will have an impact on reportable operating segment disclosures within the accompanying notes to our consolidated financial statements. This guidance does not change how we identify our operating segments, aggregate them or apply quantitative thresholds to determine our reportable segments. This guidance is effective for fiscal years beginning after December 15, 2023, and interim periods within fiscal years beginning after December 15, 2024, with early adoption permitted.</w:t>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 No. 2023-09: Improvements to Income Tax Disclosures (Topic 740)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Requires entities to provide additional disclosure related to the transparency and decision usefulness of income tax disclosures, including additional disclosure around the rate reconciliation and income taxes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do not expect the adoption of this guidance to have a material impact on our consolidated financial statements, however, the adoption of this guidance will have an impact on income tax disclosures within the accompanying notes to our consolidated financial statements. This guidance is effective for fiscal years beginning after December 15, 2024, with early adoption permitted.</w:t>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20"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20"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20"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20"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20"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2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associated with our solid waste operations are derived mainly from solid waste collection and disposal services, including landfill, transfer station and transportation services, landfill gas-to-energy services and processing services. Revenues associated with our resource renewal operations are derived from processing services and non-processing services, which we refer to as our National Accounts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revenues disaggregated by service line and timing of revenue recognition by operating segment for each of the three months ended March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bl>
      <w:tblPr>
        <w:tblW w:w="9755" w:type="dxa"/>
        <w:jc w:val="left"/>
        <w:tblInd w:w="0" w:type="dxa"/>
        <w:tblLayout w:type="fixed"/>
        <w:tblCellMar>
          <w:top w:w="28" w:type="dxa"/>
          <w:left w:w="28" w:type="dxa"/>
          <w:bottom w:w="28" w:type="dxa"/>
          <w:right w:w="28" w:type="dxa"/>
        </w:tblCellMar>
      </w:tblPr>
      <w:tblGrid>
        <w:gridCol w:w="902"/>
        <w:gridCol w:w="790"/>
        <w:gridCol w:w="797"/>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98"/>
        <w:gridCol w:w="1018"/>
        <w:gridCol w:w="154"/>
        <w:gridCol w:w="109"/>
        <w:gridCol w:w="109"/>
        <w:gridCol w:w="109"/>
        <w:gridCol w:w="223"/>
        <w:gridCol w:w="874"/>
        <w:gridCol w:w="163"/>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Resource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station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ind w:left="0" w:right="0" w:hanging="36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2023 </w:t>
      </w:r>
    </w:p>
    <w:tbl>
      <w:tblPr>
        <w:tblW w:w="10004" w:type="dxa"/>
        <w:jc w:val="left"/>
        <w:tblInd w:w="0" w:type="dxa"/>
        <w:tblLayout w:type="fixed"/>
        <w:tblCellMar>
          <w:top w:w="28" w:type="dxa"/>
          <w:left w:w="28" w:type="dxa"/>
          <w:bottom w:w="28" w:type="dxa"/>
          <w:right w:w="28" w:type="dxa"/>
        </w:tblCellMar>
      </w:tblPr>
      <w:tblGrid>
        <w:gridCol w:w="902"/>
        <w:gridCol w:w="790"/>
        <w:gridCol w:w="797"/>
        <w:gridCol w:w="211"/>
        <w:gridCol w:w="721"/>
        <w:gridCol w:w="109"/>
        <w:gridCol w:w="109"/>
        <w:gridCol w:w="109"/>
        <w:gridCol w:w="109"/>
        <w:gridCol w:w="211"/>
        <w:gridCol w:w="826"/>
        <w:gridCol w:w="109"/>
        <w:gridCol w:w="109"/>
        <w:gridCol w:w="109"/>
        <w:gridCol w:w="109"/>
        <w:gridCol w:w="375"/>
        <w:gridCol w:w="721"/>
        <w:gridCol w:w="194"/>
        <w:gridCol w:w="109"/>
        <w:gridCol w:w="109"/>
        <w:gridCol w:w="109"/>
        <w:gridCol w:w="298"/>
        <w:gridCol w:w="1018"/>
        <w:gridCol w:w="154"/>
        <w:gridCol w:w="109"/>
        <w:gridCol w:w="109"/>
        <w:gridCol w:w="109"/>
        <w:gridCol w:w="223"/>
        <w:gridCol w:w="874"/>
        <w:gridCol w:w="163"/>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Mid-Atlantic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Resource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139,977 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station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(1)Operations under the Mid-Atlantic region commenced July 1, 2023.</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$7,115 in the three months ended March 31, 2024 and $6,629 in the three months ended March 31, 2023. Rebates are generally recorded as a reduction of revenues upon the sale of such materials, or upon receipt of the recycled materials at our facilities. We did not record revenues in the three months ended March 31, 2024 or March 31, 2023 from performance obligations satisfied in previous periods.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receivables, which are included in accounts receivable, net in our consolidated balance sheets are recorded when billed or when related revenue is earned, if earlier, and represent claims against third-parties that will be settled in cash. Accounts receivable, net includes receivables from contracts of $147,635 and $158,931 as of March 31, 2024 and December 31, 2023, respectively. Certain customers are billed in advance and, accordingly, recognition of the related revenues for which payment has been received is deferred as a contract liability until the services are provided and control transferred to the customer. We recognized contract liabilities of $29,715 and $31,472 as of March 31, 2024 and December 31, 2023, respectively. Due to the short term nature of advanced billings, substantially all of the deferred revenue recognized as a contract liability as of December 31, 2023 and December 31, 2022 was recognized as revenue during the three months ended March 31, 2024 and March 31, 2023, respectively, when the services were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GOODWILL AND INTANGIBLE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activity and balances related to goodwill by operating segment is as follows:</w:t>
      </w:r>
    </w:p>
    <w:tbl>
      <w:tblPr>
        <w:tblW w:w="7716" w:type="dxa"/>
        <w:jc w:val="left"/>
        <w:tblInd w:w="0" w:type="dxa"/>
        <w:tblLayout w:type="fixed"/>
        <w:tblCellMar>
          <w:top w:w="28" w:type="dxa"/>
          <w:left w:w="28" w:type="dxa"/>
          <w:bottom w:w="28" w:type="dxa"/>
          <w:right w:w="28" w:type="dxa"/>
        </w:tblCellMar>
      </w:tblPr>
      <w:tblGrid>
        <w:gridCol w:w="628"/>
        <w:gridCol w:w="551"/>
        <w:gridCol w:w="560"/>
        <w:gridCol w:w="211"/>
        <w:gridCol w:w="826"/>
        <w:gridCol w:w="109"/>
        <w:gridCol w:w="109"/>
        <w:gridCol w:w="109"/>
        <w:gridCol w:w="109"/>
        <w:gridCol w:w="109"/>
        <w:gridCol w:w="109"/>
        <w:gridCol w:w="684"/>
        <w:gridCol w:w="1510"/>
        <w:gridCol w:w="356"/>
        <w:gridCol w:w="109"/>
        <w:gridCol w:w="109"/>
        <w:gridCol w:w="109"/>
        <w:gridCol w:w="109"/>
        <w:gridCol w:w="109"/>
        <w:gridCol w:w="211"/>
        <w:gridCol w:w="82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Mid-Atlantic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Resource Solutions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Summaries of intangible assets by type follows:</w:t>
      </w:r>
    </w:p>
    <w:tbl>
      <w:tblPr>
        <w:tblW w:w="8982" w:type="dxa"/>
        <w:jc w:val="left"/>
        <w:tblInd w:w="0" w:type="dxa"/>
        <w:tblLayout w:type="fixed"/>
        <w:tblCellMar>
          <w:top w:w="28" w:type="dxa"/>
          <w:left w:w="28" w:type="dxa"/>
          <w:bottom w:w="28" w:type="dxa"/>
          <w:right w:w="28" w:type="dxa"/>
        </w:tblCellMar>
      </w:tblPr>
      <w:tblGrid>
        <w:gridCol w:w="956"/>
        <w:gridCol w:w="841"/>
        <w:gridCol w:w="843"/>
        <w:gridCol w:w="261"/>
        <w:gridCol w:w="894"/>
        <w:gridCol w:w="136"/>
        <w:gridCol w:w="109"/>
        <w:gridCol w:w="109"/>
        <w:gridCol w:w="109"/>
        <w:gridCol w:w="334"/>
        <w:gridCol w:w="1308"/>
        <w:gridCol w:w="172"/>
        <w:gridCol w:w="109"/>
        <w:gridCol w:w="109"/>
        <w:gridCol w:w="109"/>
        <w:gridCol w:w="216"/>
        <w:gridCol w:w="738"/>
        <w:gridCol w:w="111"/>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Covenants</w:t>
              <w:br/>
              <w:t>Not-to-Compete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2024</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32,004 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192,057 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8981" w:type="dxa"/>
        <w:jc w:val="center"/>
        <w:tblInd w:w="0" w:type="dxa"/>
        <w:tblLayout w:type="fixed"/>
        <w:tblCellMar>
          <w:top w:w="28" w:type="dxa"/>
          <w:left w:w="28" w:type="dxa"/>
          <w:bottom w:w="28" w:type="dxa"/>
          <w:right w:w="28" w:type="dxa"/>
        </w:tblCellMar>
      </w:tblPr>
      <w:tblGrid>
        <w:gridCol w:w="956"/>
        <w:gridCol w:w="840"/>
        <w:gridCol w:w="843"/>
        <w:gridCol w:w="261"/>
        <w:gridCol w:w="894"/>
        <w:gridCol w:w="136"/>
        <w:gridCol w:w="109"/>
        <w:gridCol w:w="109"/>
        <w:gridCol w:w="109"/>
        <w:gridCol w:w="334"/>
        <w:gridCol w:w="1308"/>
        <w:gridCol w:w="172"/>
        <w:gridCol w:w="109"/>
        <w:gridCol w:w="109"/>
        <w:gridCol w:w="109"/>
        <w:gridCol w:w="216"/>
        <w:gridCol w:w="738"/>
        <w:gridCol w:w="111"/>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Covenants</w:t>
              <w:br/>
              <w:t>Not-to-Compete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200,344 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 expense was $12,564 during the three months ended March 31, 2024, and $4,071 during the three months ended March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intangible amortization expense estimated for each of the next five fiscal years following fiscal year 2023 and thereafter is estimated as follows:</w:t>
      </w:r>
    </w:p>
    <w:tbl>
      <w:tblPr>
        <w:tblW w:w="5705" w:type="dxa"/>
        <w:jc w:val="left"/>
        <w:tblInd w:w="0" w:type="dxa"/>
        <w:tblLayout w:type="fixed"/>
        <w:tblCellMar>
          <w:top w:w="28" w:type="dxa"/>
          <w:left w:w="28" w:type="dxa"/>
          <w:bottom w:w="28" w:type="dxa"/>
          <w:right w:w="28" w:type="dxa"/>
        </w:tblCellMar>
      </w:tblPr>
      <w:tblGrid>
        <w:gridCol w:w="1673"/>
        <w:gridCol w:w="1471"/>
        <w:gridCol w:w="1475"/>
        <w:gridCol w:w="211"/>
        <w:gridCol w:w="721"/>
        <w:gridCol w:w="154"/>
      </w:tblGrid>
      <w:tr>
        <w:trPr/>
        <w:tc>
          <w:tcPr>
            <w:tcW w:w="167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Estimated Future Amortization Expense as of March 31, 2024</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ACCRUED FINAL CAPPING, CLOSURE AND POST CLOSURE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changes to accrued final capping, closure and post-closure liabilities follows:</w:t>
      </w:r>
    </w:p>
    <w:tbl>
      <w:tblPr>
        <w:tblW w:w="4598" w:type="dxa"/>
        <w:jc w:val="left"/>
        <w:tblInd w:w="0" w:type="dxa"/>
        <w:tblLayout w:type="fixed"/>
        <w:tblCellMar>
          <w:top w:w="28" w:type="dxa"/>
          <w:left w:w="28" w:type="dxa"/>
          <w:bottom w:w="28" w:type="dxa"/>
          <w:right w:w="28" w:type="dxa"/>
        </w:tblCellMar>
      </w:tblPr>
      <w:tblGrid>
        <w:gridCol w:w="701"/>
        <w:gridCol w:w="615"/>
        <w:gridCol w:w="618"/>
        <w:gridCol w:w="211"/>
        <w:gridCol w:w="826"/>
        <w:gridCol w:w="109"/>
        <w:gridCol w:w="109"/>
        <w:gridCol w:w="109"/>
        <w:gridCol w:w="109"/>
        <w:gridCol w:w="211"/>
        <w:gridCol w:w="82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incurred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Accretion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Obligations settled</w:t>
            </w:r>
            <w:r>
              <w:rPr>
                <w:color w:val="000000"/>
              </w:rPr>
              <w:t xml:space="preserve"> </w:t>
            </w:r>
            <w:r>
              <w:rPr>
                <w:rFonts w:ascii="Times New Roman;sans-serif" w:hAnsi="Times New Roman;sans-serif"/>
                <w:b w:val="false"/>
                <w:color w:val="000000"/>
                <w:sz w:val="16"/>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(1)May include amounts that are being processed through accounts payable as a part of our disbursements cycle.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debt is as follows:</w:t>
      </w:r>
    </w:p>
    <w:tbl>
      <w:tblPr>
        <w:tblW w:w="10205" w:type="dxa"/>
        <w:jc w:val="left"/>
        <w:tblInd w:w="0" w:type="dxa"/>
        <w:tblLayout w:type="fixed"/>
        <w:tblCellMar>
          <w:top w:w="28" w:type="dxa"/>
          <w:left w:w="28" w:type="dxa"/>
          <w:bottom w:w="28" w:type="dxa"/>
          <w:right w:w="28" w:type="dxa"/>
        </w:tblCellMar>
      </w:tblPr>
      <w:tblGrid>
        <w:gridCol w:w="2904"/>
        <w:gridCol w:w="2234"/>
        <w:gridCol w:w="2252"/>
        <w:gridCol w:w="211"/>
        <w:gridCol w:w="826"/>
        <w:gridCol w:w="109"/>
        <w:gridCol w:w="109"/>
        <w:gridCol w:w="109"/>
        <w:gridCol w:w="109"/>
        <w:gridCol w:w="211"/>
        <w:gridCol w:w="976"/>
        <w:gridCol w:w="155"/>
      </w:tblGrid>
      <w:tr>
        <w:trPr/>
        <w:tc>
          <w:tcPr>
            <w:tcW w:w="2904"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Secured Credit Facility: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 (“Term Loan Facility”) payable quarterly with balance due December 2026; bearing interest at 7.054% as of March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 (“2023 Term Loan Facility”) payable quarterly with balance due December 2026; bearing interest at 7.552% as of March 31, 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(“Revolving Credit Facility”) due December 2026; bearing interest at term secured overnight financing rate (“Term SOFR”) plus 1.725%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Tax-Exempt Bonds: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Environmental Facilities Corporation Solid Waste Disposal Revenue Bonds Series 2014 (“New York Bonds 2014R-1”) due December 2044 - fixed rate interest period bearing interest at 2.875% through December 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Environmental Facilities Corporation Solid Waste Disposal Revenue Bonds Series 2014R-2 (“New York Bonds 2014R-2”) due December 2044 - fixed rate interest period bearing interest at 3.125% through May 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Environmental Facilities Corporation Solid Waste Disposal Revenue Bonds Series 2020 (“New York Bonds 2020”) due September 2050 - fixed rate interest period bearing interest at 2.750% through September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Environmental Facilities Corporation Solid Waste Disposal Revenue Bonds Series 2020R-2 (“New York Bonds 2020R-2”) due September 2050 - fixed rate interest period bearing interest at 5.125% through September 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Authority of Maine Solid Waste Disposal Revenue Bonds Series 2005R-3 (“FAME Bonds 2005R-3”) due January 2025 - fixed rate interest period bearing interest at 5.25% through January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Authority of Maine Solid Waste Disposal Revenue Bonds Series 2015R-1 (“FAME Bonds 2015R-1”) due August 2035 - fixed rate interest period bearing interest at 5.125% through July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Authority of Maine Solid Waste Disposal Revenue Bonds Series 2015R-2 (“FAME Bonds 2015R-2”) due August 2035 - fixed rate interest period bearing interest at 4.375% through July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Vermont Economic Development Authority Solid Waste Disposal Long-Term Revenue Bonds Series 2013 (“Vermont Bonds 2013”) due April 2036 - fixed rate interest period bearing interest at 4.625% through April 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Vermont Economic Development Authority Solid Waste Disposal Long-Term Revenue Bonds Series 2022A-1 (“Vermont Bonds 2022A-1”) due June 2052 - fixed rate interest period bearing interest at 5.00% through May 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 Finance Authority of the State of New Hampshire Solid Waste Disposal Revenue Bonds Series 2013 (“New Hampshire Bonds”) due April 2029 - fixed rate interest period bearing interest at 2.95% through April 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maturing through December 2107; bearing interest at a weighted average of 4.3%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maturing through March 2025; bearing interest up to 8.1%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amount of debt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1,054,546 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Less—unamortized debt issuance costs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less unamortized debt issuance costs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Less—current maturities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1,007,662 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pPr>
      <w:r>
        <w:rPr>
          <w:rFonts w:ascii="Times New Roman;sans-serif" w:hAnsi="Times New Roman;sans-serif"/>
          <w:b/>
          <w:color w:val="000000"/>
          <w:sz w:val="20"/>
        </w:rPr>
        <w:t>Cash Flow Hedges</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income (loss),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both March 31, 2024 and December 31, 2023, we had $515,000 notional amount of active interest rate derivative agreements outstanding. These agreements mature between February 2026 and June 2028 and provide that we receive interest based on Term SOFR, restricted by a 0.0% floor, and pay interest at a weighted average rate of approximately 3.6%.</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effect of cash flow hedges related to derivative instruments on the consolidated balance sheets follows:</w:t>
      </w:r>
    </w:p>
    <w:tbl>
      <w:tblPr>
        <w:tblW w:w="10205" w:type="dxa"/>
        <w:jc w:val="left"/>
        <w:tblInd w:w="0" w:type="dxa"/>
        <w:tblLayout w:type="fixed"/>
        <w:tblCellMar>
          <w:top w:w="28" w:type="dxa"/>
          <w:left w:w="28" w:type="dxa"/>
          <w:bottom w:w="28" w:type="dxa"/>
          <w:right w:w="28" w:type="dxa"/>
        </w:tblCellMar>
      </w:tblPr>
      <w:tblGrid>
        <w:gridCol w:w="898"/>
        <w:gridCol w:w="788"/>
        <w:gridCol w:w="794"/>
        <w:gridCol w:w="1629"/>
        <w:gridCol w:w="1627"/>
        <w:gridCol w:w="1632"/>
        <w:gridCol w:w="109"/>
        <w:gridCol w:w="109"/>
        <w:gridCol w:w="109"/>
        <w:gridCol w:w="211"/>
        <w:gridCol w:w="721"/>
        <w:gridCol w:w="109"/>
        <w:gridCol w:w="109"/>
        <w:gridCol w:w="109"/>
        <w:gridCol w:w="109"/>
        <w:gridCol w:w="220"/>
        <w:gridCol w:w="756"/>
        <w:gridCol w:w="166"/>
      </w:tblGrid>
      <w:tr>
        <w:trPr/>
        <w:tc>
          <w:tcPr>
            <w:tcW w:w="89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vAlign w:val="center"/>
          </w:tcPr>
          <w:p>
            <w:pPr>
              <w:pStyle w:val="TableContents"/>
              <w:bidi w:val="0"/>
              <w:spacing w:before="0" w:after="283"/>
              <w:jc w:val="left"/>
              <w:rPr>
                <w:sz w:val="4"/>
                <w:szCs w:val="4"/>
              </w:rPr>
            </w:pPr>
            <w:r>
              <w:rPr>
                <w:sz w:val="4"/>
                <w:szCs w:val="4"/>
              </w:rPr>
            </w:r>
          </w:p>
        </w:tc>
        <w:tc>
          <w:tcPr>
            <w:tcW w:w="4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vAlign w:val="center"/>
          </w:tcPr>
          <w:p>
            <w:pPr>
              <w:pStyle w:val="TableContents"/>
              <w:bidi w:val="0"/>
              <w:spacing w:before="0" w:after="283"/>
              <w:jc w:val="left"/>
              <w:rPr>
                <w:sz w:val="4"/>
                <w:szCs w:val="4"/>
              </w:rPr>
            </w:pPr>
            <w:r>
              <w:rPr>
                <w:sz w:val="4"/>
                <w:szCs w:val="4"/>
              </w:rPr>
            </w:r>
          </w:p>
        </w:tc>
        <w:tc>
          <w:tcPr>
            <w:tcW w:w="4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 tax effect</w:t>
            </w:r>
          </w:p>
        </w:tc>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COMMITMENTS AND CONTINGENCIES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Legal Proceedings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and as the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FASB ASC 450 - Contingencies, we accrue for legal proceedings, inclusive of legal costs, when losses become probable and reasonably estimable. We have recorded an aggregate accrual of $23 relating to our outstanding legal proceedings as of March 31, 2024.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North Country Environmental Services Expansion Permit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permit for expansion of the Bethlehem, New Hampshire landfill of our subsidiary, North Country Environmental Services, Inc. (“NCES”), known as “Stage VI”, issued in October 2020 (“Permit”), was appealed by the Conservation Law Foundation (“CLF”) to the New Hampshire Waste Management Council (“Council”) on November 9, 2020 on the grounds it failed to meet the public benefit criteria. Following a hearing on the merits during which the Council found that the New Hampshire Department of Environmental Services (“DES”) had reasonably measured and acted lawfully in determining a capacity need for Stage VI, the hearing officer presiding over the proceedings issued an Order on May 11, 2022, without further hearing, determining instead that DES had acted unlawfully in reaching these conclusions (“Hearing Officer’s Order”), and remanded the Permit to DES on this determination. On December 5, 2022, DES and NCES both separately sought review of the Hearing Officer’s Order on appeal to the New Hampshire Supreme Court (“Supreme Court”). The parties presented oral arguments to the Supreme Court on October 3, 2023. On December 28, 2023, the Supreme Court issued a decision reversing the Hearing Officer's Order and held that the Stage VI Permit was lawfully issued by DES, fully resolving this matter and upholding the Stage VI Permit.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14, 2022, NCES filed an action in Merrimack Superior Court (“Superior Court”) seeking to invalidate the Hearing Officer’s Order as having been adopted in violation of New Hampshire’s statute governing access to public records and meetings in that the Council did not hold a public meeting to deliberate on the Hearing Officer’s Order. The Superior Court dismissed that proceeding by Order dated April 6, 2023, and NCES appealed that decision to the Supreme Court on April 18, 2023. NCES’s brief on appeal was filed with the Supreme Court on August 11, 2023. On September 26, 2023, CLF filed a Motion to Intervene as well as a memorandum of law asking the Supreme Court to uphold the Superior Court’s dismissal, to which NCES filed an Objection in response on October 23, 2023. The Council filed its brief on October 25, 2023. On November 9, 2023, the Supreme Court issued an Order denying CLF’s Motion to Intervene but treating CLF’s memorandum of law as an amicus brief. NCES filed a reply brief on November 14, 2023. On January 18, 2024, the Supreme Court issued an Order setting a deadline of February 2, 2024 for the parties to submit memoranda addressing the mootness of this appeal in light of the Supreme Court’s December 28, 2023 Order reversing the Hearing Officer’s Order and upholding the Stage VI Permit. NCES subsequently filed a Motion for Vacatur of the Superior Court’s April 6, 2023 Order and a Memorandum in Response to the Supreme Court's February 2, 2024 Order on January 23, 2024. On March 18, 2024, the Supreme Court issued an order finding the appeal to be moot and vacating the Superior Court’s April 6, 2023 Order, resolving this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20, 2022, NCES, which has since withdrawn as a party, and our subsidiary, Granite State Landfill, LLC (“GSL”), filed a Petition for Declaratory Judgment (“Petition”) in the Superior Court asking the Superior Court for a determination of the meaning and constitutionality of New Hampshire’s public benefit requirement, the same statute at issue in the Hearing Officer’s Order. CLF was granted intervention in the Petition proceeding on June 8, 2023. On December 19, 2023, GSL filed a Motion To Stay pending the outcome of the Supreme Court’s consideration of the Stage VI Permit appeal. The Stage VI Permit appeal was decided and upheld by Order of December 28, 2023 as discussed above. As NCES prevailed in the Stage VI Permit appeal, GSL and NCES voluntarily non-suited the Petition on January 2, 2024, resolving this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12, 2023, DES issued approval of construction plans for Stage VI, Phase II to NCES (“DES Approval”). CLF appealed the DES Approval to the Council on May 11, 2023, on the grounds that it failed to meet the public benefit criteria, and that the DES Approval conflicts with the Hearing Officer’s May 11, 2022 Order determining that DES had acted unlawfully in issuing the Permit, and requested expedited review. The Council has denied CLF's request for expedited review. CLF withdrew its appeal by notice to the Council on February 7, 2024. In light of CLF's withdrawal of appeal, this matter is fully resolved.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Environmental Remediation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liability for environmental damage, including personal injury and property damage, that our solid waste, recycling and power generation facilities may cause to neighboring property owners, particularly as the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Future changes in our estimates of the cost, timing or duration of the required actions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inflate the estimated costs in current dollars to the expected time of payment and discount the total cost to present value using a risk-free interest rate. The risk-free interest rates associated with our environmental remediation liabilities as of March 31, 2024 range between 1.5% and 7.1%. A summary of the changes to the aggregate environmental remediation liabilities for the three months ended March 31, 2024 and 2023 follows:</w:t>
      </w:r>
    </w:p>
    <w:tbl>
      <w:tblPr>
        <w:tblW w:w="4164" w:type="dxa"/>
        <w:jc w:val="left"/>
        <w:tblInd w:w="0" w:type="dxa"/>
        <w:tblLayout w:type="fixed"/>
        <w:tblCellMar>
          <w:top w:w="28" w:type="dxa"/>
          <w:left w:w="28" w:type="dxa"/>
          <w:bottom w:w="28" w:type="dxa"/>
          <w:right w:w="28" w:type="dxa"/>
        </w:tblCellMar>
      </w:tblPr>
      <w:tblGrid>
        <w:gridCol w:w="696"/>
        <w:gridCol w:w="610"/>
        <w:gridCol w:w="614"/>
        <w:gridCol w:w="211"/>
        <w:gridCol w:w="616"/>
        <w:gridCol w:w="109"/>
        <w:gridCol w:w="109"/>
        <w:gridCol w:w="109"/>
        <w:gridCol w:w="109"/>
        <w:gridCol w:w="211"/>
        <w:gridCol w:w="61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Obligations settled </w:t>
            </w:r>
            <w:r>
              <w:rPr>
                <w:rFonts w:ascii="Times New Roman;sans-serif" w:hAnsi="Times New Roman;sans-serif"/>
                <w:b w:val="false"/>
                <w:color w:val="000000"/>
                <w:sz w:val="16"/>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(1)May include amounts that are being processed through accounts payable as a part of our disbursement cycle.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STOCKHOLDERS' EQUITY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Based Compensation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Shares Available For Issuance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March 31, 2024, there were 456 Class A common stock equivalents available for future grant under the 2016 Plan.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are granted at a price equal to the prevailing fair value of our Class A common stock at the date of grant. Generally, stock options granted have a term not to exceed ten years and vest over a one-year to five-year period from the date of grant.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follows:</w:t>
      </w:r>
    </w:p>
    <w:tbl>
      <w:tblPr>
        <w:tblW w:w="10205" w:type="dxa"/>
        <w:jc w:val="left"/>
        <w:tblInd w:w="0" w:type="dxa"/>
        <w:tblLayout w:type="fixed"/>
        <w:tblCellMar>
          <w:top w:w="28" w:type="dxa"/>
          <w:left w:w="28" w:type="dxa"/>
          <w:bottom w:w="28" w:type="dxa"/>
          <w:right w:w="28" w:type="dxa"/>
        </w:tblCellMar>
      </w:tblPr>
      <w:tblGrid>
        <w:gridCol w:w="723"/>
        <w:gridCol w:w="636"/>
        <w:gridCol w:w="638"/>
        <w:gridCol w:w="375"/>
        <w:gridCol w:w="375"/>
        <w:gridCol w:w="376"/>
        <w:gridCol w:w="109"/>
        <w:gridCol w:w="109"/>
        <w:gridCol w:w="109"/>
        <w:gridCol w:w="413"/>
        <w:gridCol w:w="1210"/>
        <w:gridCol w:w="215"/>
        <w:gridCol w:w="109"/>
        <w:gridCol w:w="109"/>
        <w:gridCol w:w="109"/>
        <w:gridCol w:w="876"/>
        <w:gridCol w:w="876"/>
        <w:gridCol w:w="879"/>
        <w:gridCol w:w="109"/>
        <w:gridCol w:w="109"/>
        <w:gridCol w:w="109"/>
        <w:gridCol w:w="349"/>
        <w:gridCol w:w="1022"/>
        <w:gridCol w:w="261"/>
      </w:tblGrid>
      <w:tr>
        <w:trPr/>
        <w:tc>
          <w:tcPr>
            <w:tcW w:w="7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2024</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March 31, 2024</w:t>
            </w:r>
          </w:p>
        </w:tc>
        <w:tc>
          <w:tcPr>
            <w:tcW w:w="7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40.60 </w:t>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2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stock options was $151 during the three months ended March 31, 2024, as compared to $123 during the three months ended March 31, 2023. As of March 31, 2024, we had $1,957 of unrecognized stock-based compensation expense related to outstanding stock options to be recognized over a weighted average period of 3.6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aggregate intrinsic value of stock options exercised was zero dollars.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Other Stock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if applicable, the value of dividends of our Class A common stock as compared to the Russell 2000 Index over the requisite service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Typically, restricted stock awards granted to non-employee directors vest incrementally over a three-year period beginning on the first anniversary of the date of grant. Restricted stock units granted to non-employee directors vest in full on the first anniversary of the grant date. Restricted stock units granted to employees vest incrementally over an identified service period, typically three years,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award, restricted stock unit and performance stock unit activity follows:</w:t>
      </w:r>
    </w:p>
    <w:tbl>
      <w:tblPr>
        <w:tblW w:w="10205" w:type="dxa"/>
        <w:jc w:val="left"/>
        <w:tblInd w:w="0" w:type="dxa"/>
        <w:tblLayout w:type="fixed"/>
        <w:tblCellMar>
          <w:top w:w="28" w:type="dxa"/>
          <w:left w:w="28" w:type="dxa"/>
          <w:bottom w:w="28" w:type="dxa"/>
          <w:right w:w="28" w:type="dxa"/>
        </w:tblCellMar>
      </w:tblPr>
      <w:tblGrid>
        <w:gridCol w:w="608"/>
        <w:gridCol w:w="535"/>
        <w:gridCol w:w="537"/>
        <w:gridCol w:w="930"/>
        <w:gridCol w:w="930"/>
        <w:gridCol w:w="932"/>
        <w:gridCol w:w="109"/>
        <w:gridCol w:w="109"/>
        <w:gridCol w:w="109"/>
        <w:gridCol w:w="287"/>
        <w:gridCol w:w="838"/>
        <w:gridCol w:w="148"/>
        <w:gridCol w:w="109"/>
        <w:gridCol w:w="109"/>
        <w:gridCol w:w="109"/>
        <w:gridCol w:w="666"/>
        <w:gridCol w:w="666"/>
        <w:gridCol w:w="669"/>
        <w:gridCol w:w="109"/>
        <w:gridCol w:w="109"/>
        <w:gridCol w:w="109"/>
        <w:gridCol w:w="285"/>
        <w:gridCol w:w="976"/>
        <w:gridCol w:w="217"/>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 Restricted Stock Units, and Performance Stock Units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Grant Date Fair </w:t>
              <w:br/>
              <w:t xml:space="preserve">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1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Vested</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2024</w:t>
            </w:r>
          </w:p>
        </w:tc>
        <w:tc>
          <w:tcPr>
            <w:tcW w:w="1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March 31, 2024</w:t>
            </w:r>
          </w:p>
        </w:tc>
        <w:tc>
          <w:tcPr>
            <w:tcW w:w="1860"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93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93.99 </w:t>
            </w:r>
          </w:p>
        </w:tc>
        <w:tc>
          <w:tcPr>
            <w:tcW w:w="14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40,908 </w:t>
            </w:r>
          </w:p>
        </w:tc>
        <w:tc>
          <w:tcPr>
            <w:tcW w:w="21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(1)Performance stock unit grants, including market-based performance stock units, are included at the 100% attainment level. Attainment of the maximum performance targets and market achievements would result in the issuance of an additional 175 shares of Class A common stock currently included in unvested.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restricted stock awards, restricted stock units and performance stock units was $1,875 during the three months ended March 31, 2024, as compared to $1,762 during the three months ended March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total fair value of other stock awards vested was $3,165.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total unrecognized stock-based compensation expense related to outstanding restricted stock awards was $3, which will be recognized over a weighted average period of 0.2 years. As of March 31, 2024, total unrecognized stock-based compensation expense related to outstanding restricted stock units was $8,417, which will be recognized over a weighted average period of 2.6 years. As of March 31, 2024, total expected unrecognized stock-based compensation expense related to outstanding performance stock units was $8,626, which will be recognized over a weighted average period of 2.2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fair value of market-based performance stock units granted during the three months ended March 31, 2024 was $105.35 per award, which was calculated using a Monte Carlo pricing model assuming a risk-free interest rate of 4.31% and an expected volatility of 25.3%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recorded $109 of stock-based compensation expense related to the Second Amended and Restated 1997 Employee Stock Purchase Plan during the three months ended March 31, 2024, as compared to $90 during the three months ended March 31, 2023.</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Accumulated Other Comprehensive Income (Loss), Net of Tax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changes in the balances of each component of accumulated other comprehensive income (loss), net of tax follows:</w:t>
      </w:r>
    </w:p>
    <w:tbl>
      <w:tblPr>
        <w:tblW w:w="9578" w:type="dxa"/>
        <w:jc w:val="left"/>
        <w:tblInd w:w="0" w:type="dxa"/>
        <w:tblLayout w:type="fixed"/>
        <w:tblCellMar>
          <w:top w:w="28" w:type="dxa"/>
          <w:left w:w="28" w:type="dxa"/>
          <w:bottom w:w="28" w:type="dxa"/>
          <w:right w:w="28" w:type="dxa"/>
        </w:tblCellMar>
      </w:tblPr>
      <w:tblGrid>
        <w:gridCol w:w="2813"/>
        <w:gridCol w:w="2474"/>
        <w:gridCol w:w="2483"/>
        <w:gridCol w:w="109"/>
        <w:gridCol w:w="109"/>
        <w:gridCol w:w="317"/>
        <w:gridCol w:w="1041"/>
        <w:gridCol w:w="232"/>
      </w:tblGrid>
      <w:tr>
        <w:trPr/>
        <w:tc>
          <w:tcPr>
            <w:tcW w:w="2813"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7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r>
      <w:tr>
        <w:trPr/>
        <w:tc>
          <w:tcPr>
            <w:tcW w:w="7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7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reclassified from accumulated other comprehensive income (loss) into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related to items of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reclassifications out of accumulated other comprehensive income (loss), net of tax into earnings follows:</w:t>
      </w:r>
    </w:p>
    <w:tbl>
      <w:tblPr>
        <w:tblW w:w="10205" w:type="dxa"/>
        <w:jc w:val="left"/>
        <w:tblInd w:w="0" w:type="dxa"/>
        <w:tblLayout w:type="fixed"/>
        <w:tblCellMar>
          <w:top w:w="28" w:type="dxa"/>
          <w:left w:w="28" w:type="dxa"/>
          <w:bottom w:w="28" w:type="dxa"/>
          <w:right w:w="28" w:type="dxa"/>
        </w:tblCellMar>
      </w:tblPr>
      <w:tblGrid>
        <w:gridCol w:w="853"/>
        <w:gridCol w:w="749"/>
        <w:gridCol w:w="751"/>
        <w:gridCol w:w="109"/>
        <w:gridCol w:w="109"/>
        <w:gridCol w:w="109"/>
        <w:gridCol w:w="316"/>
        <w:gridCol w:w="995"/>
        <w:gridCol w:w="163"/>
        <w:gridCol w:w="163"/>
        <w:gridCol w:w="163"/>
        <w:gridCol w:w="163"/>
        <w:gridCol w:w="316"/>
        <w:gridCol w:w="995"/>
        <w:gridCol w:w="163"/>
        <w:gridCol w:w="163"/>
        <w:gridCol w:w="163"/>
        <w:gridCol w:w="163"/>
        <w:gridCol w:w="109"/>
        <w:gridCol w:w="1662"/>
        <w:gridCol w:w="109"/>
        <w:gridCol w:w="109"/>
        <w:gridCol w:w="496"/>
        <w:gridCol w:w="456"/>
        <w:gridCol w:w="658"/>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4"/>
            <w:tcBorders/>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Amounts Reclassified Out of Accumulated 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Affected Line Item in the Consolidated</w:t>
              <w:br/>
              <w:t>Statements of Operations</w:t>
            </w:r>
          </w:p>
        </w:tc>
        <w:tc>
          <w:tcPr>
            <w:tcW w:w="1828" w:type="dxa"/>
            <w:gridSpan w:val="5"/>
            <w:tcBorders/>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income </w:t>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    EARNINGS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(loss) income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numerator and denominators used in the computation of earnings per share follows:</w:t>
      </w:r>
    </w:p>
    <w:tbl>
      <w:tblPr>
        <w:tblW w:w="7284" w:type="dxa"/>
        <w:jc w:val="left"/>
        <w:tblInd w:w="0" w:type="dxa"/>
        <w:tblLayout w:type="fixed"/>
        <w:tblCellMar>
          <w:top w:w="28" w:type="dxa"/>
          <w:left w:w="28" w:type="dxa"/>
          <w:bottom w:w="28" w:type="dxa"/>
          <w:right w:w="28" w:type="dxa"/>
        </w:tblCellMar>
      </w:tblPr>
      <w:tblGrid>
        <w:gridCol w:w="1637"/>
        <w:gridCol w:w="1445"/>
        <w:gridCol w:w="1447"/>
        <w:gridCol w:w="211"/>
        <w:gridCol w:w="691"/>
        <w:gridCol w:w="109"/>
        <w:gridCol w:w="109"/>
        <w:gridCol w:w="109"/>
        <w:gridCol w:w="109"/>
        <w:gridCol w:w="211"/>
        <w:gridCol w:w="616"/>
        <w:gridCol w:w="109"/>
        <w:gridCol w:w="109"/>
        <w:gridCol w:w="109"/>
        <w:gridCol w:w="109"/>
        <w:gridCol w:w="154"/>
      </w:tblGrid>
      <w:tr>
        <w:trPr/>
        <w:tc>
          <w:tcPr>
            <w:tcW w:w="163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Denominators:</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outstanding, end of period:</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weighted average shares outstanding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potentially dilutive securities:</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and other stock awards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potentially issuable shares</w:t>
            </w:r>
          </w:p>
        </w:tc>
        <w:tc>
          <w:tcPr>
            <w:tcW w:w="9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    OTHER ITEMS AND CHARGES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Expense from Acquisition Activities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and 2023, we recorded charges of $5,010 and $2,863, respectively, comprised primarily of legal, consulting and other similar costs associated with the due diligence, acquisition and integration of acquired businesses, including expenses related to the development of our Mid-Atlantic region, in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11.    RELATED PARTY TRANSACTIONS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fiscal year ended April 30, 1994, we entered into two leases for facilities with a partnership of which John Casella, our Chairman and Chief Executive Officer, and Douglas Casella, a member of our Board of Directors, are the general partners. In the three months ended March 31, 2024, we extended one of these leases through February 2039. The terms of the lease agreement require a monthly payment of approximately $17, subject to a fixed annual escalation.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FAIR VALUE OF FINANCIAL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Assets and Liabilities Accounted for at Fair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include cash and cash equivalents, accounts receivable, restricted investment securities held in trust on deposit with various banks as collateral for our obligations relative to our landfill final capping, closure and post-closure costs, interest rate derivatives, trade payables and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Term SOFR yield curves that are observable at commonly quoted intervals for the full term of the swaps. We recognize all derivatives accounted for on the balance sheet at fair value.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Summaries of our financial assets and liabilities that are measured at fair value on a recurring basis follow:</w:t>
      </w:r>
    </w:p>
    <w:tbl>
      <w:tblPr>
        <w:tblW w:w="8871" w:type="dxa"/>
        <w:jc w:val="left"/>
        <w:tblInd w:w="0" w:type="dxa"/>
        <w:tblLayout w:type="fixed"/>
        <w:tblCellMar>
          <w:top w:w="28" w:type="dxa"/>
          <w:left w:w="28" w:type="dxa"/>
          <w:bottom w:w="28" w:type="dxa"/>
          <w:right w:w="28" w:type="dxa"/>
        </w:tblCellMar>
      </w:tblPr>
      <w:tblGrid>
        <w:gridCol w:w="1470"/>
        <w:gridCol w:w="1299"/>
        <w:gridCol w:w="1311"/>
        <w:gridCol w:w="334"/>
        <w:gridCol w:w="977"/>
        <w:gridCol w:w="175"/>
        <w:gridCol w:w="123"/>
        <w:gridCol w:w="123"/>
        <w:gridCol w:w="123"/>
        <w:gridCol w:w="289"/>
        <w:gridCol w:w="987"/>
        <w:gridCol w:w="150"/>
        <w:gridCol w:w="123"/>
        <w:gridCol w:w="123"/>
        <w:gridCol w:w="123"/>
        <w:gridCol w:w="312"/>
        <w:gridCol w:w="600"/>
        <w:gridCol w:w="229"/>
      </w:tblGrid>
      <w:tr>
        <w:trPr/>
        <w:tc>
          <w:tcPr>
            <w:tcW w:w="147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March 31, 2024 Using:</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investment securities - landfill closure</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5,433 </w:t>
            </w:r>
          </w:p>
        </w:tc>
        <w:tc>
          <w:tcPr>
            <w:tcW w:w="1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9410" w:type="dxa"/>
        <w:jc w:val="center"/>
        <w:tblInd w:w="0" w:type="dxa"/>
        <w:tblLayout w:type="fixed"/>
        <w:tblCellMar>
          <w:top w:w="28" w:type="dxa"/>
          <w:left w:w="28" w:type="dxa"/>
          <w:bottom w:w="28" w:type="dxa"/>
          <w:right w:w="28" w:type="dxa"/>
        </w:tblCellMar>
      </w:tblPr>
      <w:tblGrid>
        <w:gridCol w:w="1470"/>
        <w:gridCol w:w="1299"/>
        <w:gridCol w:w="1311"/>
        <w:gridCol w:w="335"/>
        <w:gridCol w:w="977"/>
        <w:gridCol w:w="172"/>
        <w:gridCol w:w="131"/>
        <w:gridCol w:w="131"/>
        <w:gridCol w:w="131"/>
        <w:gridCol w:w="289"/>
        <w:gridCol w:w="987"/>
        <w:gridCol w:w="149"/>
        <w:gridCol w:w="131"/>
        <w:gridCol w:w="131"/>
        <w:gridCol w:w="131"/>
        <w:gridCol w:w="447"/>
        <w:gridCol w:w="860"/>
        <w:gridCol w:w="328"/>
      </w:tblGrid>
      <w:tr>
        <w:trPr/>
        <w:tc>
          <w:tcPr>
            <w:tcW w:w="147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December 31, 2023 Using:</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 Inputs</w:t>
              <w:br/>
              <w:t>(Level 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investment securities - landfill closure</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11,762 </w:t>
            </w:r>
          </w:p>
        </w:tc>
        <w:tc>
          <w:tcPr>
            <w:tcW w:w="1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Fair Value of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fair value of our fixed rate debt, including our FAME Bonds 2005R-3, FAME Bonds 2015R-1, FAME Bonds 2015R-2, Vermont Bonds 2013, Vermont Bonds 2022A-1, New York Bonds 2014R-1, New York Bonds 2014R-2, New York Bonds 2020, New York Bonds 2020R-2 and New Hampshire Bonds (collectively, the “Industrial Revenue Bonds”) was approximately $228,571 and the carrying value was $232,000. The fair value of the Industrial Revenue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carrying values of our Term Loan Facility and 2023 Term Loan Facility were $349,125 and $413,875, respectively, and the carrying value of our Revolving Credit Facility was zero dollars. Their fair values are based on current borrowing rates for similar types of borrowing arrangements, or Level 2 inputs, and approximate their carrying values.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SEGMENT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report selected information about our reportable operating segments in a manner consistent with that used for internal management reporting. We classify our solid waste operations on a geographic basis through regional operating segments, our Eastern, Western and Mid-Atlantic regions. Revenues associated with our solid waste operations are derived mainly from solid waste collection and disposal services, including landfill, transfer station and transportation services, landfill gas-to-energy services, and processing services in the 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comprised of processing services and non-processing services, which we refer to as our National Accounts business. Revenues from processing services are derived from customers in the form of processing fees, tipping fees, commodity sales, and organic material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Corporate Entities results reflect those costs not allocated to our reportable operating segments.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2024 </w:t>
      </w:r>
    </w:p>
    <w:tbl>
      <w:tblPr>
        <w:tblW w:w="9388" w:type="dxa"/>
        <w:jc w:val="left"/>
        <w:tblInd w:w="0" w:type="dxa"/>
        <w:tblLayout w:type="fixed"/>
        <w:tblCellMar>
          <w:top w:w="28" w:type="dxa"/>
          <w:left w:w="28" w:type="dxa"/>
          <w:bottom w:w="28" w:type="dxa"/>
          <w:right w:w="28" w:type="dxa"/>
        </w:tblCellMar>
      </w:tblPr>
      <w:tblGrid>
        <w:gridCol w:w="612"/>
        <w:gridCol w:w="537"/>
        <w:gridCol w:w="546"/>
        <w:gridCol w:w="109"/>
        <w:gridCol w:w="109"/>
        <w:gridCol w:w="109"/>
        <w:gridCol w:w="211"/>
        <w:gridCol w:w="826"/>
        <w:gridCol w:w="109"/>
        <w:gridCol w:w="109"/>
        <w:gridCol w:w="109"/>
        <w:gridCol w:w="109"/>
        <w:gridCol w:w="240"/>
        <w:gridCol w:w="821"/>
        <w:gridCol w:w="125"/>
        <w:gridCol w:w="109"/>
        <w:gridCol w:w="109"/>
        <w:gridCol w:w="109"/>
        <w:gridCol w:w="273"/>
        <w:gridCol w:w="935"/>
        <w:gridCol w:w="143"/>
        <w:gridCol w:w="109"/>
        <w:gridCol w:w="109"/>
        <w:gridCol w:w="109"/>
        <w:gridCol w:w="233"/>
        <w:gridCol w:w="681"/>
        <w:gridCol w:w="120"/>
        <w:gridCol w:w="109"/>
        <w:gridCol w:w="109"/>
        <w:gridCol w:w="109"/>
        <w:gridCol w:w="211"/>
        <w:gridCol w:w="97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Outside</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Inter-company</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assets</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Mid-Atlantic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(72,260)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54,037 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2,477,254 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2023 </w:t>
      </w:r>
    </w:p>
    <w:tbl>
      <w:tblPr>
        <w:tblW w:w="9395" w:type="dxa"/>
        <w:jc w:val="left"/>
        <w:tblInd w:w="0" w:type="dxa"/>
        <w:tblLayout w:type="fixed"/>
        <w:tblCellMar>
          <w:top w:w="28" w:type="dxa"/>
          <w:left w:w="28" w:type="dxa"/>
          <w:bottom w:w="28" w:type="dxa"/>
          <w:right w:w="28" w:type="dxa"/>
        </w:tblCellMar>
      </w:tblPr>
      <w:tblGrid>
        <w:gridCol w:w="612"/>
        <w:gridCol w:w="537"/>
        <w:gridCol w:w="546"/>
        <w:gridCol w:w="109"/>
        <w:gridCol w:w="109"/>
        <w:gridCol w:w="109"/>
        <w:gridCol w:w="211"/>
        <w:gridCol w:w="826"/>
        <w:gridCol w:w="109"/>
        <w:gridCol w:w="109"/>
        <w:gridCol w:w="109"/>
        <w:gridCol w:w="109"/>
        <w:gridCol w:w="240"/>
        <w:gridCol w:w="821"/>
        <w:gridCol w:w="125"/>
        <w:gridCol w:w="109"/>
        <w:gridCol w:w="109"/>
        <w:gridCol w:w="109"/>
        <w:gridCol w:w="273"/>
        <w:gridCol w:w="935"/>
        <w:gridCol w:w="143"/>
        <w:gridCol w:w="109"/>
        <w:gridCol w:w="109"/>
        <w:gridCol w:w="109"/>
        <w:gridCol w:w="211"/>
        <w:gridCol w:w="721"/>
        <w:gridCol w:w="109"/>
        <w:gridCol w:w="109"/>
        <w:gridCol w:w="109"/>
        <w:gridCol w:w="109"/>
        <w:gridCol w:w="211"/>
        <w:gridCol w:w="97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Outside</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Inter-company</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assets</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Mid-Atlantic </w:t>
            </w: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1,419,890 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(1)Operations under the Mid-Atlantic region commenced July 1,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revenues attributable to services provided follows:</w:t>
      </w:r>
    </w:p>
    <w:tbl>
      <w:tblPr>
        <w:tblW w:w="5695" w:type="dxa"/>
        <w:jc w:val="left"/>
        <w:tblInd w:w="0" w:type="dxa"/>
        <w:tblLayout w:type="fixed"/>
        <w:tblCellMar>
          <w:top w:w="28" w:type="dxa"/>
          <w:left w:w="28" w:type="dxa"/>
          <w:bottom w:w="28" w:type="dxa"/>
          <w:right w:w="28" w:type="dxa"/>
        </w:tblCellMar>
      </w:tblPr>
      <w:tblGrid>
        <w:gridCol w:w="938"/>
        <w:gridCol w:w="824"/>
        <w:gridCol w:w="833"/>
        <w:gridCol w:w="211"/>
        <w:gridCol w:w="826"/>
        <w:gridCol w:w="109"/>
        <w:gridCol w:w="109"/>
        <w:gridCol w:w="109"/>
        <w:gridCol w:w="109"/>
        <w:gridCol w:w="211"/>
        <w:gridCol w:w="826"/>
        <w:gridCol w:w="109"/>
        <w:gridCol w:w="109"/>
        <w:gridCol w:w="109"/>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Times New Roman;sans-serif" w:hAnsi="Times New Roman;sans-serif"/>
          <w:b w:val="false"/>
          <w:color w:val="000000"/>
          <w:sz w:val="20"/>
        </w:rPr>
        <w:t>The following discussion should be read in conjunction with our unaudited consolidated financial statements and notes thereto included under Item 1. “</w:t>
      </w:r>
      <w:r>
        <w:rPr>
          <w:rFonts w:ascii="Times New Roman;sans-serif" w:hAnsi="Times New Roman;sans-serif"/>
          <w:b w:val="false"/>
          <w:i/>
          <w:color w:val="000000"/>
          <w:sz w:val="20"/>
        </w:rPr>
        <w:t>Financial Statements</w:t>
      </w:r>
      <w:r>
        <w:rPr>
          <w:color w:val="000000"/>
        </w:rPr>
        <w:t>”</w:t>
      </w:r>
      <w:r>
        <w:rPr>
          <w:rFonts w:ascii="Times New Roman;sans-serif" w:hAnsi="Times New Roman;sans-serif"/>
          <w:b w:val="false"/>
          <w:color w:val="000000"/>
          <w:sz w:val="20"/>
        </w:rPr>
        <w:t>. In addition, reference should be made to our audited consolidated financial statements and notes thereto and related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appearing in our Annual Report on Form 10-K for the fiscal year ended December 31, 2023 (“fiscal year 2023”) filed with the Securities and Exchange Commission on February 16, 2024 (“2023 Form 10-K”).</w:t>
      </w:r>
    </w:p>
    <w:p>
      <w:pPr>
        <w:pStyle w:val="TextBody"/>
        <w:bidi w:val="0"/>
        <w:spacing w:lineRule="auto" w:line="288" w:before="120" w:after="283"/>
        <w:jc w:val="left"/>
        <w:rPr/>
      </w:pPr>
      <w:r>
        <w:rPr>
          <w:rFonts w:ascii="Times New Roman;sans-serif" w:hAnsi="Times New Roman;sans-serif"/>
          <w:b w:val="false"/>
          <w:color w:val="000000"/>
          <w:sz w:val="20"/>
        </w:rPr>
        <w:t>This Quarterly Report on Form 10-Q and, in particular, this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may contain or incorporate a number of forward-looking statements within the meaning of Section 27A of the Securities Act of 1933, as amended, and Section 21E of the Exchange Act of 1934, as amended, including statements regarding:</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the projected development of additional disposal capacity or expectations regarding permits for existing capacity;</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the outcome of any legal or regulatory matter;</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expected liquidity and financing plans;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expected future revenues, operations, expenditures and cash needs;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whether our pricing programs and operational initiatives will outpace higher operating and construction costs from inflation and regulatory changes;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fluctuations in recycling commodity pricing, increases in landfill tipping fees and fuel costs and general economic and weather conditions;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projected future obligations related to final capping, closure and post-closure costs of our existing landfills and any disposal facilities which we may own or operate in the future;</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our ability to use our net operating losses and tax positions;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our ability to service our debt obligations;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the recoverability or impairment of any of our assets or goodwill;</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estimates of the potential markets for our products and services, including the anticipated drivers for future growth;</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sales and marketing plans or price and volume assumptions;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potential business combinations or divestitures;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projected improvements to our infrastructure and the impact of such improvements on our business and operations; and</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general economic factors, such as ongoing or potential geopolitical conflict, pandemics, recessions, or similar national or global events, and general macroeconomic conditions, including, among other things, consumer confidence, global supply chain disruptions, inflation, labor supply, fuel prices, interest rates and access to capital markets that generally are not within our control, and our exposure to credit and counterparty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pStyle w:val="TextBody"/>
        <w:bidi w:val="0"/>
        <w:spacing w:lineRule="auto" w:line="288" w:before="120" w:after="283"/>
        <w:jc w:val="left"/>
        <w:rPr/>
      </w:pPr>
      <w:r>
        <w:rPr>
          <w:rFonts w:ascii="Times New Roman;sans-serif" w:hAnsi="Times New Roman;sans-serif"/>
          <w:b w:val="false"/>
          <w:color w:val="000000"/>
          <w:sz w:val="20"/>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2023 Form 10-K and those included under Part II,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of this Quarterly Report on Form 10-Q.</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may be additional risks that we are not presently aware of or that we currently believe are immaterial, which could have an adverse impact on our business. We explicitly disclaim any obligation to update any forward-looking statements whether as the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integrated solid waste services in nine states: Vermont, New Hampshire, New York, Massachusetts, Connecticut, Maine, Pennsylvania, Delaware and Maryland, with our headquarters located in Rutland, Vermont. We manage our solid waste operations on a geographic basis through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15, 2024, we owned and/or operated 63 solid waste collection operations, 69 transfer stations, 28 recycling facilities, eight Subtitle D landfills, three landfill gas-to-energy facilities and one landfill permitted to accept construction and demolition (“C&amp;D”) materials. We also housed two landfill gas-to-energy facilities, which are owned and operated by third parties, at landfills we owned and/or operated.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solid waste operations, which include a full range of solid waste services, on a geographic basis through regional operating segments, which we designate as the Eastern, Western and Mid-Atlantic regions. Revenues associated with our solid waste operations are derived mainly from fees charged to customers for solid waste collection and disposal services, including landfill, transfer station and transportation services, landfill gas-to-energy services, and processing services in the eastern United States.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at certain of our landfill facilities. We manage our resource renewal operations through the Resource Solutions operating segment, which includes processing services and non-processing services, which we refer to as our National Accounts business. Revenues from processing services are derived from customers in the form of processing fees, tipping fees, commodity sales, primarily comprised of newspaper, corrugated containers, plastics, ferrous and aluminum, and organic materials such as our earthlife® soils products including fertilizers, composts and mulches.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shows revenues attributable to services provided (dollars in millions and as a percentage of total revenues) for the following periods:</w:t>
      </w:r>
    </w:p>
    <w:tbl>
      <w:tblPr>
        <w:tblW w:w="9515" w:type="dxa"/>
        <w:jc w:val="left"/>
        <w:tblInd w:w="0" w:type="dxa"/>
        <w:tblLayout w:type="fixed"/>
        <w:tblCellMar>
          <w:top w:w="28" w:type="dxa"/>
          <w:left w:w="28" w:type="dxa"/>
          <w:bottom w:w="28" w:type="dxa"/>
          <w:right w:w="28" w:type="dxa"/>
        </w:tblCellMar>
      </w:tblPr>
      <w:tblGrid>
        <w:gridCol w:w="938"/>
        <w:gridCol w:w="824"/>
        <w:gridCol w:w="833"/>
        <w:gridCol w:w="211"/>
        <w:gridCol w:w="616"/>
        <w:gridCol w:w="109"/>
        <w:gridCol w:w="109"/>
        <w:gridCol w:w="109"/>
        <w:gridCol w:w="109"/>
        <w:gridCol w:w="307"/>
        <w:gridCol w:w="309"/>
        <w:gridCol w:w="271"/>
        <w:gridCol w:w="109"/>
        <w:gridCol w:w="109"/>
        <w:gridCol w:w="109"/>
        <w:gridCol w:w="211"/>
        <w:gridCol w:w="616"/>
        <w:gridCol w:w="109"/>
        <w:gridCol w:w="109"/>
        <w:gridCol w:w="109"/>
        <w:gridCol w:w="109"/>
        <w:gridCol w:w="307"/>
        <w:gridCol w:w="309"/>
        <w:gridCol w:w="271"/>
        <w:gridCol w:w="109"/>
        <w:gridCol w:w="109"/>
        <w:gridCol w:w="109"/>
        <w:gridCol w:w="211"/>
        <w:gridCol w:w="511"/>
        <w:gridCol w:w="109"/>
        <w:gridCol w:w="109"/>
        <w:gridCol w:w="109"/>
        <w:gridCol w:w="109"/>
        <w:gridCol w:w="109"/>
        <w:gridCol w:w="109"/>
        <w:gridCol w:w="109"/>
        <w:gridCol w:w="109"/>
        <w:gridCol w:w="109"/>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Solid waste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and as percentage growth of solid waste revenues) follows:</w:t>
      </w:r>
    </w:p>
    <w:tbl>
      <w:tblPr>
        <w:tblW w:w="8894" w:type="dxa"/>
        <w:jc w:val="left"/>
        <w:tblInd w:w="0" w:type="dxa"/>
        <w:tblLayout w:type="fixed"/>
        <w:tblCellMar>
          <w:top w:w="28" w:type="dxa"/>
          <w:left w:w="28" w:type="dxa"/>
          <w:bottom w:w="28" w:type="dxa"/>
          <w:right w:w="28" w:type="dxa"/>
        </w:tblCellMar>
      </w:tblPr>
      <w:tblGrid>
        <w:gridCol w:w="918"/>
        <w:gridCol w:w="809"/>
        <w:gridCol w:w="823"/>
        <w:gridCol w:w="751"/>
        <w:gridCol w:w="1819"/>
        <w:gridCol w:w="388"/>
        <w:gridCol w:w="388"/>
        <w:gridCol w:w="388"/>
        <w:gridCol w:w="388"/>
        <w:gridCol w:w="388"/>
        <w:gridCol w:w="388"/>
        <w:gridCol w:w="965"/>
        <w:gridCol w:w="109"/>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 for the Three Months Ended March 31, 2024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Volume</w:t>
            </w:r>
            <w:r>
              <w:rPr>
                <w:color w:val="000000"/>
              </w:rPr>
              <w:t xml:space="preserve"> </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price and volume</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items impacting the change in our solid waste revenues during the three months ended March 31, 2024 as compared to the prior year period are summarized below:</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Price increased solid waste revenues due to (i) $8.7 million, or 6.2% as a percentage of collection operations, from favorable collection pricing and (ii) $2.1 million, or 4.0% as a percentage of disposal operations, from favorable disposal pricing driven by our landfills and transfer stations.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Volume decreased solid waste revenues due to (i) $(3.7) million, or (7.5)% as a percentage of disposal operations, from lower disposal volumes, primarily lower landfill volumes and to a lesser extent transportation volumes, partially offset by higher transfer station volumes, and (ii) $(1.7) million, or (1.2)% as a percentage of collection operations, from lower collection volumes.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Acquisitions increased solid waste revenues due to the rollover impact of the seven acquisitions we completed in fiscal year 2023, including the acquisition of solid waste collection, transfer and recycling operations in Pennsylvania, Maryland and Delaware, which are the basis of our newly formed regional operating segment, the Mid-Atlantic region (the “GFL Acquisition”), and the acquisition of collection, transfer and recycling operations in the greater Albany, New York Area (dba Twin Bridges).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Surcharges and other fees decreased solid waste revenues primarily due to (i) lower energy and environmental fees (“E&amp;E Fee(s)”) revenues associated with our fuel cost recovery program as a result of lower diesel fuel prices and (ii) lower sustainability recycling adjustment fees (“SRA Fee(s)”) revenues as a result of higher recycled commodity prices; partially offset by new fees related to legacy fuel and environmental cost recovery programs associated with the GFL Acquisition. See Item 3.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included in this Quarterly Report on Form 10-Q for additional information regarding our E&amp;E Fees and SRA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Resource Solutions revenues</w:t>
      </w:r>
    </w:p>
    <w:p>
      <w:pPr>
        <w:pStyle w:val="TextBody"/>
        <w:bidi w:val="0"/>
        <w:spacing w:lineRule="auto" w:line="288" w:before="120" w:after="283"/>
        <w:jc w:val="left"/>
        <w:rPr/>
      </w:pPr>
      <w:r>
        <w:rPr>
          <w:rFonts w:ascii="Times New Roman;sans-serif" w:hAnsi="Times New Roman;sans-serif"/>
          <w:b w:val="false"/>
          <w:color w:val="000000"/>
          <w:sz w:val="20"/>
        </w:rPr>
        <w:t>See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below for discussion over the period-to-period change in Resource Solutions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cost of operations, general and administration expense, and depreciation and amortization expense is as follows (dollars in millions and as a percentage of total revenues):</w:t>
      </w:r>
    </w:p>
    <w:tbl>
      <w:tblPr>
        <w:tblW w:w="9305" w:type="dxa"/>
        <w:jc w:val="left"/>
        <w:tblInd w:w="0" w:type="dxa"/>
        <w:tblLayout w:type="fixed"/>
        <w:tblCellMar>
          <w:top w:w="28" w:type="dxa"/>
          <w:left w:w="28" w:type="dxa"/>
          <w:bottom w:w="28" w:type="dxa"/>
          <w:right w:w="28" w:type="dxa"/>
        </w:tblCellMar>
      </w:tblPr>
      <w:tblGrid>
        <w:gridCol w:w="939"/>
        <w:gridCol w:w="827"/>
        <w:gridCol w:w="82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09"/>
        <w:gridCol w:w="109"/>
        <w:gridCol w:w="109"/>
        <w:gridCol w:w="109"/>
        <w:gridCol w:w="109"/>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major components of our cost of operations is as follows (dollars in millions and as a percentage of total revenues):</w:t>
      </w:r>
    </w:p>
    <w:tbl>
      <w:tblPr>
        <w:tblW w:w="9200" w:type="dxa"/>
        <w:jc w:val="left"/>
        <w:tblInd w:w="0" w:type="dxa"/>
        <w:tblLayout w:type="fixed"/>
        <w:tblCellMar>
          <w:top w:w="28" w:type="dxa"/>
          <w:left w:w="28" w:type="dxa"/>
          <w:bottom w:w="28" w:type="dxa"/>
          <w:right w:w="28" w:type="dxa"/>
        </w:tblCellMar>
      </w:tblPr>
      <w:tblGrid>
        <w:gridCol w:w="901"/>
        <w:gridCol w:w="793"/>
        <w:gridCol w:w="796"/>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09"/>
        <w:gridCol w:w="109"/>
        <w:gridCol w:w="109"/>
        <w:gridCol w:w="109"/>
        <w:gridCol w:w="109"/>
        <w:gridCol w:w="109"/>
        <w:gridCol w:w="109"/>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labor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operational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and repair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operational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cost categories may change from time to time and may not be comparable to similarly titled categories presented by other companies. </w:t>
      </w:r>
    </w:p>
    <w:p>
      <w:pPr>
        <w:pStyle w:val="TextBody"/>
        <w:bidi w:val="0"/>
        <w:spacing w:lineRule="auto" w:line="288" w:before="120" w:after="283"/>
        <w:jc w:val="left"/>
        <w:rPr/>
      </w:pPr>
      <w:r>
        <w:rPr>
          <w:rFonts w:ascii="Times New Roman;sans-serif" w:hAnsi="Times New Roman;sans-serif"/>
          <w:b w:val="false"/>
          <w:color w:val="000000"/>
          <w:sz w:val="20"/>
        </w:rPr>
        <w:t>The most significant items impacting the change in our cost of operations during the three months ended March 31, 2024 as compared to the prior year period are summ</w:t>
      </w:r>
      <w:r>
        <w:rPr>
          <w:rFonts w:ascii="Times New Roman;sans-serif" w:hAnsi="Times New Roman;sans-serif"/>
          <w:b w:val="false"/>
          <w:color w:val="000000"/>
          <w:sz w:val="20"/>
          <w:shd w:fill="FFFFFF" w:val="clear"/>
        </w:rPr>
        <w:t>arized below:</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Direct costs increased in aggregate dollars due primarily to (i) acquisitions and (ii) higher third-party disposal rates reflecting cost inflation; partially offset in dollars, and more than offset as a percentage of revenues, by lower hauling and transportation costs on lower volumes associated with our National Accounts business, which operates with direct costs representing a higher percentage of related revenues.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Direct labor costs increased due primarily to (i) acquisitions and (ii) higher wages and benefit costs reflecting cost inflation; partially offset by improved routing efficiencies.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Direct operational costs increased in aggregate dollars due primarily to (i) acquisitions, (ii) higher leachate disposal costs, (iii) higher short term rental expense driven by delays in the delivery of fleet vehicles as well as new municipal contracts, and (v) general cost inflation.</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Fuel costs increased in aggregate dollars due to acquisitions, partially offset in dollars, and more than offset as a percentage of revenues, by lower diesel fuel prices along with reduced fuel consumption in our base business related to lower solid waste volumes and improved routing efficiencies. See Item 3.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 xml:space="preserve">of this Quarterly Report on Form 10-Q for additional information regarding our fuel costs.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Maintenance and repair costs increased due to (i) acquisitions, (ii) higher personnel and parts costs reflecting cost inflation, and (iii) higher vehicle maintenance costs driven by delays in the delivery of fleet replacements.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Other operational costs increased due to (i) acquisitions, (ii) higher spend associated with supporting acquisition-related growth, and (iii) general cost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 expense includes: (i) labor costs, which consist of salaries, wages, incentive compensation and related benefit costs such as health and welfare benefits and workers compensation costs related to management, clerical and administrative functions; (ii) professional service fees; (iii) provision for expected credit losses; and (iv) other overhead costs including those associated with marketing, sales and community relations efforts.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major components of our general and administration expense is as follows (dollars in millions and as a percentage of total revenues):</w:t>
      </w:r>
    </w:p>
    <w:tbl>
      <w:tblPr>
        <w:tblW w:w="9380" w:type="dxa"/>
        <w:jc w:val="left"/>
        <w:tblInd w:w="0" w:type="dxa"/>
        <w:tblLayout w:type="fixed"/>
        <w:tblCellMar>
          <w:top w:w="28" w:type="dxa"/>
          <w:left w:w="28" w:type="dxa"/>
          <w:bottom w:w="28" w:type="dxa"/>
          <w:right w:w="28" w:type="dxa"/>
        </w:tblCellMar>
      </w:tblPr>
      <w:tblGrid>
        <w:gridCol w:w="1077"/>
        <w:gridCol w:w="949"/>
        <w:gridCol w:w="959"/>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255"/>
        <w:gridCol w:w="256"/>
        <w:gridCol w:w="271"/>
        <w:gridCol w:w="109"/>
        <w:gridCol w:w="109"/>
        <w:gridCol w:w="109"/>
        <w:gridCol w:w="211"/>
        <w:gridCol w:w="406"/>
        <w:gridCol w:w="109"/>
        <w:gridCol w:w="109"/>
        <w:gridCol w:w="109"/>
        <w:gridCol w:w="109"/>
        <w:gridCol w:w="109"/>
        <w:gridCol w:w="109"/>
        <w:gridCol w:w="109"/>
        <w:gridCol w:w="109"/>
        <w:gridCol w:w="109"/>
        <w:gridCol w:w="109"/>
        <w:gridCol w:w="154"/>
      </w:tblGrid>
      <w:tr>
        <w:trPr/>
        <w:tc>
          <w:tcPr>
            <w:tcW w:w="107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cost categories may change from time to time and may not be comparable to similarly titled categories presented by other companies.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in the three months ended March 31, 2024 as compared to the prior year period, primarily due to (i) acquisition activity, including increased labor costs, professional fees and other costs to support our growth and acquisition strategy, (ii) escalation of salary, wage, incentive compensation and benefit costs, and (iii) general cost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based on the economic benefit provided, or using the sum of years digits or straight-line methods over the definitive terms of the related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components of depreciation and amortization expense (dollars in millions and as a percentage of total revenues) follows:</w:t>
      </w:r>
    </w:p>
    <w:tbl>
      <w:tblPr>
        <w:tblW w:w="9065" w:type="dxa"/>
        <w:jc w:val="left"/>
        <w:tblInd w:w="0" w:type="dxa"/>
        <w:tblLayout w:type="fixed"/>
        <w:tblCellMar>
          <w:top w:w="28" w:type="dxa"/>
          <w:left w:w="28" w:type="dxa"/>
          <w:bottom w:w="28" w:type="dxa"/>
          <w:right w:w="28" w:type="dxa"/>
        </w:tblCellMar>
      </w:tblPr>
      <w:tblGrid>
        <w:gridCol w:w="929"/>
        <w:gridCol w:w="817"/>
        <w:gridCol w:w="819"/>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109"/>
        <w:gridCol w:w="109"/>
        <w:gridCol w:w="109"/>
        <w:gridCol w:w="109"/>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amortization expense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in the three months ended March 31, 2024 as compared to the prior year period, primarily due to (i) acquisitions, including the impact of accelerated amortization schedules of certain intangibles, (ii) investment in property and equipment in our existing operations, and (iii) higher landfill amortization expense related to changes in cost and other assumptions from the prior year periods, more than offsetting lower landfill volumes.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Expense from Acquisition Activities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and 2023, we recorded charges of $5.0 million and $2.9 million, respectively, comprised primarily of legal, consulting, rebranding and other similar costs associated with the due diligence, acquisition and integration of acquired businesses, including expenses related to the development of our Mid-Atlantic region, in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Other Expenses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expense, net increased $6.8 million as compared to the prior year period due primarily to: (i) entering into a $430.0 million aggregate principal amount term loan A facility (“2023 Term Loan Facility”) to fund the GFL Acquisition in June 2023, (ii) rising interest rates, and (iii) the issuance of $35.0 million aggregate principal amount of New York State Environmental Facilities Corporation Solid Waste Disposal Revenue Bonds Series 2020R-2 in August 2023; partially offset by higher interest income associated with the timing of financing activities resulting in a higher average cash balance and rising interest 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(Benefit) Provision for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decreased $2.6 million in the three months ended March 31, 2024 from the prior year period. The benefit of $(1.8) million for the three months ended March 31, 2024 included $0.6 million of current income taxes and $(2.4) million of deferred income tax benefit. For the three months ended March 31, 2023, the provision of $0.8 million included $0.5 million of current income taxes and $0.3 million of deferred income taxes. The 30.0% effective rate for the three months ended March 31, 2024 was computed based on the statutory rate of 21% adjusted primarily for state taxes, nondeductible officer compensation, an increase in the effective state rate due to tax losses in certain states requiring a valuation allowance, and partially offset by tax deductible equity compensation in excess of book expense. This effective rate exceeded the 18.2% effective rate for the three months ended March 31, 2023 primarily due to the current period rate having lower tax deductible equity compensation in excess of book expense and an increase in the effective state rate for tax losses in certain states requiring valuation losses.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2017, the Tax Cuts and Jobs Act (the “TCJ Act”) was enacted. The TCJ Act significantly changed U.S. corporate income tax laws by, among other things, changing carryforward rules for net operating losses. Our $7.2 million in federal net operating loss carryforwards generated as of the end of 2017 continue to be carried forward for 20 years and are expected to be available to fully offset taxable income earned in 2024 and future years. Federal net operating losses generated after 2017, totaling $125.7 million carried forward to 2024, will be carried forward indefinitely, but generally may only offset up to 80% of taxable income earned in a tax year.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TCJ Act added limitations on the deductibility of interest expense and potentially could limit the deductibility of some of our interest expense. Any interest expense limited may be carried forward indefinitely and utilized in later years subject to the interest limitation.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revenues by reportable operating segment (in millions) follows:</w:t>
      </w:r>
    </w:p>
    <w:tbl>
      <w:tblPr>
        <w:tblW w:w="5751" w:type="dxa"/>
        <w:jc w:val="left"/>
        <w:tblInd w:w="0" w:type="dxa"/>
        <w:tblLayout w:type="fixed"/>
        <w:tblCellMar>
          <w:top w:w="28" w:type="dxa"/>
          <w:left w:w="28" w:type="dxa"/>
          <w:bottom w:w="28" w:type="dxa"/>
          <w:right w:w="28" w:type="dxa"/>
        </w:tblCellMar>
      </w:tblPr>
      <w:tblGrid>
        <w:gridCol w:w="612"/>
        <w:gridCol w:w="537"/>
        <w:gridCol w:w="546"/>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109"/>
        <w:gridCol w:w="109"/>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Mid-Atlantic </w:t>
            </w:r>
            <w:r>
              <w:rPr>
                <w:rFonts w:ascii="Times New Roman;sans-serif" w:hAnsi="Times New Roman;sans-serif"/>
                <w:b w:val="false"/>
                <w:color w:val="000000"/>
                <w:sz w:val="16"/>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(1)Operations under the Mid-Atlantic region commenced July 1, 2023.</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operating income (loss) by operating segment (in millions) follows: </w:t>
      </w:r>
    </w:p>
    <w:tbl>
      <w:tblPr>
        <w:tblW w:w="5406" w:type="dxa"/>
        <w:jc w:val="left"/>
        <w:tblInd w:w="0" w:type="dxa"/>
        <w:tblLayout w:type="fixed"/>
        <w:tblCellMar>
          <w:top w:w="28" w:type="dxa"/>
          <w:left w:w="28" w:type="dxa"/>
          <w:bottom w:w="28" w:type="dxa"/>
          <w:right w:w="28" w:type="dxa"/>
        </w:tblCellMar>
      </w:tblPr>
      <w:tblGrid>
        <w:gridCol w:w="612"/>
        <w:gridCol w:w="537"/>
        <w:gridCol w:w="546"/>
        <w:gridCol w:w="211"/>
        <w:gridCol w:w="406"/>
        <w:gridCol w:w="109"/>
        <w:gridCol w:w="109"/>
        <w:gridCol w:w="109"/>
        <w:gridCol w:w="109"/>
        <w:gridCol w:w="211"/>
        <w:gridCol w:w="511"/>
        <w:gridCol w:w="109"/>
        <w:gridCol w:w="109"/>
        <w:gridCol w:w="109"/>
        <w:gridCol w:w="109"/>
        <w:gridCol w:w="211"/>
        <w:gridCol w:w="481"/>
        <w:gridCol w:w="109"/>
        <w:gridCol w:w="109"/>
        <w:gridCol w:w="109"/>
        <w:gridCol w:w="109"/>
        <w:gridCol w:w="109"/>
        <w:gridCol w:w="109"/>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Mid-Atlantic </w:t>
            </w:r>
            <w:r>
              <w:rPr>
                <w:rFonts w:ascii="Times New Roman;sans-serif" w:hAnsi="Times New Roman;sans-serif"/>
                <w:b w:val="false"/>
                <w:color w:val="000000"/>
                <w:sz w:val="16"/>
              </w:rPr>
              <w:t>(1)</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Entities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(1)Operations under the Mid-Atlantic region commenced July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Eastern Region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and as percentage growth of solid waste revenues) follows:</w:t>
      </w:r>
    </w:p>
    <w:tbl>
      <w:tblPr>
        <w:tblW w:w="8894" w:type="dxa"/>
        <w:jc w:val="left"/>
        <w:tblInd w:w="0" w:type="dxa"/>
        <w:tblLayout w:type="fixed"/>
        <w:tblCellMar>
          <w:top w:w="28" w:type="dxa"/>
          <w:left w:w="28" w:type="dxa"/>
          <w:bottom w:w="28" w:type="dxa"/>
          <w:right w:w="28" w:type="dxa"/>
        </w:tblCellMar>
      </w:tblPr>
      <w:tblGrid>
        <w:gridCol w:w="918"/>
        <w:gridCol w:w="809"/>
        <w:gridCol w:w="823"/>
        <w:gridCol w:w="751"/>
        <w:gridCol w:w="1819"/>
        <w:gridCol w:w="388"/>
        <w:gridCol w:w="388"/>
        <w:gridCol w:w="388"/>
        <w:gridCol w:w="388"/>
        <w:gridCol w:w="388"/>
        <w:gridCol w:w="388"/>
        <w:gridCol w:w="965"/>
        <w:gridCol w:w="109"/>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 for the Three Months Ended March 31, 2024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price and volume</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 increased in the three months ended March 31, 2024 as compared to the prior year period, primarily driven by (i) the contribution from acquisitions, (ii) favorable collection pricing of $4.1 million, or 6.8% as a percentage of collection operations, (iii) favorable disposal pricing of $0.7 million, or 3.1% as a percentage of disposal operations, and (iv) higher disposal volume of $0.9 million, or 4.3% as a percentage of disposal operations; partially offset by (a) lower surcharges and fees, as well as (b) lower collection volume of $(0.6) million, or (0.9)% as a percentage of collection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in the three months ended March 31, 2024 by $1.5 million as compared to the prior year period. The period-over-period increase was driven by revenue growth, described above, as well as intercompany revenues, and lower costs due to improved routing efficiencies; partially offset by (i) higher costs associated with operating and supporting acquired businesses, (ii) increased depreciation expense due to investment in property and equipment, (iii) general cost inflation, including for disposal, labor, and maintenance costs, as well as (iv) higher leachate disposal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Western Region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and as percentage growth of solid waste revenues) follows:</w:t>
      </w:r>
    </w:p>
    <w:tbl>
      <w:tblPr>
        <w:tblW w:w="8894" w:type="dxa"/>
        <w:jc w:val="left"/>
        <w:tblInd w:w="0" w:type="dxa"/>
        <w:tblLayout w:type="fixed"/>
        <w:tblCellMar>
          <w:top w:w="28" w:type="dxa"/>
          <w:left w:w="28" w:type="dxa"/>
          <w:bottom w:w="28" w:type="dxa"/>
          <w:right w:w="28" w:type="dxa"/>
        </w:tblCellMar>
      </w:tblPr>
      <w:tblGrid>
        <w:gridCol w:w="918"/>
        <w:gridCol w:w="809"/>
        <w:gridCol w:w="823"/>
        <w:gridCol w:w="751"/>
        <w:gridCol w:w="1819"/>
        <w:gridCol w:w="388"/>
        <w:gridCol w:w="388"/>
        <w:gridCol w:w="388"/>
        <w:gridCol w:w="388"/>
        <w:gridCol w:w="388"/>
        <w:gridCol w:w="388"/>
        <w:gridCol w:w="965"/>
        <w:gridCol w:w="109"/>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 for the Three Months Ended March 31, 2024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Volume </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price and volume</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 increased in the three months ended March 31, 2024 as compared to the prior year period, primarily driven by (i) the contribution from acquisitions, (ii) favorable collection pricing of $4.6 million, or 5.8% as a percentage of collection operations, (iii) favorable disposal pricing of $1.4 million, or 4.7% as a percentage of disposal operations; partially offset by (a) lower surcharges and fees, (b) lower disposal volume of $(4.8) million, or (15.9)% as a percentage of disposal operations, driven by lower landfill C&amp;D and special waste volumes, and (c) lower collection volume of $(1.1) million, or (1.4)% as a percentage of collection operations, due to customer churn.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val="false"/>
          <w:color w:val="000000"/>
          <w:sz w:val="20"/>
        </w:rPr>
        <w:t>Operating income declined in the three months ended March 31, 2024 by $(3.7) million as compared to the prior year period. The period-over-period decline was due to (i) higher costs associated with operating and supporting acquired businesses, including the impact of accelerated amortization schedules of certain intangibles, (ii) increased depreciation expense due to investment in property and equipment, (iii) general cost inflation, including for disposal, labor, and maintenance costs, (iv) delays in the delivery of fleet vehicles resulting in higher short term rental and vehicle maintenance costs, (v) higher leachate disposal costs, and (vi) a gain on resolution of acquisition-related contingent consideration that was recorded in the three months ended March 31, 2023 associated with the reversal of a contingency for a transfer station permit expansion that is no longer deemed viable; partially offset by (a) revenue growth, described above, (b) intercompany revenues, (c) lower expense from acquisition activities, and (d) improved routing efficiencies. See further discussion about the expense from acquisition activities above in “</w:t>
      </w: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Mid-Atlantic Region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follows:</w:t>
      </w:r>
    </w:p>
    <w:tbl>
      <w:tblPr>
        <w:tblW w:w="8738" w:type="dxa"/>
        <w:jc w:val="left"/>
        <w:tblInd w:w="0" w:type="dxa"/>
        <w:tblLayout w:type="fixed"/>
        <w:tblCellMar>
          <w:top w:w="28" w:type="dxa"/>
          <w:left w:w="28" w:type="dxa"/>
          <w:bottom w:w="28" w:type="dxa"/>
          <w:right w:w="28" w:type="dxa"/>
        </w:tblCellMar>
      </w:tblPr>
      <w:tblGrid>
        <w:gridCol w:w="787"/>
        <w:gridCol w:w="692"/>
        <w:gridCol w:w="696"/>
        <w:gridCol w:w="1488"/>
        <w:gridCol w:w="3604"/>
        <w:gridCol w:w="772"/>
        <w:gridCol w:w="109"/>
        <w:gridCol w:w="109"/>
        <w:gridCol w:w="109"/>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60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 for the Three Months Ended March 31, 2024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5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5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5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w:t>
            </w:r>
          </w:p>
        </w:tc>
        <w:tc>
          <w:tcPr>
            <w:tcW w:w="5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5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w:t>
            </w:r>
          </w:p>
        </w:tc>
        <w:tc>
          <w:tcPr>
            <w:tcW w:w="1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val="false"/>
          <w:color w:val="000000"/>
          <w:sz w:val="20"/>
        </w:rPr>
        <w:t>Collection and transfer station operations for our Mid-Atlantic region operating segment commenced on July 1, 2023 following the GFL Acquisition. The operating loss of $(4.8) million was impacted by $3.0 million of expense from acquisition activities, comprised of legal, consulting and integration costs related to the GFL Acquisition, as well as the impact of accelerated amortization schedules of certain acquired intangibles. See further discussion about the expense from acquisition activities above in “</w:t>
      </w: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Resource Solutions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and as percentage growth of solid waste revenues) follows:</w:t>
      </w:r>
    </w:p>
    <w:p>
      <w:pPr>
        <w:pStyle w:val="TextBody"/>
        <w:bidi w:val="0"/>
        <w:spacing w:before="0" w:after="0"/>
        <w:jc w:val="left"/>
        <w:rPr/>
      </w:pPr>
      <w:r>
        <w:rPr/>
      </w:r>
    </w:p>
    <w:tbl>
      <w:tblPr>
        <w:tblW w:w="9930" w:type="dxa"/>
        <w:jc w:val="left"/>
        <w:tblInd w:w="0" w:type="dxa"/>
        <w:tblLayout w:type="fixed"/>
        <w:tblCellMar>
          <w:top w:w="28" w:type="dxa"/>
          <w:left w:w="28" w:type="dxa"/>
          <w:bottom w:w="28" w:type="dxa"/>
          <w:right w:w="28" w:type="dxa"/>
        </w:tblCellMar>
      </w:tblPr>
      <w:tblGrid>
        <w:gridCol w:w="885"/>
        <w:gridCol w:w="780"/>
        <w:gridCol w:w="794"/>
        <w:gridCol w:w="109"/>
        <w:gridCol w:w="109"/>
        <w:gridCol w:w="676"/>
        <w:gridCol w:w="676"/>
        <w:gridCol w:w="1308"/>
        <w:gridCol w:w="2520"/>
        <w:gridCol w:w="684"/>
        <w:gridCol w:w="109"/>
        <w:gridCol w:w="109"/>
        <w:gridCol w:w="109"/>
        <w:gridCol w:w="254"/>
        <w:gridCol w:w="257"/>
        <w:gridCol w:w="551"/>
      </w:tblGrid>
      <w:tr>
        <w:trPr/>
        <w:tc>
          <w:tcPr>
            <w:tcW w:w="88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 for the Three Months Ended March 31, 2024 vs. 2023</w:t>
            </w:r>
          </w:p>
        </w:tc>
        <w:tc>
          <w:tcPr>
            <w:tcW w:w="1389" w:type="dxa"/>
            <w:gridSpan w:val="6"/>
            <w:tcBorders/>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Volume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 revenues increased in the three months ended March 31, 2024 as compared to the prior year period, primarily driven by (i) higher recycled commodity pricing on processing revenues of $4.8 million, or 21.2% as a percentage of processing operations, (ii) National Accounts business pricing growth of $2.7 million, or 6.0% as a percentage of National Accounts operations, (iii) the contribution from acquisitions, and (iv) higher processing volumes of $0.4 million, or 2.0% as a percentage of processing operations; partially offset by (a) lower National Accounts business volumes of $(1.8) million, or (4.0)% as a percentage of National Accounts operations, (b) lower tipping fees and other processing pricing of $(1.3) million, or (5.8)% as a percentage of processing operations, and (c) lower surcharges and other fees associated with our National Accounts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in the three months ended March 31, 2024 by $3.3 million as compared to the prior year period, primarily driven by (i) revenue growth, described above, (ii) intercompany revenues, and (iii) lower direct costs associated with our National Accounts business due to lower base business volumes; partially offset by (i) higher costs associated with operating and supporting acquired businesses, including the impact of accelerated amortization schedules of certain intangibles, (ii) increased depreciation expense due to investment in property and equipment, and (iii) general cost inflation, including for disposal, labor, and maintenance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Corporate Entities </w:t>
      </w:r>
    </w:p>
    <w:p>
      <w:pPr>
        <w:pStyle w:val="TextBody"/>
        <w:bidi w:val="0"/>
        <w:spacing w:lineRule="auto" w:line="288" w:before="120" w:after="283"/>
        <w:jc w:val="left"/>
        <w:rPr/>
      </w:pPr>
      <w:r>
        <w:rPr>
          <w:rFonts w:ascii="Times New Roman;sans-serif" w:hAnsi="Times New Roman;sans-serif"/>
          <w:b w:val="false"/>
          <w:color w:val="000000"/>
          <w:sz w:val="20"/>
        </w:rPr>
        <w:t>Corporate Entities operating loss reflects those costs not allocated to our reportable operating segments, which consists of depreciation and amortization expense and certain expense from acquisition activities. Operating deficit decreased $0.2 million in the three months ended March 31, 2024 as compared to the prior year period, driven by a decline in unallocated expense from acquisition activities. See further discussion about the expense from acquisition activities above in “</w:t>
      </w: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continually monitor our actual and forecasted cash flows, our liquidity, and our capital requirements in order to properly manage our liquidity needs as we move forward based on the capital intensive nature of our business and our growth acquisition strategy. As of March 31, 2024, we had $272.3 million of undrawn capacity under our $300.0 million revolving credit facility (“Revolving Credit Facility”) and $189.5 million of cash and cash equivalents to help meet our short-term and long-term liquidity needs. We expect existing cash and cash equivalents combined with available cash flows from operations and financing activities to continue to be sufficient to fund our operating activities and cash commitments for investing and financing activities for at least the next 12 months and thereafter for the foreseeable future.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known current and long-term uses of cash include, among other possible demands: (i) acquisitions, (ii) capital expenditures and leases, (iii) repayments to service debt and other long-term obligations, and (iv) payments for final capping, closure and post-closure asset retirement obligations and environmental remediation liabilities. We have made in the past, and plan to make in the future, acquisitions to expand service areas, densify existing operations, and grow services for our customers. Future acquisitions may include larger acquisitions that may be inside or outside of our existing market, which could require additional financing either in the form of debt or equity.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cash and cash equivalents, restricted assets and debt balances, excluding any debt issuance costs, (in millions) follows:</w:t>
      </w:r>
    </w:p>
    <w:tbl>
      <w:tblPr>
        <w:tblW w:w="9365" w:type="dxa"/>
        <w:jc w:val="left"/>
        <w:tblInd w:w="0" w:type="dxa"/>
        <w:tblLayout w:type="fixed"/>
        <w:tblCellMar>
          <w:top w:w="28" w:type="dxa"/>
          <w:left w:w="28" w:type="dxa"/>
          <w:bottom w:w="28" w:type="dxa"/>
          <w:right w:w="28" w:type="dxa"/>
        </w:tblCellMar>
      </w:tblPr>
      <w:tblGrid>
        <w:gridCol w:w="2075"/>
        <w:gridCol w:w="1822"/>
        <w:gridCol w:w="1832"/>
        <w:gridCol w:w="211"/>
        <w:gridCol w:w="616"/>
        <w:gridCol w:w="109"/>
        <w:gridCol w:w="109"/>
        <w:gridCol w:w="109"/>
        <w:gridCol w:w="109"/>
        <w:gridCol w:w="212"/>
        <w:gridCol w:w="773"/>
        <w:gridCol w:w="110"/>
        <w:gridCol w:w="109"/>
        <w:gridCol w:w="109"/>
        <w:gridCol w:w="109"/>
        <w:gridCol w:w="211"/>
        <w:gridCol w:w="586"/>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assets, excluding cash and cash equivalents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excluding current maturities of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less current portion, excluding unamortized debt issuance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excluding cash and cash equivalents, decreased $(9.5) million and current liabilities, excluding current maturities of debt, decreased $(62.4) in the three months ended March 31, 2024, resulting in a $52.9 million increase in working capital, net (defined as current assets, excluding cash, cash equivalents and restricted cash, minus current liabilities, excluding current maturities of debt), from $(37.7) million as of December 31, 2023 to $15.2 million as of March 31, 2024. We strive to maintain a negative working capital cycle driven by shorter days sales outstanding as compared to days payable outstanding in an effort to collect money at a faster rate than paying bills to facilitate business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Summary of Cash Flow Activity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decreased $(31.4) million in the three months ended March 31, 2024. A summary of cash flows (in millions) follows:</w:t>
      </w:r>
    </w:p>
    <w:tbl>
      <w:tblPr>
        <w:tblW w:w="6882" w:type="dxa"/>
        <w:jc w:val="left"/>
        <w:tblInd w:w="0" w:type="dxa"/>
        <w:tblLayout w:type="fixed"/>
        <w:tblCellMar>
          <w:top w:w="28" w:type="dxa"/>
          <w:left w:w="28" w:type="dxa"/>
          <w:bottom w:w="28" w:type="dxa"/>
          <w:right w:w="28" w:type="dxa"/>
        </w:tblCellMar>
      </w:tblPr>
      <w:tblGrid>
        <w:gridCol w:w="1254"/>
        <w:gridCol w:w="1104"/>
        <w:gridCol w:w="1107"/>
        <w:gridCol w:w="211"/>
        <w:gridCol w:w="586"/>
        <w:gridCol w:w="109"/>
        <w:gridCol w:w="109"/>
        <w:gridCol w:w="109"/>
        <w:gridCol w:w="109"/>
        <w:gridCol w:w="211"/>
        <w:gridCol w:w="586"/>
        <w:gridCol w:w="109"/>
        <w:gridCol w:w="109"/>
        <w:gridCol w:w="109"/>
        <w:gridCol w:w="109"/>
        <w:gridCol w:w="211"/>
        <w:gridCol w:w="58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operating cash flows (in millions) follows:</w:t>
      </w:r>
    </w:p>
    <w:tbl>
      <w:tblPr>
        <w:tblW w:w="9204" w:type="dxa"/>
        <w:jc w:val="left"/>
        <w:tblInd w:w="0" w:type="dxa"/>
        <w:tblLayout w:type="fixed"/>
        <w:tblCellMar>
          <w:top w:w="28" w:type="dxa"/>
          <w:left w:w="28" w:type="dxa"/>
          <w:bottom w:w="28" w:type="dxa"/>
          <w:right w:w="28" w:type="dxa"/>
        </w:tblCellMar>
      </w:tblPr>
      <w:tblGrid>
        <w:gridCol w:w="2602"/>
        <w:gridCol w:w="2292"/>
        <w:gridCol w:w="2306"/>
        <w:gridCol w:w="211"/>
        <w:gridCol w:w="481"/>
        <w:gridCol w:w="109"/>
        <w:gridCol w:w="109"/>
        <w:gridCol w:w="109"/>
        <w:gridCol w:w="109"/>
        <w:gridCol w:w="211"/>
        <w:gridCol w:w="511"/>
        <w:gridCol w:w="154"/>
      </w:tblGrid>
      <w:tr>
        <w:trPr/>
        <w:tc>
          <w:tcPr>
            <w:tcW w:w="2602"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income to net cash provided by operating activities: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accretion on landfill and environmental remediation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debt issuance costs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 of assets, other items and charges,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most significant items affecting the change in our operating cash flows follows:</w:t>
      </w:r>
    </w:p>
    <w:p>
      <w:pPr>
        <w:pStyle w:val="TextBody"/>
        <w:bidi w:val="0"/>
        <w:spacing w:lineRule="auto" w:line="288" w:before="120" w:after="283"/>
        <w:jc w:val="left"/>
        <w:rPr/>
      </w:pPr>
      <w:r>
        <w:rPr>
          <w:rFonts w:ascii="Times New Roman;sans-serif" w:hAnsi="Times New Roman;sans-serif"/>
          <w:b w:val="false"/>
          <w:color w:val="000000"/>
          <w:sz w:val="20"/>
        </w:rPr>
        <w:t>Net cash provided by operating activities decreased $(8.4) million in the three months ended March 31, 2024 as compared to the three months ended March 31, 2023. This was the result of higher interest expense and an increase in the unfavorable cash flow impact associated with the changes in our assets and liabilities, net of effects of acquisitions and divestitures, partially offset by stronger operational performance. For discussion of our operational performance in the three months ended March 31, 2024 as compared to the three months ended March 31, 2023, see “</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included in this Item 2.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val="false"/>
          <w:i/>
          <w:color w:val="000000"/>
          <w:sz w:val="20"/>
        </w:rPr>
        <w:t>Cash flows from investing activities</w:t>
      </w:r>
      <w:r>
        <w:rPr>
          <w:rFonts w:ascii="Times New Roman;sans-serif" w:hAnsi="Times New Roman;sans-serif"/>
          <w:b w:val="false"/>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investing cash flows (in millions) follows: </w:t>
      </w:r>
    </w:p>
    <w:tbl>
      <w:tblPr>
        <w:tblW w:w="6008" w:type="dxa"/>
        <w:jc w:val="left"/>
        <w:tblInd w:w="0" w:type="dxa"/>
        <w:tblLayout w:type="fixed"/>
        <w:tblCellMar>
          <w:top w:w="28" w:type="dxa"/>
          <w:left w:w="28" w:type="dxa"/>
          <w:bottom w:w="28" w:type="dxa"/>
          <w:right w:w="28" w:type="dxa"/>
        </w:tblCellMar>
      </w:tblPr>
      <w:tblGrid>
        <w:gridCol w:w="1386"/>
        <w:gridCol w:w="1216"/>
        <w:gridCol w:w="1222"/>
        <w:gridCol w:w="211"/>
        <w:gridCol w:w="586"/>
        <w:gridCol w:w="109"/>
        <w:gridCol w:w="109"/>
        <w:gridCol w:w="109"/>
        <w:gridCol w:w="109"/>
        <w:gridCol w:w="211"/>
        <w:gridCol w:w="58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net of cash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and equipment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and equipment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most significant items affecting the change in our investing cash flows follows:</w:t>
      </w:r>
    </w:p>
    <w:p>
      <w:pPr>
        <w:pStyle w:val="TextBody"/>
        <w:bidi w:val="0"/>
        <w:spacing w:lineRule="auto" w:line="288" w:before="120" w:after="283"/>
        <w:jc w:val="left"/>
        <w:rPr/>
      </w:pPr>
      <w:r>
        <w:rPr>
          <w:rFonts w:ascii="Times New Roman;sans-serif" w:hAnsi="Times New Roman;sans-serif"/>
          <w:b w:val="false"/>
          <w:i/>
          <w:color w:val="000000"/>
          <w:sz w:val="20"/>
        </w:rPr>
        <w:t>Capital expenditures</w:t>
      </w:r>
      <w:r>
        <w:rPr>
          <w:rFonts w:ascii="Times New Roman;sans-serif" w:hAnsi="Times New Roman;sans-serif"/>
          <w:b w:val="false"/>
          <w:color w:val="000000"/>
          <w:sz w:val="20"/>
        </w:rPr>
        <w:t>. Capital expenditures were $12.4 million higher in the three months ended March 31, 2024 as compared to the three months ended March 31, 2023, primarily due to higher capital spend driven by (i) acquisition activity; (ii) spend related to the retrofitting of our Willimantic, Connecticut materials recovery facility; (iii) landfill development, including the development of rail side infrastructure at our Subtitle D landfill located in Mount Jewett, Pennsylvania; and (iv) the timing of spend for vehicles, machinery, equipment and containers.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val="false"/>
          <w:i/>
          <w:color w:val="000000"/>
          <w:sz w:val="20"/>
        </w:rPr>
        <w:t>Cash flows from financing activities</w:t>
      </w:r>
      <w:r>
        <w:rPr>
          <w:rFonts w:ascii="Times New Roman;sans-serif" w:hAnsi="Times New Roman;sans-serif"/>
          <w:b w:val="false"/>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financing cash flows (in millions) follows:</w:t>
      </w:r>
    </w:p>
    <w:tbl>
      <w:tblPr>
        <w:tblW w:w="5033" w:type="dxa"/>
        <w:jc w:val="left"/>
        <w:tblInd w:w="0" w:type="dxa"/>
        <w:tblLayout w:type="fixed"/>
        <w:tblCellMar>
          <w:top w:w="28" w:type="dxa"/>
          <w:left w:w="28" w:type="dxa"/>
          <w:bottom w:w="28" w:type="dxa"/>
          <w:right w:w="28" w:type="dxa"/>
        </w:tblCellMar>
      </w:tblPr>
      <w:tblGrid>
        <w:gridCol w:w="1107"/>
        <w:gridCol w:w="975"/>
        <w:gridCol w:w="977"/>
        <w:gridCol w:w="211"/>
        <w:gridCol w:w="481"/>
        <w:gridCol w:w="109"/>
        <w:gridCol w:w="109"/>
        <w:gridCol w:w="109"/>
        <w:gridCol w:w="109"/>
        <w:gridCol w:w="211"/>
        <w:gridCol w:w="481"/>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borrowings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debt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issuance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Outstanding Long-Term Debt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are party to the amended and restated credit agreement, dated as of December 22, 2021, as amended by the first and second amendment, dated as of February 9, 20023, and the third amendment, dated as of April 25, 2023, (collectively, the “Amended and Restated Credit Agreement”), which provides for a $350.0 million aggregate principal amount term loan A facility (“Term Loan Facility”), a $300.0 million Revolving Credit Facility, with a $75.0 million sublimit for letters of credit, and a $430.0 million 2023 Term Loan Facility (collectively, the “Credit Facility”). We have the right to request, at our discretion, an increase in the amount of loans under the Credit Facility by an aggregate amount of $125.0 million, subject to further increase based on the terms and conditions set forth in the Amended and Restated Credit Agreement. The Credit Facility has a 5-year term that matures in December 2026. The Term Loan Facility and 2023 Term Loan Facility require scheduled quarterly principal payments in amounts equal to up to 0.650% per quarter of the original aggregate principal amount in the case of the Term Loan Facility and 1.25% per quarter of the original aggregate principal amount in the case of the 2023 Term Loan Facility, respectively, with the balances due at maturity. The Credit Facility shall bear interest, at our election, at term secured overnight financing rate (“Term SOFR”), including a secured overnight financing rate adjustment of 10 basis points, or at a base rate, in each case plus or minus any sustainable rate adjustment of up to positive or negative 4.0 basis points per annum, plus an applicable interest rate margin based upon our consolidated net leverage ratio as follows:</w:t>
      </w:r>
    </w:p>
    <w:tbl>
      <w:tblPr>
        <w:tblW w:w="6159" w:type="dxa"/>
        <w:jc w:val="left"/>
        <w:tblInd w:w="0" w:type="dxa"/>
        <w:tblLayout w:type="fixed"/>
        <w:tblCellMar>
          <w:top w:w="28" w:type="dxa"/>
          <w:left w:w="28" w:type="dxa"/>
          <w:bottom w:w="28" w:type="dxa"/>
          <w:right w:w="28" w:type="dxa"/>
        </w:tblCellMar>
      </w:tblPr>
      <w:tblGrid>
        <w:gridCol w:w="804"/>
        <w:gridCol w:w="706"/>
        <w:gridCol w:w="710"/>
        <w:gridCol w:w="109"/>
        <w:gridCol w:w="109"/>
        <w:gridCol w:w="109"/>
        <w:gridCol w:w="539"/>
        <w:gridCol w:w="539"/>
        <w:gridCol w:w="542"/>
        <w:gridCol w:w="109"/>
        <w:gridCol w:w="109"/>
        <w:gridCol w:w="109"/>
        <w:gridCol w:w="486"/>
        <w:gridCol w:w="486"/>
        <w:gridCol w:w="693"/>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SOFR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 Rate Loans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1.125% to 2.125%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0.125% to 1.125%</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1.125% to 2.125%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0.125% to 1.125%</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1.625% to 2.625%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0.625% to 1.625%</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commitment fee will be charged on undrawn amounts of our Revolving Credit Facility based upon our consolidated net leverage ratio in the range of 0.20% to 0.40% per annum, plus a sustainability adjustment of up to positive or negative 1.0 basis point per annum. The Amended and Restated Credit Agreement provides that Term SOFR is subject to a zero percent floor. We are also required to pay a fronting fee for each letter of credit of 0.25% per annum. Interest under the Amended and Restated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March 31, 2024, further advances were available under the Revolving Credit Facility in the amount of $272.3 million. The available amount is net of outstanding irrevocable letters of credit totaling $27.7 million, and as of March 31, 2024 no amount had been drawn.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Credit Agreement requires us to maintain a minimum interest coverage ratio and a maximum consolidated net leverage ratio, to be measured at the end of each fiscal quarter. As of March 31, 2024, we were in compliance with all financial covenants contained in the Amended and Restated Credit Agreement as follows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322"/>
        <w:gridCol w:w="1145"/>
        <w:gridCol w:w="1149"/>
        <w:gridCol w:w="109"/>
        <w:gridCol w:w="109"/>
        <w:gridCol w:w="109"/>
        <w:gridCol w:w="925"/>
        <w:gridCol w:w="920"/>
        <w:gridCol w:w="925"/>
        <w:gridCol w:w="109"/>
        <w:gridCol w:w="109"/>
        <w:gridCol w:w="109"/>
        <w:gridCol w:w="925"/>
        <w:gridCol w:w="925"/>
        <w:gridCol w:w="1315"/>
      </w:tblGrid>
      <w:tr>
        <w:trPr/>
        <w:tc>
          <w:tcPr>
            <w:tcW w:w="132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Credit Facility 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Covenant Requirements at March 31, 2024</w:t>
            </w:r>
          </w:p>
        </w:tc>
      </w:tr>
      <w:tr>
        <w:trPr/>
        <w:tc>
          <w:tcPr>
            <w:tcW w:w="3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Maximum consolidated net leverage ratio </w:t>
            </w: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interest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6"/>
        </w:rPr>
        <w:t>(1)</w:t>
      </w:r>
      <w:r>
        <w:rPr>
          <w:rFonts w:ascii="Times New Roman;sans-serif" w:hAnsi="Times New Roman;sans-serif"/>
          <w:b w:val="false"/>
          <w:color w:val="000000"/>
          <w:sz w:val="20"/>
        </w:rPr>
        <w:t>The maximum consolidated net leverage ratio is calculated as consolidated funded debt, net of up to $100.0 million of unencumbered cash and cash equivalents in excess of $2.0 million (calculated at $954.6 million as of March 31, 2024, or $1,054.6 million of consolidated funded debt less $100.0 million total of unencumbered cash and cash equivalents), divided by consolidated EBITDA. Consolidated EBITDA is based on operating results for the twelve months preceding the measurement date of March 31, 2024. Consolidated funded debt, net and consolidated EBITDA as defined by the Amended and Restated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Consolidated EBITDA is as follows (in millions):</w:t>
      </w:r>
    </w:p>
    <w:tbl>
      <w:tblPr>
        <w:tblW w:w="9358" w:type="dxa"/>
        <w:jc w:val="left"/>
        <w:tblInd w:w="0" w:type="dxa"/>
        <w:tblLayout w:type="fixed"/>
        <w:tblCellMar>
          <w:top w:w="28" w:type="dxa"/>
          <w:left w:w="28" w:type="dxa"/>
          <w:bottom w:w="28" w:type="dxa"/>
          <w:right w:w="28" w:type="dxa"/>
        </w:tblCellMar>
      </w:tblPr>
      <w:tblGrid>
        <w:gridCol w:w="2323"/>
        <w:gridCol w:w="2045"/>
        <w:gridCol w:w="2051"/>
        <w:gridCol w:w="632"/>
        <w:gridCol w:w="1846"/>
        <w:gridCol w:w="461"/>
      </w:tblGrid>
      <w:tr>
        <w:trPr/>
        <w:tc>
          <w:tcPr>
            <w:tcW w:w="2323"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March 31, 2024</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divestitures</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termination of bridge financing</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expense</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Landfill capping charge - veneer failure</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 of assets, other items and charges, net</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less amortization of debt issuance costs </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net of deferred income taxes</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as allowed by the Amended and Restated Credit Agreement </w:t>
            </w:r>
            <w:r>
              <w:rPr>
                <w:rFonts w:ascii="Times New Roman;sans-serif" w:hAnsi="Times New Roman;sans-serif"/>
                <w:b w:val="false"/>
                <w:color w:val="000000"/>
                <w:sz w:val="16"/>
              </w:rPr>
              <w:t>(1)</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EBITDA</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6"/>
        </w:rPr>
        <w:t>(1)</w:t>
      </w:r>
      <w:r>
        <w:rPr>
          <w:rFonts w:ascii="Times New Roman;sans-serif" w:hAnsi="Times New Roman;sans-serif"/>
          <w:b w:val="false"/>
          <w:color w:val="000000"/>
          <w:sz w:val="20"/>
        </w:rPr>
        <w:t>Adjustments as allowed by the Amended and Restated Credit Agreement includes the estimated annual pro-forma impact of acquisitions on consolidated EBITDA.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these financial covenants, the Amended and Restated Credit Agreement also contains a number of important customary affirmative and negative covenants which restrict, among other things, our ability to sell assets, incur additional debt, create liens, make investments, and pay dividends. As of March 31, 2024, we were in compliance with the covenants contained in the Amended and Restated Credit Agreement. We do not believe that these restrictions impact our ability to meet future liquidity needs.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pStyle w:val="TextBody"/>
        <w:bidi w:val="0"/>
        <w:spacing w:lineRule="auto" w:line="288" w:before="120" w:after="283"/>
        <w:jc w:val="left"/>
        <w:rPr/>
      </w:pPr>
      <w:r>
        <w:rPr>
          <w:rFonts w:ascii="Times New Roman;sans-serif" w:hAnsi="Times New Roman;sans-serif"/>
          <w:b w:val="false"/>
          <w:color w:val="000000"/>
          <w:sz w:val="20"/>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r>
        <w:rPr>
          <w:color w:val="000000"/>
        </w:rPr>
        <w:t xml:space="preserve"> </w:t>
      </w:r>
    </w:p>
    <w:p>
      <w:pPr>
        <w:pStyle w:val="TextBody"/>
        <w:bidi w:val="0"/>
        <w:spacing w:lineRule="auto" w:line="26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Tax-Exempt Financings and Other Debt</w:t>
      </w:r>
    </w:p>
    <w:p>
      <w:pPr>
        <w:pStyle w:val="TextBody"/>
        <w:bidi w:val="0"/>
        <w:spacing w:lineRule="auto" w:line="288" w:before="120" w:after="283"/>
        <w:jc w:val="left"/>
        <w:rPr/>
      </w:pPr>
      <w:r>
        <w:rPr>
          <w:rFonts w:ascii="Times New Roman;sans-serif" w:hAnsi="Times New Roman;sans-serif"/>
          <w:b w:val="false"/>
          <w:color w:val="000000"/>
          <w:sz w:val="20"/>
        </w:rPr>
        <w:t xml:space="preserve">As of March 31, 2024, we had outstanding $232.0 million aggregate principal amount of tax exempt bonds; $59.5 million aggregate principal amount of finance leases; and $0.1 million aggregate principal amount of notes payable. See Note 6, </w:t>
      </w:r>
      <w:r>
        <w:rPr>
          <w:rFonts w:ascii="Times New Roman;sans-serif" w:hAnsi="Times New Roman;sans-serif"/>
          <w:b w:val="false"/>
          <w:i/>
          <w:color w:val="000000"/>
          <w:sz w:val="20"/>
        </w:rPr>
        <w:t xml:space="preserve">Debt </w:t>
      </w:r>
      <w:r>
        <w:rPr>
          <w:rFonts w:ascii="Times New Roman;sans-serif" w:hAnsi="Times New Roman;sans-serif"/>
          <w:b w:val="false"/>
          <w:color w:val="000000"/>
          <w:sz w:val="20"/>
        </w:rPr>
        <w:t>to our consolidated financial statements included in Part I. Item. 1 of this Quarterly Report on Form 10-Q for further disclosure regarding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Inflation</w:t>
      </w:r>
    </w:p>
    <w:p>
      <w:pPr>
        <w:pStyle w:val="TextBody"/>
        <w:bidi w:val="0"/>
        <w:spacing w:lineRule="auto" w:line="288" w:before="120" w:after="283"/>
        <w:jc w:val="left"/>
        <w:rPr/>
      </w:pPr>
      <w:r>
        <w:rPr>
          <w:rFonts w:ascii="Times New Roman;sans-serif" w:hAnsi="Times New Roman;sans-serif"/>
          <w:b w:val="false"/>
          <w:color w:val="000000"/>
          <w:sz w:val="20"/>
        </w:rPr>
        <w:t>Inflationary increases in costs, including current cost inflation associated primarily with labor, certain other cost categories and capital items, have materially affected, and may continue to materially affect, our operating margins and cash flows. While inflation negatively impacted operating results and margins during the three months ended March 31, 2024 and 2023,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our fuel cost recovery programs, primarily the energy component of our E&amp;E Fee, which is designed to recover escalating fuel price fluctuations above a periodically reset floor. Despite these programs, competitive factors may require us to absorb at least a portion of these cost increases. See Item 3.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included in this Quarterly Report on Form 10-Q for additional information regarding our fuel cost recovery programs. Additionally, management’s estimates associated with inflation have had, and will continue to have, an impact on our accounting for landfill and environmental remediation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Regional Economic Conditions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primarily located in the eastern United States. Therefore, our business, financial condition and results of operations are susceptible to downturns in the general economy in this geographic region and other factors affecting the region, such as state regulations, labor availability and severe weather conditions. We are unable to forecast or determine the timing and/or the future impact of a sustained economic slowdown or other factors affecting the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Seasonality and Severe Weather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eastern United States.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certain of our operating and fixed costs remain constant throughout the fiscal year, operating income is therefore impacted by a similar seasonality. Our operations can be adversely affected by periods of inclement or severe weather, which may increase with the physical impacts of climate change and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processing line-of-business in the Resource Solutions operating segment typically experiences increased volumes of fibers from November through mid-January due to increased retail activity during the holiday season.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 and Assumptions</w:t>
      </w:r>
    </w:p>
    <w:p>
      <w:pPr>
        <w:pStyle w:val="TextBody"/>
        <w:bidi w:val="0"/>
        <w:spacing w:lineRule="auto" w:line="288" w:before="120" w:after="283"/>
        <w:jc w:val="left"/>
        <w:rPr/>
      </w:pPr>
      <w:r>
        <w:rPr>
          <w:rFonts w:ascii="Times New Roman;sans-serif" w:hAnsi="Times New Roman;sans-serif"/>
          <w:b w:val="false"/>
          <w:color w:val="000000"/>
          <w:sz w:val="20"/>
        </w:rPr>
        <w:t>Our financial statements have been prepared in accordance with generally accepted accounting principles in the United States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Our critical accounting estimates are more fully discussed in Item 7.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of our Annual Report on Form 10-K for the fiscal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20" w:after="283"/>
        <w:jc w:val="left"/>
        <w:rPr/>
      </w:pPr>
      <w:r>
        <w:rPr>
          <w:rFonts w:ascii="Times New Roman;sans-serif" w:hAnsi="Times New Roman;sans-serif"/>
          <w:b w:val="false"/>
          <w:color w:val="000000"/>
          <w:sz w:val="20"/>
        </w:rPr>
        <w:t xml:space="preserve">For a description of the new accounting standards that may affect us, see Note 2, </w:t>
      </w:r>
      <w:r>
        <w:rPr>
          <w:rFonts w:ascii="Times New Roman;sans-serif" w:hAnsi="Times New Roman;sans-serif"/>
          <w:b w:val="false"/>
          <w:i/>
          <w:color w:val="000000"/>
          <w:sz w:val="20"/>
        </w:rPr>
        <w:t>Accounting Changes</w:t>
      </w:r>
      <w:r>
        <w:rPr>
          <w:color w:val="000000"/>
        </w:rPr>
        <w:t xml:space="preserve"> </w:t>
      </w:r>
      <w:r>
        <w:rPr>
          <w:rFonts w:ascii="Times New Roman;sans-serif" w:hAnsi="Times New Roman;sans-serif"/>
          <w:b w:val="false"/>
          <w:color w:val="000000"/>
          <w:sz w:val="20"/>
        </w:rPr>
        <w:t>to our consolidated financial statements included under Part I. Item 1. “</w:t>
      </w:r>
      <w:r>
        <w:rPr>
          <w:rFonts w:ascii="Times New Roman;sans-serif" w:hAnsi="Times New Roman;sans-serif"/>
          <w:b w:val="false"/>
          <w:i/>
          <w:color w:val="000000"/>
          <w:sz w:val="20"/>
        </w:rPr>
        <w:t>Financial Statements</w:t>
      </w:r>
      <w:r>
        <w:rPr>
          <w:color w:val="000000"/>
        </w:rPr>
        <w:t xml:space="preserve">” </w:t>
      </w:r>
      <w:r>
        <w:rPr>
          <w:rFonts w:ascii="Times New Roman;sans-serif" w:hAnsi="Times New Roman;sans-serif"/>
          <w:b w:val="false"/>
          <w:color w:val="000000"/>
          <w:sz w:val="20"/>
        </w:rPr>
        <w:t xml:space="preserve">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are exposed to market risks, including changes in diesel fuel prices, interest rates and certain commodity prices. We have a variety of strategies to mitigate these market risks, including those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Fuel Price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We have fuel cost recovery programs, primarily the energy component of our energy and environmental fee (“E&amp;E Fee(s)”), which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However, a substantial rise or drop in fuel costs should not have a material impact on our results of operations. In addition, we are susceptible to increases in fuel surcharges from our vendors.</w:t>
      </w:r>
    </w:p>
    <w:p>
      <w:pPr>
        <w:pStyle w:val="TextBody"/>
        <w:bidi w:val="0"/>
        <w:spacing w:lineRule="auto" w:line="288" w:before="120" w:after="120"/>
        <w:jc w:val="left"/>
        <w:rPr/>
      </w:pPr>
      <w:r>
        <w:rPr>
          <w:rFonts w:ascii="Times New Roman;sans-serif" w:hAnsi="Times New Roman;sans-serif"/>
          <w:b w:val="false"/>
          <w:color w:val="000000"/>
          <w:sz w:val="20"/>
        </w:rPr>
        <w:t>The impact of fuel price risk as of March 31, 2024 does not differ materially from that discussed in Item 7A.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of our Annual Report on Form 10-K for the fiscal year ended December 31,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market a variety of materials, including fibers such as old corrugated cardboard and old newsprint, plastics, glass, ferrous and aluminum metals. We may use a number of strategies to mitigate impacts from these recycled material commodity price fluctuations including: (1) charging collection customers a floating sustainability recycling adjustment fee to reduce recycling commodity risks; (2) providing in-bound material recovery facilities (“MRF”) customers with a revenue share or indexed materials purchases in higher commodity price markets, or charging these same customers a processing cost or tipping fee per ton in lower commodity price markets; (3) selling recycled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March 31, 2024, we were not party to any commodity hedging agreements.</w:t>
      </w:r>
    </w:p>
    <w:p>
      <w:pPr>
        <w:pStyle w:val="TextBody"/>
        <w:bidi w:val="0"/>
        <w:spacing w:lineRule="auto" w:line="288" w:before="120" w:after="120"/>
        <w:jc w:val="left"/>
        <w:rPr/>
      </w:pPr>
      <w:r>
        <w:rPr>
          <w:rFonts w:ascii="Times New Roman;sans-serif" w:hAnsi="Times New Roman;sans-serif"/>
          <w:b w:val="false"/>
          <w:color w:val="000000"/>
          <w:sz w:val="20"/>
        </w:rPr>
        <w:t>The impact of commodity price risk as of March 31, 2024 does not differ materially from that discussed in Item 7A.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of our Annual Report on Form 10-K for the fiscal year ended December 31,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income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pStyle w:val="TextBody"/>
        <w:bidi w:val="0"/>
        <w:spacing w:lineRule="auto" w:line="288" w:before="120" w:after="120"/>
        <w:jc w:val="left"/>
        <w:rPr/>
      </w:pPr>
      <w:r>
        <w:rPr>
          <w:rFonts w:ascii="Times New Roman;sans-serif" w:hAnsi="Times New Roman;sans-serif"/>
          <w:b w:val="false"/>
          <w:color w:val="000000"/>
          <w:sz w:val="20"/>
        </w:rPr>
        <w:t>The impact of interest rate risk as of March 31, 2024 does not differ materially from that discussed in Item 7A.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of our Annual Report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 Our management, with the participation of our chief executive officer and chief financial officer, evaluated the effectiveness of our disclosure controls and procedures as of March 31, 2024.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2024, our chief executive officer and chief financial officer concluded that, as of such date, our disclosure controls and procedures were effective at the reasonable assurance level.</w:t>
      </w:r>
    </w:p>
    <w:p>
      <w:pPr>
        <w:pStyle w:val="TextBody"/>
        <w:bidi w:val="0"/>
        <w:spacing w:lineRule="auto" w:line="288" w:before="120" w:after="283"/>
        <w:jc w:val="left"/>
        <w:rPr/>
      </w:pPr>
      <w:r>
        <w:rPr>
          <w:rFonts w:ascii="Times New Roman;sans-serif" w:hAnsi="Times New Roman;sans-serif"/>
          <w:b w:val="false"/>
          <w:i/>
          <w:color w:val="000000"/>
          <w:sz w:val="20"/>
        </w:rPr>
        <w:t>Changes in internal controls over financial reporting.</w:t>
      </w:r>
      <w:r>
        <w:rPr>
          <w:color w:val="000000"/>
        </w:rPr>
        <w:t xml:space="preserve"> </w:t>
      </w:r>
      <w:r>
        <w:rPr>
          <w:rFonts w:ascii="Times New Roman;sans-serif" w:hAnsi="Times New Roman;sans-serif"/>
          <w:b w:val="false"/>
          <w:color w:val="000000"/>
          <w:sz w:val="20"/>
        </w:rPr>
        <w:t>No change in our internal control over financial reporting (as defined in Rules 13a-15(f) and 15d-15(f) under the Exchange Act) occurred during the three months ended March 31,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General Legal Proceedings</w:t>
      </w:r>
    </w:p>
    <w:p>
      <w:pPr>
        <w:pStyle w:val="TextBody"/>
        <w:bidi w:val="0"/>
        <w:spacing w:lineRule="auto" w:line="288" w:before="120" w:after="283"/>
        <w:jc w:val="left"/>
        <w:rPr/>
      </w:pPr>
      <w:r>
        <w:rPr>
          <w:rFonts w:ascii="Times New Roman;sans-serif" w:hAnsi="Times New Roman;sans-serif"/>
          <w:b w:val="false"/>
          <w:color w:val="000000"/>
          <w:sz w:val="20"/>
        </w:rPr>
        <w:t xml:space="preserve">The information required by this Item is provided in Note 7,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consolidated financial statements included in Part I. Item 1. “</w:t>
      </w:r>
      <w:r>
        <w:rPr>
          <w:rFonts w:ascii="Times New Roman;sans-serif" w:hAnsi="Times New Roman;sans-serif"/>
          <w:b w:val="false"/>
          <w:i/>
          <w:color w:val="000000"/>
          <w:sz w:val="20"/>
        </w:rPr>
        <w:t>Financial Statements</w:t>
      </w:r>
      <w:r>
        <w:rPr>
          <w:color w:val="000000"/>
        </w:rPr>
        <w:t xml:space="preserve">” </w:t>
      </w:r>
      <w:r>
        <w:rPr>
          <w:rFonts w:ascii="Times New Roman;sans-serif" w:hAnsi="Times New Roman;sans-serif"/>
          <w:b w:val="false"/>
          <w:color w:val="000000"/>
          <w:sz w:val="20"/>
        </w:rPr>
        <w:t>of this Quarterly Report on Form 10-Q.</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Legal Proceedings over Certain Environmental Matters Involving Governmental Authorities with Possible Sanctions of $1,000,000 or More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specified threshold which we determine is reasonably designed to result in disclosure of any such proceeding that is material to our business or financial condition. Pursuant to Item 103, we have determined such disclosure threshold to be $1,000,000. We have no matters to disclose in accordance with that requirement.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20"/>
        <w:jc w:val="left"/>
        <w:rPr/>
      </w:pPr>
      <w:r>
        <w:rPr>
          <w:rFonts w:ascii="Times New Roman;sans-serif" w:hAnsi="Times New Roman;sans-serif"/>
          <w:b w:val="false"/>
          <w:color w:val="000000"/>
          <w:sz w:val="20"/>
        </w:rPr>
        <w:t>Our business is subject to a number of risks, including those identified in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of our Annual Report on Form 10-K for the fiscal year ended December 31, 2023, and the updated risk factor set forth below, that could have a material effect on our business, results of operations, financial condition and/or liquidity and that could cause our operating results to vary significantly from period to period. We may disclose additional changes to our risk factors or disclose additional factors from time to time in our future filings with the Securities and Exchange Commission.</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The increasing focus on PFAS and other emerging contaminants may lead to increased compliance and remediation costs and litigation risks, which could adversely impact our financial condition and results of operations.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environment for per - and polyfluoroalkyl substances (commonly refered to as “ PFAS”) is rapidly evolving, with increasing demands for enhanced environmental monitoring programs and advanced treatment technologies to mitigate PFAS contamination. Risks to the Company related to PFAS include regulatory risks, including the recent designation by the United States Environmental Protection Agency (“EPA”) of PFAS as hazardous substances, which could create Superfund liabilities under the Comprehensive Environmental Response, Compensation, and Liability Act of 1980, as amended for all downstream recipients of PFAS, including passive receivers such as our landfills and transporters of biosolids, the establishment of federal and state drinking water standards and surface water criteria which set low thresholds for impacts to drinking water and surface water, the risk that states in which we operate will require stringent monitoring of PFAS at our landfills, the risk of material increases in landfill leachate treatment costs due to mandatory pre-treatment or otherwise, the risk that existing remedial sites will become more complex and that closed landfills will be under enhanced regulatory scrutiny, the risk that biosolids management will be impacted by restrictions on end uses and the risk that that pre-existing land application sites will be determined to contain PFAS. Any such liability is likely to be uninsurable, with no coverage likely under our pollution or product liability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 of our directors or officers (as defined in Rule 16a-1(f) under the Securities Exchange Act of 1934, as amended) adopted or terminated a Rule 10b5-1 trading arrangement or a non-Rule 10b5-1 trading arrangement (as defined in Item 408(c) of Regulation S-K) during the three months ended March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0"/>
        <w:gridCol w:w="254"/>
        <w:gridCol w:w="257"/>
        <w:gridCol w:w="109"/>
        <w:gridCol w:w="109"/>
        <w:gridCol w:w="109"/>
        <w:gridCol w:w="2945"/>
        <w:gridCol w:w="2918"/>
        <w:gridCol w:w="2948"/>
        <w:gridCol w:w="109"/>
        <w:gridCol w:w="157"/>
      </w:tblGrid>
      <w:tr>
        <w:trPr/>
        <w:tc>
          <w:tcPr>
            <w:tcW w:w="2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11033124.htm">
              <w:r>
                <w:rPr>
                  <w:rStyle w:val="InternetLink"/>
                  <w:rFonts w:ascii="Times New Roman;sans-serif" w:hAnsi="Times New Roman;sans-serif"/>
                  <w:b w:val="false"/>
                  <w:color w:val="000080"/>
                  <w:sz w:val="20"/>
                  <w:u w:val="single"/>
                </w:rPr>
                <w:t xml:space="preserve">Certification of </w:t>
              </w:r>
            </w:hyperlink>
            <w:hyperlink w:anchor="cwst-ex311033124.htm">
              <w:r>
                <w:rPr>
                  <w:rStyle w:val="InternetLink"/>
                  <w:rFonts w:ascii="Times New Roman;sans-serif" w:hAnsi="Times New Roman;sans-serif"/>
                  <w:b w:val="false"/>
                  <w:color w:val="000080"/>
                  <w:sz w:val="20"/>
                  <w:u w:val="single"/>
                </w:rPr>
                <w:t>Principal Executive Officer, pursuant to Section 302 of the Sarbanes –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12033124.htm">
              <w:r>
                <w:rPr>
                  <w:rStyle w:val="InternetLink"/>
                  <w:rFonts w:ascii="Times New Roman;sans-serif" w:hAnsi="Times New Roman;sans-serif"/>
                  <w:b w:val="false"/>
                  <w:color w:val="000080"/>
                  <w:sz w:val="20"/>
                  <w:u w:val="single"/>
                </w:rPr>
                <w:t>Certification of</w:t>
              </w:r>
            </w:hyperlink>
            <w:hyperlink w:anchor="cwst-ex312033124.htm">
              <w:r>
                <w:rPr>
                  <w:rStyle w:val="InternetLink"/>
                  <w:rFonts w:ascii="Times New Roman;sans-serif" w:hAnsi="Times New Roman;sans-serif"/>
                  <w:b w:val="false"/>
                  <w:color w:val="000080"/>
                  <w:sz w:val="20"/>
                  <w:u w:val="single"/>
                </w:rPr>
                <w:t xml:space="preserve"> Principal Financial Officer, pursuant to Section 302 of the Sarbanes –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21033124.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22033124.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Submitted Electronically Herewith. Attached as Exhibit 101 to this report are the following formatted in inline XBRL (Extensible Business Reporting Language): (i) Consolidated Balance Sheets as of March 31, 2024 and December 31, 2023, (ii) Consolidated Statements of Operations for the three months ended March 31, 2024 and 2023, (iii) Consolidated Statements of Comprehensive Income for the three months ended March 31, 2024 and 2023, (iv) Consolidated Statements of Stockholders’ Equity for the three months ended March 31, 2024 and 2023, (v) Consolidated Statements of Cash Flows for the three months ended March 31, 2024 and 2023, and (vi) Notes to Consolidated Financial Statements.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551" w:type="dxa"/>
        <w:jc w:val="left"/>
        <w:tblInd w:w="0" w:type="dxa"/>
        <w:tblLayout w:type="fixed"/>
        <w:tblCellMar>
          <w:top w:w="28" w:type="dxa"/>
          <w:left w:w="28" w:type="dxa"/>
          <w:bottom w:w="28" w:type="dxa"/>
          <w:right w:w="28" w:type="dxa"/>
        </w:tblCellMar>
      </w:tblPr>
      <w:tblGrid>
        <w:gridCol w:w="645"/>
        <w:gridCol w:w="568"/>
        <w:gridCol w:w="571"/>
        <w:gridCol w:w="1463"/>
        <w:gridCol w:w="1463"/>
        <w:gridCol w:w="1469"/>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Casella Waste Systems,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26, 2024</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Kevin Drohan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Drohan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26, 2024</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W. Casella, certify that: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Casella Waste Systems, Inc.;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95" w:type="dxa"/>
        <w:jc w:val="left"/>
        <w:tblInd w:w="0" w:type="dxa"/>
        <w:tblLayout w:type="fixed"/>
        <w:tblCellMar>
          <w:top w:w="28" w:type="dxa"/>
          <w:left w:w="28" w:type="dxa"/>
          <w:bottom w:w="28" w:type="dxa"/>
          <w:right w:w="28" w:type="dxa"/>
        </w:tblCellMar>
      </w:tblPr>
      <w:tblGrid>
        <w:gridCol w:w="645"/>
        <w:gridCol w:w="568"/>
        <w:gridCol w:w="571"/>
        <w:gridCol w:w="1078"/>
        <w:gridCol w:w="1078"/>
        <w:gridCol w:w="1083"/>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26, 2024</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John W. Casella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W. Casella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Bradford J. Helgeson, certify that: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Casella Waste Systems, Inc.;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611" w:type="dxa"/>
        <w:jc w:val="left"/>
        <w:tblInd w:w="0" w:type="dxa"/>
        <w:tblLayout w:type="fixed"/>
        <w:tblCellMar>
          <w:top w:w="28" w:type="dxa"/>
          <w:left w:w="28" w:type="dxa"/>
          <w:bottom w:w="28" w:type="dxa"/>
          <w:right w:w="28" w:type="dxa"/>
        </w:tblCellMar>
      </w:tblPr>
      <w:tblGrid>
        <w:gridCol w:w="645"/>
        <w:gridCol w:w="568"/>
        <w:gridCol w:w="571"/>
        <w:gridCol w:w="1483"/>
        <w:gridCol w:w="1483"/>
        <w:gridCol w:w="1489"/>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26, 2024</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Casella Waste Systems, Inc. for the period ended March 31, 2024 as filed with the Securities and Exchange Commission on the date hereof (“Report”), the undersigned, John W. Casella, Chairman and Chief Executive Officer, hereby certifies, pursuant to 18 U.S.C. Section 1350, that, to his knowledge: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our financial condition and results of operations.</w:t>
      </w:r>
    </w:p>
    <w:tbl>
      <w:tblPr>
        <w:tblW w:w="5365" w:type="dxa"/>
        <w:jc w:val="left"/>
        <w:tblInd w:w="0" w:type="dxa"/>
        <w:tblLayout w:type="fixed"/>
        <w:tblCellMar>
          <w:top w:w="28" w:type="dxa"/>
          <w:left w:w="28" w:type="dxa"/>
          <w:bottom w:w="28" w:type="dxa"/>
          <w:right w:w="28" w:type="dxa"/>
        </w:tblCellMar>
      </w:tblPr>
      <w:tblGrid>
        <w:gridCol w:w="645"/>
        <w:gridCol w:w="568"/>
        <w:gridCol w:w="571"/>
        <w:gridCol w:w="1068"/>
        <w:gridCol w:w="1068"/>
        <w:gridCol w:w="1073"/>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26, 2024</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John W. Casella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Casella Waste Systems, Inc. for the period ended March 31, 2024 as filed with the Securities and Exchange Commission on the date hereof (“Report”), the undersigned, Bradford J. Helgeson, Executive Vice President and Chief Financial Officer, hereby certifies, pursuant to 18 U.S.C. Section 1350, that, to his knowledge: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our financial condition and results of operations.</w:t>
      </w:r>
    </w:p>
    <w:tbl>
      <w:tblPr>
        <w:tblW w:w="6551" w:type="dxa"/>
        <w:jc w:val="left"/>
        <w:tblInd w:w="0" w:type="dxa"/>
        <w:tblLayout w:type="fixed"/>
        <w:tblCellMar>
          <w:top w:w="28" w:type="dxa"/>
          <w:left w:w="28" w:type="dxa"/>
          <w:bottom w:w="28" w:type="dxa"/>
          <w:right w:w="28" w:type="dxa"/>
        </w:tblCellMar>
      </w:tblPr>
      <w:tblGrid>
        <w:gridCol w:w="645"/>
        <w:gridCol w:w="568"/>
        <w:gridCol w:w="571"/>
        <w:gridCol w:w="1463"/>
        <w:gridCol w:w="1463"/>
        <w:gridCol w:w="1469"/>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26, 2024</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19251</Words>
  <Characters>107876</Characters>
  <CharactersWithSpaces>125903</CharactersWithSpaces>
  <Paragraphs>2483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