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86995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-125095</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4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0"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05"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105410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CASELLA WASTE SYSTEMS,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167640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tbl>
      <w:tblPr>
        <w:tblLayout w:type="fixed"/>
        <w:tblInd w:w="1660" w:type="dxa"/>
        <w:tblCellMar>
          <w:top w:w="0" w:type="dxa"/>
          <w:left w:w="0" w:type="dxa"/>
          <w:bottom w:w="0" w:type="dxa"/>
          <w:right w:w="0" w:type="dxa"/>
        </w:tblCellMar>
      </w:tblPr>
      <w:tr>
        <w:trPr>
          <w:trHeight w:val="190"/>
        </w:trPr>
        <w:tc>
          <w:tcPr>
            <w:tcW w:w="4380" w:type="dxa"/>
            <w:vAlign w:val="bottom"/>
          </w:tcPr>
          <w:p>
            <w:pPr>
              <w:jc w:val="center"/>
              <w:ind w:right="18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1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03-0338873</w:t>
            </w:r>
          </w:p>
        </w:tc>
      </w:tr>
      <w:tr>
        <w:trPr>
          <w:trHeight w:val="161"/>
        </w:trPr>
        <w:tc>
          <w:tcPr>
            <w:tcW w:w="4380" w:type="dxa"/>
            <w:vAlign w:val="bottom"/>
          </w:tcPr>
          <w:p>
            <w:pPr>
              <w:jc w:val="center"/>
              <w:ind w:right="190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80" w:type="dxa"/>
            <w:vAlign w:val="bottom"/>
          </w:tcPr>
          <w:p>
            <w:pPr>
              <w:jc w:val="center"/>
              <w:ind w:right="19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00" w:type="dxa"/>
            <w:vAlign w:val="bottom"/>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2"/>
        </w:trPr>
        <w:tc>
          <w:tcPr>
            <w:tcW w:w="4380" w:type="dxa"/>
            <w:vAlign w:val="bottom"/>
          </w:tcPr>
          <w:p>
            <w:pPr>
              <w:jc w:val="center"/>
              <w:ind w:right="1888"/>
              <w:spacing w:after="0"/>
              <w:rPr>
                <w:sz w:val="20"/>
                <w:szCs w:val="20"/>
                <w:color w:val="auto"/>
              </w:rPr>
            </w:pPr>
            <w:r>
              <w:rPr>
                <w:rFonts w:ascii="Times New Roman" w:cs="Times New Roman" w:eastAsia="Times New Roman" w:hAnsi="Times New Roman"/>
                <w:sz w:val="14"/>
                <w:szCs w:val="14"/>
                <w:b w:val="1"/>
                <w:bCs w:val="1"/>
                <w:color w:val="auto"/>
              </w:rPr>
              <w:t>25 Greens Hill Lane, Rutland, Vermont</w:t>
            </w:r>
          </w:p>
        </w:tc>
        <w:tc>
          <w:tcPr>
            <w:tcW w:w="31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05701</w:t>
            </w:r>
          </w:p>
        </w:tc>
      </w:tr>
      <w:tr>
        <w:trPr>
          <w:trHeight w:val="203"/>
        </w:trPr>
        <w:tc>
          <w:tcPr>
            <w:tcW w:w="4380" w:type="dxa"/>
            <w:vAlign w:val="bottom"/>
          </w:tcPr>
          <w:p>
            <w:pPr>
              <w:jc w:val="center"/>
              <w:ind w:right="188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00" w:type="dxa"/>
            <w:vAlign w:val="bottom"/>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182880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76" w:lineRule="exact"/>
        <w:rPr>
          <w:sz w:val="24"/>
          <w:szCs w:val="24"/>
          <w:color w:val="auto"/>
        </w:rPr>
      </w:pPr>
    </w:p>
    <w:p>
      <w:pPr>
        <w:ind w:right="18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ind w:right="3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4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ind w:right="16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April 15, 2019:</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608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Class A common stock, $0.01 par value per share:</w:t>
            </w:r>
          </w:p>
        </w:tc>
        <w:tc>
          <w:tcPr>
            <w:tcW w:w="5340" w:type="dxa"/>
            <w:vAlign w:val="bottom"/>
          </w:tcPr>
          <w:p>
            <w:pPr>
              <w:jc w:val="right"/>
              <w:ind w:right="3339"/>
              <w:spacing w:after="0"/>
              <w:rPr>
                <w:sz w:val="20"/>
                <w:szCs w:val="20"/>
                <w:color w:val="auto"/>
              </w:rPr>
            </w:pPr>
            <w:r>
              <w:rPr>
                <w:rFonts w:ascii="Times New Roman" w:cs="Times New Roman" w:eastAsia="Times New Roman" w:hAnsi="Times New Roman"/>
                <w:sz w:val="16"/>
                <w:szCs w:val="16"/>
                <w:color w:val="auto"/>
              </w:rPr>
              <w:t>46,252,010</w:t>
            </w:r>
          </w:p>
        </w:tc>
      </w:tr>
      <w:tr>
        <w:trPr>
          <w:trHeight w:val="270"/>
        </w:trPr>
        <w:tc>
          <w:tcPr>
            <w:tcW w:w="608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Class B common stock, $0.01 par value per share:</w:t>
            </w:r>
          </w:p>
        </w:tc>
        <w:tc>
          <w:tcPr>
            <w:tcW w:w="5340" w:type="dxa"/>
            <w:vAlign w:val="bottom"/>
          </w:tcPr>
          <w:p>
            <w:pPr>
              <w:jc w:val="right"/>
              <w:ind w:right="3339"/>
              <w:spacing w:after="0"/>
              <w:rPr>
                <w:sz w:val="20"/>
                <w:szCs w:val="20"/>
                <w:color w:val="auto"/>
              </w:rPr>
            </w:pPr>
            <w:r>
              <w:rPr>
                <w:rFonts w:ascii="Times New Roman" w:cs="Times New Roman" w:eastAsia="Times New Roman" w:hAnsi="Times New Roman"/>
                <w:sz w:val="16"/>
                <w:szCs w:val="16"/>
                <w:color w:val="auto"/>
              </w:rPr>
              <w:t>988,200</w:t>
            </w:r>
          </w:p>
        </w:tc>
      </w:tr>
      <w:tr>
        <w:trPr>
          <w:trHeight w:val="168"/>
        </w:trPr>
        <w:tc>
          <w:tcPr>
            <w:tcW w:w="608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tcPr>
          <w:p>
            <w:pPr>
              <w:spacing w:after="0"/>
              <w:rPr>
                <w:sz w:val="14"/>
                <w:szCs w:val="14"/>
                <w:color w:val="auto"/>
              </w:rPr>
            </w:pPr>
          </w:p>
        </w:tc>
      </w:tr>
      <w:tr>
        <w:trPr>
          <w:trHeight w:val="115"/>
        </w:trPr>
        <w:tc>
          <w:tcPr>
            <w:tcW w:w="608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957"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7660" w:type="dxa"/>
            <w:vAlign w:val="bottom"/>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1.</w:t>
            </w:r>
          </w:p>
        </w:tc>
        <w:tc>
          <w:tcPr>
            <w:tcW w:w="76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0"/>
        </w:trPr>
        <w:tc>
          <w:tcPr>
            <w:tcW w:w="680" w:type="dxa"/>
            <w:vAlign w:val="bottom"/>
          </w:tcPr>
          <w:p>
            <w:pPr>
              <w:spacing w:after="0"/>
              <w:rPr>
                <w:sz w:val="24"/>
                <w:szCs w:val="24"/>
                <w:color w:val="auto"/>
              </w:rPr>
            </w:pPr>
          </w:p>
        </w:tc>
        <w:tc>
          <w:tcPr>
            <w:tcW w:w="7660" w:type="dxa"/>
            <w:vAlign w:val="bottom"/>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9"/>
              </w:rPr>
              <w:t>CASELLA WASTE SYSTEMS, INC. AND SUBSIDIARIES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766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680" w:type="dxa"/>
            <w:vAlign w:val="bottom"/>
          </w:tcPr>
          <w:p>
            <w:pPr>
              <w:spacing w:after="0"/>
              <w:rPr>
                <w:sz w:val="20"/>
                <w:szCs w:val="20"/>
                <w:color w:val="auto"/>
              </w:rPr>
            </w:pPr>
          </w:p>
        </w:tc>
        <w:tc>
          <w:tcPr>
            <w:tcW w:w="7660" w:type="dxa"/>
            <w:vAlign w:val="bottom"/>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86"/>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68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5"/>
        </w:trPr>
        <w:tc>
          <w:tcPr>
            <w:tcW w:w="68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4,007</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 trade, net of allowance for doubtful accounts of $921 and $931, respectively</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74,937</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Refundable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2,254</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7,345</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6,542</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97,093</w:t>
            </w:r>
          </w:p>
        </w:tc>
      </w:tr>
      <w:tr>
        <w:trPr>
          <w:trHeight w:val="225"/>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and amortization of $802,527 and $878,701,</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379,372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404,577</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 - 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162,734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162,734</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33,366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34,767</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assets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1,248</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method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11,264</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9,594</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11,133</w:t>
            </w:r>
          </w:p>
        </w:tc>
      </w:tr>
      <w:tr>
        <w:trPr>
          <w:trHeight w:val="237"/>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828,313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732,410</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5"/>
        </w:trPr>
        <w:tc>
          <w:tcPr>
            <w:tcW w:w="8340" w:type="dxa"/>
            <w:vAlign w:val="bottom"/>
            <w:tcBorders>
              <w:bottom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Current maturities of long-term debt and finance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2,298</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57,289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10,969</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2,415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3,074</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accrued capping, closure and post-closure costs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11,633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Current lease liability - 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23,819</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111,497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and finance leases, less current portion</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474,733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542,001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capping, closure and post-closure costs,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61,442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liability - operating leases, less current portion</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67,656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30,915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30,783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Casella Waste Systems, Inc. stockholders' equity (deficit)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5"/>
        </w:trPr>
        <w:tc>
          <w:tcPr>
            <w:tcW w:w="8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Class A common stock, $0.01 par value per share; 100,000,000 shares authorized; 46,252,000 and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41,944,000 shares issued and outstanding, respectively</w:t>
            </w:r>
          </w:p>
        </w:tc>
        <w:tc>
          <w:tcPr>
            <w:tcW w:w="24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Class B common stock, $0.01 par value per share; 1,000,000 shares authorized; 988,000 shares issued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and outstanding; 10 votes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475,809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373,716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(388,669)</w:t>
            </w:r>
          </w:p>
        </w:tc>
      </w:tr>
      <w:tr>
        <w:trPr>
          <w:trHeight w:val="243"/>
        </w:trPr>
        <w:tc>
          <w:tcPr>
            <w:tcW w:w="8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83,034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828,313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732,410</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14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3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147,455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operations</w:t>
            </w:r>
          </w:p>
        </w:tc>
        <w:tc>
          <w:tcPr>
            <w:tcW w:w="2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117,759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105,610</w:t>
            </w:r>
          </w:p>
        </w:tc>
        <w:tc>
          <w:tcPr>
            <w:tcW w:w="0" w:type="dxa"/>
            <w:vAlign w:val="bottom"/>
          </w:tcPr>
          <w:p>
            <w:pPr>
              <w:spacing w:after="0"/>
              <w:rPr>
                <w:sz w:val="1"/>
                <w:szCs w:val="1"/>
                <w:color w:val="auto"/>
              </w:rPr>
            </w:pPr>
          </w:p>
        </w:tc>
      </w:tr>
      <w:tr>
        <w:trPr>
          <w:trHeight w:val="243"/>
        </w:trPr>
        <w:tc>
          <w:tcPr>
            <w:tcW w:w="5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21,027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15,983</w:t>
            </w:r>
          </w:p>
        </w:tc>
        <w:tc>
          <w:tcPr>
            <w:tcW w:w="0" w:type="dxa"/>
            <w:vAlign w:val="bottom"/>
          </w:tcPr>
          <w:p>
            <w:pPr>
              <w:spacing w:after="0"/>
              <w:rPr>
                <w:sz w:val="1"/>
                <w:szCs w:val="1"/>
                <w:color w:val="auto"/>
              </w:rPr>
            </w:pPr>
          </w:p>
        </w:tc>
      </w:tr>
      <w:tr>
        <w:trPr>
          <w:trHeight w:val="243"/>
        </w:trPr>
        <w:tc>
          <w:tcPr>
            <w:tcW w:w="5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 from acquisition activities and other items</w:t>
            </w:r>
          </w:p>
        </w:tc>
        <w:tc>
          <w:tcPr>
            <w:tcW w:w="2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Southbridge Landfill closure charge, net</w:t>
            </w:r>
          </w:p>
        </w:tc>
        <w:tc>
          <w:tcPr>
            <w:tcW w:w="2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43"/>
        </w:trPr>
        <w:tc>
          <w:tcPr>
            <w:tcW w:w="5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Contract settlement charge</w:t>
            </w:r>
          </w:p>
        </w:tc>
        <w:tc>
          <w:tcPr>
            <w:tcW w:w="2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Development project charge</w:t>
            </w:r>
          </w:p>
        </w:tc>
        <w:tc>
          <w:tcPr>
            <w:tcW w:w="28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159,222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146,617</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w:t>
            </w:r>
          </w:p>
        </w:tc>
        <w:tc>
          <w:tcPr>
            <w:tcW w:w="28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5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w:t>
            </w:r>
          </w:p>
        </w:tc>
        <w:tc>
          <w:tcPr>
            <w:tcW w:w="28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28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6,336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and diluted earnings per share attributable to common stockholders:</w:t>
            </w:r>
          </w:p>
        </w:tc>
        <w:tc>
          <w:tcPr>
            <w:tcW w:w="2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2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45,913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42,370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 earnings per common share</w:t>
            </w:r>
          </w:p>
        </w:tc>
        <w:tc>
          <w:tcPr>
            <w:tcW w:w="3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900" w:type="dxa"/>
            <w:vAlign w:val="bottom"/>
            <w:gridSpan w:val="3"/>
          </w:tcPr>
          <w:p>
            <w:pPr>
              <w:jc w:val="center"/>
              <w:ind w:left="24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20" w:type="dxa"/>
            <w:vAlign w:val="bottom"/>
          </w:tcPr>
          <w:p>
            <w:pPr>
              <w:spacing w:after="0"/>
              <w:rPr>
                <w:sz w:val="24"/>
                <w:szCs w:val="24"/>
                <w:color w:val="auto"/>
              </w:rPr>
            </w:pPr>
          </w:p>
        </w:tc>
        <w:tc>
          <w:tcPr>
            <w:tcW w:w="282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Hedging activity:</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Interest rate swap amounts reclassified into interest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Unrealized (loss) gain resulting from changes in fair value of derivative instruments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785</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provision related to items of other comprehensive (loss) income</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9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5" w:name="page6"/>
    <w:bookmarkEnd w:id="5"/>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CONSOLIDATED STATEMENT OF</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left="671"/>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left="631"/>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960" w:type="dxa"/>
            <w:vAlign w:val="bottom"/>
            <w:gridSpan w:val="7"/>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0" w:type="dxa"/>
            <w:vAlign w:val="bottom"/>
          </w:tcPr>
          <w:p>
            <w:pPr>
              <w:spacing w:after="0"/>
              <w:rPr>
                <w:sz w:val="15"/>
                <w:szCs w:val="15"/>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Additional Paid-In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December 31,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(15,832)</w:t>
            </w: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41,944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419</w:t>
            </w: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373,716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(388,669)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Issuance of Class A common stock -</w:t>
            </w:r>
          </w:p>
        </w:tc>
        <w:tc>
          <w:tcPr>
            <w:tcW w:w="160" w:type="dxa"/>
            <w:vAlign w:val="bottom"/>
          </w:tcPr>
          <w:p>
            <w:pPr>
              <w:spacing w:after="0"/>
              <w:rPr>
                <w:sz w:val="13"/>
                <w:szCs w:val="13"/>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100,446</w:t>
            </w:r>
          </w:p>
        </w:tc>
        <w:tc>
          <w:tcPr>
            <w:tcW w:w="120" w:type="dxa"/>
            <w:vAlign w:val="bottom"/>
          </w:tcPr>
          <w:p>
            <w:pPr>
              <w:spacing w:after="0"/>
              <w:rPr>
                <w:sz w:val="13"/>
                <w:szCs w:val="13"/>
                <w:color w:val="auto"/>
              </w:rPr>
            </w:pPr>
          </w:p>
        </w:tc>
        <w:tc>
          <w:tcPr>
            <w:tcW w:w="9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3,565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100,410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offering</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36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Issuance of Class A common stock -</w:t>
            </w:r>
          </w:p>
        </w:tc>
        <w:tc>
          <w:tcPr>
            <w:tcW w:w="16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w:t>
            </w:r>
          </w:p>
        </w:tc>
        <w:tc>
          <w:tcPr>
            <w:tcW w:w="16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1,431</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loss:</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Hedging activity</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March 31, 2019</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83,034</w:t>
            </w:r>
          </w:p>
        </w:tc>
        <w:tc>
          <w:tcPr>
            <w:tcW w:w="120" w:type="dxa"/>
            <w:vAlign w:val="bottom"/>
          </w:tcPr>
          <w:p>
            <w:pPr>
              <w:spacing w:after="0"/>
              <w:rPr>
                <w:sz w:val="15"/>
                <w:szCs w:val="15"/>
                <w:color w:val="auto"/>
              </w:rPr>
            </w:pPr>
          </w:p>
        </w:tc>
        <w:tc>
          <w:tcPr>
            <w:tcW w:w="92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46,252</w:t>
            </w:r>
          </w:p>
        </w:tc>
        <w:tc>
          <w:tcPr>
            <w:tcW w:w="12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463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5"/>
                <w:szCs w:val="15"/>
                <w:color w:val="auto"/>
              </w:rPr>
            </w:pPr>
          </w:p>
        </w:tc>
        <w:tc>
          <w:tcPr>
            <w:tcW w:w="200" w:type="dxa"/>
            <w:vAlign w:val="bottom"/>
            <w:tcBorders>
              <w:top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gridSpan w:val="2"/>
            <w:vMerge w:val="restart"/>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475,809</w:t>
            </w:r>
          </w:p>
        </w:tc>
        <w:tc>
          <w:tcPr>
            <w:tcW w:w="100" w:type="dxa"/>
            <w:vAlign w:val="bottom"/>
          </w:tcPr>
          <w:p>
            <w:pPr>
              <w:spacing w:after="0"/>
              <w:rPr>
                <w:sz w:val="15"/>
                <w:szCs w:val="15"/>
                <w:color w:val="auto"/>
              </w:rPr>
            </w:pPr>
          </w:p>
        </w:tc>
        <w:tc>
          <w:tcPr>
            <w:tcW w:w="160" w:type="dxa"/>
            <w:vAlign w:val="bottom"/>
            <w:tcBorders>
              <w:top w:val="single" w:sz="8" w:color="auto"/>
            </w:tcBorders>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(390,383)</w:t>
            </w:r>
          </w:p>
        </w:tc>
        <w:tc>
          <w:tcPr>
            <w:tcW w:w="100" w:type="dxa"/>
            <w:vAlign w:val="bottom"/>
          </w:tcPr>
          <w:p>
            <w:pPr>
              <w:spacing w:after="0"/>
              <w:rPr>
                <w:sz w:val="15"/>
                <w:szCs w:val="15"/>
                <w:color w:val="auto"/>
              </w:rPr>
            </w:pPr>
          </w:p>
        </w:tc>
        <w:tc>
          <w:tcPr>
            <w:tcW w:w="1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36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gridSpan w:val="2"/>
            <w:vMerge w:val="continue"/>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gridSpan w:val="2"/>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gridSpan w:val="2"/>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gridSpan w:val="2"/>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left="691"/>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left="671"/>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6"/>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960" w:type="dxa"/>
            <w:vAlign w:val="bottom"/>
            <w:gridSpan w:val="7"/>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0" w:type="dxa"/>
            <w:vAlign w:val="bottom"/>
          </w:tcPr>
          <w:p>
            <w:pPr>
              <w:spacing w:after="0"/>
              <w:rPr>
                <w:sz w:val="15"/>
                <w:szCs w:val="15"/>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Additional Paid-In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 Income</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December 31, 2017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(37,862)</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41,298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356,638</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(395,107)</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Cumulative effect of new accounting</w:t>
            </w:r>
          </w:p>
        </w:tc>
        <w:tc>
          <w:tcPr>
            <w:tcW w:w="160" w:type="dxa"/>
            <w:vAlign w:val="bottom"/>
          </w:tcPr>
          <w:p>
            <w:pPr>
              <w:spacing w:after="0"/>
              <w:rPr>
                <w:sz w:val="13"/>
                <w:szCs w:val="13"/>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principle</w:t>
            </w: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2,077</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2,077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Comprehensive loss:</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Hedging activity</w:t>
            </w: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568</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March 31, 2018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(38,817)</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41,700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359,021</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(398,999)</w:t>
            </w: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734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240" w:top="576" w:right="49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CASELLA WASTE SYSTEMS, INC. AND SUBSIDIARIES</w:t>
      </w:r>
    </w:p>
    <w:p>
      <w:pPr>
        <w:spacing w:after="0" w:line="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380"/>
          </w:cols>
          <w:pgMar w:left="28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-104140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Depletion of landfill operating lease obligations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Interest accretion on landfill and environmental remediation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Amortization of debt issuance costs and discount on long-term debt</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Gain on sale of property and equipment</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Southbridge Landfill non-cash closure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Development project charge</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Non-cash expense from acquisition activities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Right-of-use asset - operating lease expense</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Changes in assets and liabilities, net of effects of acquisitions and divestitures:</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Prepaid expenses, inventories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Accrued expenses, contract liabilities and other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Flows from Investing Activities: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Additions to property, plant and equipment</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Payments on landfill operating lease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Flows from Financing Activities: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Proceeds from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Principal payments on long-term debt</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Proceeds from the exercise of share 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Proceeds from the issuance of Class A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increase in cash and cash equivalents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end of period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83820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Income taxes, net of refunds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Non-current assets obtained through long-term obligations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955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529"/>
        </w:trPr>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(1,714)</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17,489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15,983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2,392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1,403</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2,694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275"/>
        </w:trPr>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(10,540)</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(8,246)</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4,777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12,794</w:t>
            </w:r>
          </w:p>
        </w:tc>
      </w:tr>
      <w:tr>
        <w:trPr>
          <w:trHeight w:val="529"/>
        </w:trPr>
        <w:tc>
          <w:tcPr>
            <w:tcW w:w="3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(18,243)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(8,918)</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r>
      <w:tr>
        <w:trPr>
          <w:trHeight w:val="275"/>
        </w:trPr>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342</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(19,408)</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(28,043)</w:t>
            </w:r>
          </w:p>
        </w:tc>
      </w:tr>
      <w:tr>
        <w:trPr>
          <w:trHeight w:val="529"/>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66,700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(80,746)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(51,364)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w:t>
            </w:r>
          </w:p>
        </w:tc>
      </w:tr>
      <w:tr>
        <w:trPr>
          <w:trHeight w:val="275"/>
        </w:trPr>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100,446</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30,560</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15,646</w:t>
            </w:r>
          </w:p>
        </w:tc>
      </w:tr>
      <w:tr>
        <w:trPr>
          <w:trHeight w:val="245"/>
        </w:trPr>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397</w:t>
            </w:r>
          </w:p>
        </w:tc>
      </w:tr>
      <w:tr>
        <w:trPr>
          <w:trHeight w:val="275"/>
        </w:trPr>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4,007</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1,995</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19,936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2,392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6"/>
        </w:trPr>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5,718</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5,547</w:t>
            </w:r>
          </w:p>
        </w:tc>
      </w:tr>
      <w:tr>
        <w:trPr>
          <w:trHeight w:val="270"/>
        </w:trPr>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r>
      <w:tr>
        <w:trPr>
          <w:trHeight w:val="540"/>
        </w:trPr>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2,473</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1,444</w:t>
            </w:r>
          </w:p>
        </w:tc>
      </w:tr>
    </w:tbl>
    <w:p>
      <w:pPr>
        <w:spacing w:after="0" w:line="100" w:lineRule="exact"/>
        <w:rPr>
          <w:sz w:val="20"/>
          <w:szCs w:val="20"/>
          <w:color w:val="auto"/>
        </w:rPr>
      </w:pPr>
    </w:p>
    <w:p>
      <w:pPr>
        <w:sectPr>
          <w:pgSz w:w="11900" w:h="16838" w:orient="portrait"/>
          <w:cols w:equalWidth="0" w:num="2">
            <w:col w:w="7580" w:space="720"/>
            <w:col w:w="3080"/>
          </w:cols>
          <w:pgMar w:left="280" w:top="576" w:right="2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380"/>
          </w:cols>
          <w:pgMar w:left="280" w:top="576" w:right="239" w:bottom="1440" w:gutter="0" w:footer="0" w:header="0"/>
          <w:type w:val="continuous"/>
        </w:sect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80" w:top="576" w:right="239" w:bottom="1440" w:gutter="0" w:footer="0" w:header="0"/>
          <w:type w:val="continuous"/>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0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Casella Waste Systems, Inc. (“Parent”), and its consolidated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along with major account and industrial services are included in our Other segment.</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of our Annual Report on Form 10-K for the fiscal year ended December 31, 2018, which was filed with the SEC on February 22, 2019.</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months ended March 31, 2019 may not be indicative of the results for any other interim period or the entire fiscal year. The consolidated financial statements presented herein should be read in conjunction with our audited consolidated financial statements included in our Annual Report on Form 10-K for the fiscal year ended December 31,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evaluated subsequent events or transactions that have occurred after the consolidated balance sheet date of March 31, 2019 through the date of filing of the consolidated financial statements with the SEC on this Quarterly Report on Form 10-Q. We have determined that there are no subsequent events that require disclosure in this Quarterly Report on Form 10-Q.</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576" w:right="279" w:bottom="1440" w:gutter="0" w:footer="0" w:header="0"/>
        </w:sectPr>
      </w:pPr>
    </w:p>
    <w:bookmarkStart w:id="8" w:name="page9"/>
    <w:bookmarkEnd w:id="8"/>
    <w:p>
      <w:pPr>
        <w:spacing w:after="0" w:line="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CHANGES</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 table providing a brief description of recent Accounting Standards Updates ("ASUs") to the Accounting Standards Codification (“ASC”) issued by the Financial Accounting Standards Board (“FASB”) that we adopted and deemed to have a possible material effect on our consolidated financial statements based on current account balances and activity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4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6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Effect on the Financial Statements or Other</w:t>
            </w:r>
          </w:p>
        </w:tc>
        <w:tc>
          <w:tcPr>
            <w:tcW w:w="0" w:type="dxa"/>
            <w:vAlign w:val="bottom"/>
          </w:tcPr>
          <w:p>
            <w:pPr>
              <w:spacing w:after="0"/>
              <w:rPr>
                <w:sz w:val="1"/>
                <w:szCs w:val="1"/>
                <w:color w:val="auto"/>
              </w:rPr>
            </w:pPr>
          </w:p>
        </w:tc>
      </w:tr>
      <w:tr>
        <w:trPr>
          <w:trHeight w:val="195"/>
        </w:trPr>
        <w:tc>
          <w:tcPr>
            <w:tcW w:w="432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vMerge w:val="continue"/>
          </w:tcPr>
          <w:p>
            <w:pPr>
              <w:spacing w:after="0"/>
              <w:rPr>
                <w:sz w:val="16"/>
                <w:szCs w:val="16"/>
                <w:color w:val="auto"/>
              </w:rPr>
            </w:pPr>
          </w:p>
        </w:tc>
        <w:tc>
          <w:tcPr>
            <w:tcW w:w="466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r>
        <w:trPr>
          <w:trHeight w:val="191"/>
        </w:trPr>
        <w:tc>
          <w:tcPr>
            <w:tcW w:w="4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Accounting standards that are adopted effective January 1, 2019</w:t>
            </w:r>
          </w:p>
        </w:tc>
        <w:tc>
          <w:tcPr>
            <w:tcW w:w="24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900" w:orient="portrait"/>
          <w:cols w:equalWidth="0" w:num="1">
            <w:col w:w="11420"/>
          </w:cols>
          <w:pgMar w:left="240" w:top="792" w:right="239" w:bottom="0" w:gutter="0" w:footer="0" w:header="0"/>
        </w:sectPr>
      </w:pPr>
    </w:p>
    <w:p>
      <w:pPr>
        <w:ind w:left="40"/>
        <w:spacing w:after="0" w:line="313" w:lineRule="auto"/>
        <w:rPr>
          <w:sz w:val="20"/>
          <w:szCs w:val="20"/>
          <w:color w:val="auto"/>
        </w:rPr>
      </w:pPr>
      <w:r>
        <w:rPr>
          <w:rFonts w:ascii="Times New Roman" w:cs="Times New Roman" w:eastAsia="Times New Roman" w:hAnsi="Times New Roman"/>
          <w:sz w:val="17"/>
          <w:szCs w:val="17"/>
          <w:color w:val="auto"/>
        </w:rPr>
        <w:t>ASU 2016-02, as amended through March 2019: Leases (</w:t>
      </w:r>
      <w:r>
        <w:rPr>
          <w:rFonts w:ascii="Times New Roman" w:cs="Times New Roman" w:eastAsia="Times New Roman" w:hAnsi="Times New Roman"/>
          <w:sz w:val="17"/>
          <w:szCs w:val="17"/>
          <w:i w:val="1"/>
          <w:iCs w:val="1"/>
          <w:color w:val="auto"/>
        </w:rPr>
        <w:t>Topic 842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Requires that a lessee recognize at the commencement date: a lease liability, which is the obligation of the lessee to make lease payments arising from a lease, measured on a discounted basis; and a right-of-use asset, which is an asset that represents the lessee’s right to use, or control the use of, a specified asset for the lease term.</w:t>
      </w:r>
    </w:p>
    <w:p>
      <w:pPr>
        <w:spacing w:after="0" w:line="20" w:lineRule="exact"/>
        <w:rPr>
          <w:sz w:val="20"/>
          <w:szCs w:val="20"/>
          <w:color w:val="auto"/>
        </w:rPr>
      </w:pPr>
      <w:r>
        <w:rPr>
          <w:sz w:val="20"/>
          <w:szCs w:val="20"/>
          <w:color w:val="auto"/>
        </w:rPr>
        <w:br w:type="column"/>
      </w: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We adopted the guidance using the prospective optional transition method effective January 1, 2019, which allowed us to elect not to restate comparative periods and, if applicable, to recognize the effects of applying this guidance as a cumulative-effect adjustment to retained earnings as of January 1, 2019. We did not recognize a cumulative effect adjustment to retained earnings upon implementation. Upon adopting this guidance, we recognized a right-of-use asset and lease liability for leases classified as operating leases with a term in excess of 12 months in our consolidated balance sheet. We also prospectively reclassified landfill operating lease payments, along with related accumulated depreciation, that were previously capitalized as property, plant and equipment to right-of-use asset - operating leases. Accordingly, the related cash outlays, which were historically considered cash flows from investing activities, were prospectively reclassified as cash flows from operating activities in accordance with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xml:space="preserve">. With the assistance of third-party resources, we designed internal controls over the adoption of this guidance and implemented a third-party enterprise lease management software solution. In conjunction with the implementation, we modified our lease policy and internal business processes to effectively manage and account for leases, and to support recognition and disclosure requirements under the new standard. The adoption of this guidance did not have a material impact on the accounting for our finance leases. This guidance required additional disclosure over leases in order to comply with the new lease standard. 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disclosure.</w:t>
      </w:r>
    </w:p>
    <w:p>
      <w:pPr>
        <w:spacing w:after="0" w:line="200" w:lineRule="exact"/>
        <w:rPr>
          <w:sz w:val="20"/>
          <w:szCs w:val="20"/>
          <w:color w:val="auto"/>
        </w:rPr>
      </w:pPr>
    </w:p>
    <w:p>
      <w:pPr>
        <w:sectPr>
          <w:pgSz w:w="11900" w:h="16900" w:orient="portrait"/>
          <w:cols w:equalWidth="0" w:num="3">
            <w:col w:w="2580" w:space="540"/>
            <w:col w:w="3980" w:space="260"/>
            <w:col w:w="4060"/>
          </w:cols>
          <w:pgMar w:left="240" w:top="792" w:right="239" w:bottom="0" w:gutter="0" w:footer="0" w:header="0"/>
          <w:type w:val="continuous"/>
        </w:sectPr>
      </w:pPr>
    </w:p>
    <w:p>
      <w:pPr>
        <w:spacing w:after="0" w:line="3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table providing a brief description of recent ASUs to the ASC issued by the FASB that are pending adoption and deemed to have a possible material effect on our consolidated financial statements based on current account balances and activity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66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6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Effect on the Financial Statements or Other</w:t>
            </w:r>
          </w:p>
        </w:tc>
        <w:tc>
          <w:tcPr>
            <w:tcW w:w="0" w:type="dxa"/>
            <w:vAlign w:val="bottom"/>
          </w:tcPr>
          <w:p>
            <w:pPr>
              <w:spacing w:after="0"/>
              <w:rPr>
                <w:sz w:val="1"/>
                <w:szCs w:val="1"/>
                <w:color w:val="auto"/>
              </w:rPr>
            </w:pPr>
          </w:p>
        </w:tc>
      </w:tr>
      <w:tr>
        <w:trPr>
          <w:trHeight w:val="195"/>
        </w:trPr>
        <w:tc>
          <w:tcPr>
            <w:tcW w:w="4100" w:type="dxa"/>
            <w:vAlign w:val="bottom"/>
            <w:tcBorders>
              <w:bottom w:val="single" w:sz="8" w:color="auto"/>
            </w:tcBorders>
            <w:vMerge w:val="continue"/>
          </w:tcPr>
          <w:p>
            <w:pPr>
              <w:spacing w:after="0"/>
              <w:rPr>
                <w:sz w:val="16"/>
                <w:szCs w:val="16"/>
                <w:color w:val="auto"/>
              </w:rPr>
            </w:pPr>
          </w:p>
        </w:tc>
        <w:tc>
          <w:tcPr>
            <w:tcW w:w="2660" w:type="dxa"/>
            <w:vAlign w:val="bottom"/>
            <w:tcBorders>
              <w:bottom w:val="single" w:sz="8" w:color="auto"/>
            </w:tcBorders>
            <w:vMerge w:val="continue"/>
          </w:tcPr>
          <w:p>
            <w:pPr>
              <w:spacing w:after="0"/>
              <w:rPr>
                <w:sz w:val="16"/>
                <w:szCs w:val="16"/>
                <w:color w:val="auto"/>
              </w:rPr>
            </w:pPr>
          </w:p>
        </w:tc>
        <w:tc>
          <w:tcPr>
            <w:tcW w:w="466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r>
        <w:trPr>
          <w:trHeight w:val="191"/>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Accounting standards issued that are pending adoption</w:t>
            </w:r>
          </w:p>
        </w:tc>
        <w:tc>
          <w:tcPr>
            <w:tcW w:w="26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900" w:orient="portrait"/>
          <w:cols w:equalWidth="0" w:num="1">
            <w:col w:w="11420"/>
          </w:cols>
          <w:pgMar w:left="240" w:top="792" w:right="239" w:bottom="0" w:gutter="0" w:footer="0" w:header="0"/>
          <w:type w:val="continuous"/>
        </w:sectPr>
      </w:pPr>
    </w:p>
    <w:p>
      <w:pPr>
        <w:ind w:left="40"/>
        <w:spacing w:after="0"/>
        <w:tabs>
          <w:tab w:leader="none" w:pos="3100" w:val="left"/>
        </w:tabs>
        <w:rPr>
          <w:sz w:val="20"/>
          <w:szCs w:val="20"/>
          <w:color w:val="auto"/>
        </w:rPr>
      </w:pPr>
      <w:r>
        <w:rPr>
          <w:rFonts w:ascii="Times New Roman" w:cs="Times New Roman" w:eastAsia="Times New Roman" w:hAnsi="Times New Roman"/>
          <w:sz w:val="18"/>
          <w:szCs w:val="18"/>
          <w:color w:val="auto"/>
        </w:rPr>
        <w:t>ASU 2017-04: Intangibles - Goodwill</w:t>
      </w:r>
      <w:r>
        <w:rPr>
          <w:sz w:val="20"/>
          <w:szCs w:val="20"/>
          <w:color w:val="auto"/>
        </w:rPr>
        <w:tab/>
      </w:r>
      <w:r>
        <w:rPr>
          <w:rFonts w:ascii="Times New Roman" w:cs="Times New Roman" w:eastAsia="Times New Roman" w:hAnsi="Times New Roman"/>
          <w:sz w:val="17"/>
          <w:szCs w:val="17"/>
          <w:color w:val="auto"/>
        </w:rPr>
        <w:t>Requires that when an entity is performing its annual,</w:t>
      </w:r>
    </w:p>
    <w:p>
      <w:pPr>
        <w:spacing w:after="0" w:line="27" w:lineRule="exact"/>
        <w:rPr>
          <w:sz w:val="20"/>
          <w:szCs w:val="20"/>
          <w:color w:val="auto"/>
        </w:rPr>
      </w:pPr>
    </w:p>
    <w:p>
      <w:pPr>
        <w:ind w:left="40"/>
        <w:spacing w:after="0"/>
        <w:tabs>
          <w:tab w:leader="none" w:pos="3100" w:val="left"/>
        </w:tabs>
        <w:rPr>
          <w:sz w:val="20"/>
          <w:szCs w:val="20"/>
          <w:color w:val="auto"/>
        </w:rPr>
      </w:pPr>
      <w:r>
        <w:rPr>
          <w:rFonts w:ascii="Times New Roman" w:cs="Times New Roman" w:eastAsia="Times New Roman" w:hAnsi="Times New Roman"/>
          <w:sz w:val="18"/>
          <w:szCs w:val="18"/>
          <w:color w:val="auto"/>
        </w:rPr>
        <w:t>and Other (</w:t>
      </w:r>
      <w:r>
        <w:rPr>
          <w:rFonts w:ascii="Times New Roman" w:cs="Times New Roman" w:eastAsia="Times New Roman" w:hAnsi="Times New Roman"/>
          <w:sz w:val="18"/>
          <w:szCs w:val="18"/>
          <w:i w:val="1"/>
          <w:iCs w:val="1"/>
          <w:color w:val="auto"/>
        </w:rPr>
        <w:t>Topic 350</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or interim, goodwill impairment test, it should compare</w:t>
      </w:r>
    </w:p>
    <w:p>
      <w:pPr>
        <w:spacing w:after="0" w:line="9" w:lineRule="exact"/>
        <w:rPr>
          <w:sz w:val="20"/>
          <w:szCs w:val="20"/>
          <w:color w:val="auto"/>
        </w:rPr>
      </w:pPr>
    </w:p>
    <w:p>
      <w:pPr>
        <w:ind w:left="3120"/>
        <w:spacing w:after="0" w:line="252" w:lineRule="auto"/>
        <w:rPr>
          <w:sz w:val="20"/>
          <w:szCs w:val="20"/>
          <w:color w:val="auto"/>
        </w:rPr>
      </w:pPr>
      <w:r>
        <w:rPr>
          <w:rFonts w:ascii="Times New Roman" w:cs="Times New Roman" w:eastAsia="Times New Roman" w:hAnsi="Times New Roman"/>
          <w:sz w:val="18"/>
          <w:szCs w:val="18"/>
          <w:color w:val="auto"/>
        </w:rPr>
        <w:t>the fair value of the reporting unit with its carrying amount when calculating its impairment charge, noting that the loss recognized should not exceed the total amount of goodwill allocated to that reporting unit. Additionally, if applicable, an entity should consider income tax effects from any tax deductible goodwill on the carrying amount of the reporting unit when calculating its impairment charge.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of December 31, 2018, we did not record a goodwill impairment charge related to our annual goodwill impairment test because at that time the fair value of each reporting unit exceeded its respective carrying value. Upon adoption, if the carrying value of any of these reporting units exceeds the fair value when we perform a goodwill impairment test, we would record an impairment charge equal to the amount by which the carrying value exceeds its fair value. This guidance is effective January 1, 2020 with early adoption permitted for interim or annual goodwill impairment tests performed after January 1, 2017.</w:t>
      </w:r>
    </w:p>
    <w:p>
      <w:pPr>
        <w:spacing w:after="0" w:line="200" w:lineRule="exact"/>
        <w:rPr>
          <w:sz w:val="20"/>
          <w:szCs w:val="20"/>
          <w:color w:val="auto"/>
        </w:rPr>
      </w:pPr>
    </w:p>
    <w:p>
      <w:pPr>
        <w:sectPr>
          <w:pgSz w:w="11900" w:h="16900" w:orient="portrait"/>
          <w:cols w:equalWidth="0" w:num="2">
            <w:col w:w="7100" w:space="240"/>
            <w:col w:w="4080"/>
          </w:cols>
          <w:pgMar w:left="240" w:top="792" w:right="239" w:bottom="0" w:gutter="0" w:footer="0" w:header="0"/>
          <w:type w:val="continuous"/>
        </w:sectPr>
      </w:pPr>
    </w:p>
    <w:p>
      <w:pPr>
        <w:spacing w:after="0" w:line="9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table of revenues disaggregated by service line and timing of revenue recognition by operating segment for each of the three months ended March 31, 2019 and 2018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Recycling</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 Revenues</w:t>
            </w: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33,965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CCEEFF"/>
            </w:tcBorders>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83,562</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Landfill</w:t>
            </w:r>
          </w:p>
        </w:tc>
        <w:tc>
          <w:tcPr>
            <w:tcW w:w="32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3,717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15,468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19,185</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70"/>
        </w:trPr>
        <w:tc>
          <w:tcPr>
            <w:tcW w:w="35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792" w:right="23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5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Customer solutions</w:t>
            </w:r>
          </w:p>
        </w:tc>
        <w:tc>
          <w:tcPr>
            <w:tcW w:w="5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Recycling</w:t>
            </w:r>
          </w:p>
        </w:tc>
        <w:tc>
          <w:tcPr>
            <w:tcW w:w="5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Organics</w:t>
            </w:r>
          </w:p>
        </w:tc>
        <w:tc>
          <w:tcPr>
            <w:tcW w:w="5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5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Landfill gas-to-energy</w:t>
            </w:r>
          </w:p>
        </w:tc>
        <w:tc>
          <w:tcPr>
            <w:tcW w:w="5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46,997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5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46,961</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46,997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80"/>
        <w:spacing w:after="0"/>
        <w:tabs>
          <w:tab w:leader="none" w:pos="1880" w:val="left"/>
        </w:tabs>
        <w:rPr>
          <w:sz w:val="20"/>
          <w:szCs w:val="20"/>
          <w:color w:val="auto"/>
        </w:rPr>
      </w:pPr>
      <w:r>
        <w:rPr>
          <w:rFonts w:ascii="Times New Roman" w:cs="Times New Roman" w:eastAsia="Times New Roman" w:hAnsi="Times New Roman"/>
          <w:sz w:val="18"/>
          <w:szCs w:val="18"/>
          <w:color w:val="auto"/>
        </w:rPr>
        <w:t>5,275</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-119380</wp:posOffset>
            </wp:positionV>
            <wp:extent cx="72466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3" w:lineRule="exact"/>
        <w:rPr>
          <w:sz w:val="20"/>
          <w:szCs w:val="20"/>
          <w:color w:val="auto"/>
        </w:rPr>
      </w:pPr>
    </w:p>
    <w:p>
      <w:pPr>
        <w:ind w:left="320"/>
        <w:spacing w:after="0"/>
        <w:tabs>
          <w:tab w:leader="none" w:pos="1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34290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580" w:hanging="1358"/>
        <w:spacing w:after="0"/>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10,766</w:t>
      </w:r>
    </w:p>
    <w:p>
      <w:pPr>
        <w:spacing w:after="0" w:line="63"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34290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2,046</w:t>
            </w: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70"/>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807</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7"/>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73,634</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48"/>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309</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73,325</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4,642</w:t>
            </w:r>
          </w:p>
        </w:tc>
        <w:tc>
          <w:tcPr>
            <w:tcW w:w="220" w:type="dxa"/>
            <w:vAlign w:val="bottom"/>
          </w:tcPr>
          <w:p>
            <w:pPr>
              <w:spacing w:after="0"/>
              <w:rPr>
                <w:sz w:val="23"/>
                <w:szCs w:val="23"/>
                <w:color w:val="auto"/>
              </w:rPr>
            </w:pPr>
          </w:p>
        </w:tc>
      </w:tr>
      <w:tr>
        <w:trPr>
          <w:trHeight w:val="27"/>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73,634</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-548005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-205105</wp:posOffset>
            </wp:positionV>
            <wp:extent cx="724662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-960120</wp:posOffset>
            </wp:positionV>
            <wp:extent cx="72466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Times New Roman" w:cs="Times New Roman" w:eastAsia="Times New Roman" w:hAnsi="Times New Roman"/>
          <w:sz w:val="18"/>
          <w:szCs w:val="18"/>
          <w:color w:val="auto"/>
        </w:rPr>
        <w:t>—14,261</w:t>
      </w:r>
    </w:p>
    <w:p>
      <w:pPr>
        <w:spacing w:after="0" w:line="6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18,154</w:t>
      </w:r>
      <w:r>
        <w:rPr>
          <w:sz w:val="20"/>
          <w:szCs w:val="20"/>
          <w:color w:val="auto"/>
        </w:rPr>
        <w:tab/>
      </w:r>
      <w:r>
        <w:rPr>
          <w:rFonts w:ascii="Times New Roman" w:cs="Times New Roman" w:eastAsia="Times New Roman" w:hAnsi="Times New Roman"/>
          <w:sz w:val="18"/>
          <w:szCs w:val="18"/>
          <w:color w:val="auto"/>
        </w:rPr>
        <w:t>18,154</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—11,207</w:t>
      </w:r>
    </w:p>
    <w:p>
      <w:pPr>
        <w:spacing w:after="0" w:line="6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13,596</w:t>
      </w:r>
      <w:r>
        <w:rPr>
          <w:sz w:val="20"/>
          <w:szCs w:val="20"/>
          <w:color w:val="auto"/>
        </w:rPr>
        <w:tab/>
      </w:r>
      <w:r>
        <w:rPr>
          <w:rFonts w:ascii="Times New Roman" w:cs="Times New Roman" w:eastAsia="Times New Roman" w:hAnsi="Times New Roman"/>
          <w:sz w:val="18"/>
          <w:szCs w:val="18"/>
          <w:color w:val="auto"/>
        </w:rPr>
        <w:t>13,596</w:t>
      </w:r>
    </w:p>
    <w:p>
      <w:pPr>
        <w:spacing w:after="0" w:line="63" w:lineRule="exact"/>
        <w:rPr>
          <w:sz w:val="20"/>
          <w:szCs w:val="20"/>
          <w:color w:val="auto"/>
        </w:rPr>
      </w:pPr>
    </w:p>
    <w:p>
      <w:pPr>
        <w:ind w:left="1660" w:hanging="1438"/>
        <w:spacing w:after="0"/>
        <w:tabs>
          <w:tab w:leader="none" w:pos="1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2,563</w:t>
      </w:r>
    </w:p>
    <w:p>
      <w:pPr>
        <w:spacing w:after="0" w:line="63"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—1,136</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32,267</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163,664</w:t>
            </w:r>
          </w:p>
        </w:tc>
      </w:tr>
      <w:tr>
        <w:trPr>
          <w:trHeight w:val="27"/>
        </w:trPr>
        <w:tc>
          <w:tcPr>
            <w:tcW w:w="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48"/>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267</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6,736</w:t>
            </w:r>
          </w:p>
        </w:tc>
      </w:tr>
      <w:tr>
        <w:trPr>
          <w:trHeight w:val="270"/>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32,000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156,928</w:t>
            </w:r>
          </w:p>
        </w:tc>
      </w:tr>
      <w:tr>
        <w:trPr>
          <w:trHeight w:val="27"/>
        </w:trPr>
        <w:tc>
          <w:tcPr>
            <w:tcW w:w="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32,267</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163,664</w:t>
            </w:r>
          </w:p>
        </w:tc>
      </w:tr>
      <w:tr>
        <w:trPr>
          <w:trHeight w:val="27"/>
        </w:trPr>
        <w:tc>
          <w:tcPr>
            <w:tcW w:w="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wp:posOffset>
            </wp:positionV>
            <wp:extent cx="9347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-762635</wp:posOffset>
            </wp:positionV>
            <wp:extent cx="9347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320" w:space="720"/>
            <w:col w:w="2440" w:space="720"/>
            <w:col w:w="2180"/>
          </w:cols>
          <w:pgMar w:left="280" w:top="121" w:right="239" w:bottom="1440" w:gutter="0" w:footer="0" w:header="0"/>
        </w:sectPr>
      </w:pP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80" w:top="121" w:right="2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Recycling</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 Revenues</w:t>
            </w: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67,007</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Landfill</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20,500</w:t>
            </w: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Transfer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13,166</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solutions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15,170</w:t>
            </w: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11,105</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Organics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12,200</w:t>
            </w: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6,508</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Landfill gas-to-energy</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1,799</w:t>
            </w: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44,505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64,739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147,455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8,173</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Transferred over time</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44,314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64,371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139,282</w:t>
            </w: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44,505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64,739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147,455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$1,338 and $1,468 in the three months ended March 31, 2019 and March 31, 2018, respectively. Rebates are generally recorded as a reduction of revenues upon the sale of such materials, or upon receipt of the recycled materials at our facilities. These payments were previously recorded as a cost of operations. We did not record any revenues in the three months ended March 31, 2019 and March 31, 2018, respectively, from performance obligations satisfied in previous periods.</w:t>
      </w:r>
    </w:p>
    <w:p>
      <w:pPr>
        <w:spacing w:after="0" w:line="18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Contract receivables, which are included in Accounts receivable - trade, net are recorded when billed or when related revenue is earned, if earlier, and represent claims against third-parties that will be settled in cash. Accounts receivable - trade, net includes gross receivables from contracts of $70,722 and $73,500 as of March 31, 2019 and December 31, 2018, respectively. Certain customers are billed in advance and, accordingly, recognition of the related revenues is deferred as a contract liability until the services are provided and control transferred to the customer. We recognized contract liabilities of $2,315 and $3,074 as of March 31, 2019 and December 31, 2018, respectively. Due to the short term nature of advanced billings, substantially all of the deferred revenue recognized as a contract liability as of December 31, 2018 and December 31, 2017 were recognized as revenue during the three months ended March 31, 2019 and March 31, 2018, respectively, when the services were performed.</w:t>
      </w:r>
    </w:p>
    <w:p>
      <w:pPr>
        <w:spacing w:after="0" w:line="18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vehicles, equipment, property and other non-core equipment in the ordinary course of our business. Leases are classified as either operating leases or finance leases, as appropriate. Our leases have varying terms and may include renewal or purchase options, escalation clauses, restrictions, lease concessions, capital project funding, penalties or other obligations that we considered historically in determining minimum rental payments. We recognize lease expense for operating leases on a straight-line basis over the lease term. We recognize depreciation expense for finance leases over either the useful life of the asset or the lease term based on the terms of the lease agreement.</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party to landfill operation and management agreements. These agreements are long-term landfill operating contracts with government bodies whereby we receive tipping revenue, pay normal operating expenses and assume future final capping, closure and post-closure obligations. The government body retains ownership of the landfill. There is no bargain purchase option and title to the property does not pass to us at the end of the lease term. We allocate the consideration paid to the landfill airspace rights and underlying land lease based on the relative fair values. In addition to up-front or one-time payments, the landfill operating agreements may require us to make future minimum rental payments, including success/expansion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operating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92" w:right="2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a part of the implementation of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xml:space="preserve">, we have elected to adopt the practical expedient package and to not elect the hindsight practical expedient in determining lease term. The practical expedient package allowed us to: 1) not reassess lease classification for existing leases; 2) not reassess whether a contract contains a lease for existing contracts; and 3) not reassess initial direct costs for existing leases. Accordingly, we retained the operating lease and finance lease classifications in all periods presented and did not alter </w:t>
      </w:r>
      <w:r>
        <w:rPr>
          <w:rFonts w:ascii="Times New Roman" w:cs="Times New Roman" w:eastAsia="Times New Roman" w:hAnsi="Times New Roman"/>
          <w:sz w:val="18"/>
          <w:szCs w:val="18"/>
          <w:i w:val="1"/>
          <w:iCs w:val="1"/>
          <w:color w:val="auto"/>
        </w:rPr>
        <w:t>Topic 840</w:t>
      </w:r>
      <w:r>
        <w:rPr>
          <w:rFonts w:ascii="Times New Roman" w:cs="Times New Roman" w:eastAsia="Times New Roman" w:hAnsi="Times New Roman"/>
          <w:sz w:val="18"/>
          <w:szCs w:val="18"/>
          <w:color w:val="auto"/>
        </w:rPr>
        <w:t xml:space="preserve"> accounting over operating leases in place at transition allowing us to use historical minimum rental payments when determining the right-of-use asset and lease liability for existing operating leases. Upon adopting this guidance, we recognized a right-of-use asset and a lease liability for core leases classified as operating leases with a term in excess of 12 months in our consolidated balance sheet. For other non-core operating leases, which is comprised of small-dollar-value items such as office equipment, we continued to expense these costs in the period incurred rather than capitalizing such expenditures on our consolidated balance sheet. Accounting for finance leases was not impacted by the adoption of this guidance.</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lease payments include: fixed payments, including in-substance fixed payments, less any lease incentives paid or payable to the lessee; variable lease payments that depend on an index or a rate; exercise price of a purchase option reasonably certain to be exercised; penalties for terminating a lease; and amounts where it is probable that we will owe under a residual value guarantee. Refundable deposits are not considered to be a fixed payment. Variable lease costs that are not based on an index or a rate are recorded to expenses in the period incurred. Lease term is determined at lease commencement, and includes any noncancellable period for which we have the right to use the underlying asset together with any periods covered by an option to extend or terminate the lease if we are reasonably certain to exercise the option to extend or not to exercise the option to terminate. The initial determination of a lease liability is calculated as the net present value of the lease payments not yet paid. The discount rate used to determine present value is the rate implicit in the lease, if present, or, if not present, our incremental borrowing rate, which is a rate that reflects interest that we would have to pay to borrow funds on a collateralized basis over a similar term to the lease and in a similar economic environment. For shorter term leases, such as vehicle and equipment leases, we calculate our incremental borrowing rate using the interest rate from our existing secured line of credit, adjusted based on term. For longer term leases, such as our landfill operating leases, we calculate our incremental borrowing rate based on an industry yield curve with a similar credit rating, adjusted by a company specific spread as determined by a third-party.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schedule of lease costs and other lease information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552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cost:</w:t>
            </w: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156</w:t>
            </w:r>
          </w:p>
        </w:tc>
      </w:tr>
      <w:tr>
        <w:trPr>
          <w:trHeight w:val="27"/>
        </w:trPr>
        <w:tc>
          <w:tcPr>
            <w:tcW w:w="55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Fixed lease cost</w:t>
            </w: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4,227</w:t>
            </w:r>
          </w:p>
        </w:tc>
      </w:tr>
      <w:tr>
        <w:trPr>
          <w:trHeight w:val="27"/>
        </w:trPr>
        <w:tc>
          <w:tcPr>
            <w:tcW w:w="55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lease cost</w:t>
            </w:r>
          </w:p>
        </w:tc>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658</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Variable lease cost</w:t>
            </w: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55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cost</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5,457</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5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4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471</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2,043</w:t>
            </w:r>
          </w:p>
        </w:tc>
      </w:tr>
      <w:tr>
        <w:trPr>
          <w:trHeight w:val="27"/>
        </w:trPr>
        <w:tc>
          <w:tcPr>
            <w:tcW w:w="55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4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2,473</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415</w:t>
            </w:r>
          </w:p>
        </w:tc>
      </w:tr>
      <w:tr>
        <w:trPr>
          <w:trHeight w:val="27"/>
        </w:trPr>
        <w:tc>
          <w:tcPr>
            <w:tcW w:w="55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 finance leases (years)</w:t>
            </w:r>
          </w:p>
        </w:tc>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55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86"/>
        </w:trPr>
        <w:tc>
          <w:tcPr>
            <w:tcW w:w="5520" w:type="dxa"/>
            <w:vAlign w:val="bottom"/>
          </w:tcPr>
          <w:p>
            <w:pPr>
              <w:spacing w:after="0"/>
              <w:rPr>
                <w:sz w:val="24"/>
                <w:szCs w:val="24"/>
                <w:color w:val="auto"/>
              </w:rPr>
            </w:pPr>
          </w:p>
        </w:tc>
        <w:tc>
          <w:tcPr>
            <w:tcW w:w="4340" w:type="dxa"/>
            <w:vAlign w:val="bottom"/>
          </w:tcPr>
          <w:p>
            <w:pPr>
              <w:jc w:val="right"/>
              <w:ind w:right="39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794"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Estimated minimum future lease obligations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 ending December 31, 2019</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12,160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 ending December 31, 2020</w:t>
            </w: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6"/>
              </w:rPr>
              <w:t>12,845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 ending December 31, 2021</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10,394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 ending December 31, 2022</w:t>
            </w: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8,236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 ending December 31, 2023</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6"/>
              </w:rPr>
              <w:t>65,269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115,392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16,788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interest expense</w:t>
            </w: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(37,768)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liability balance</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77,624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13,504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intangible assets by intangible asset type follows: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320" w:type="dxa"/>
            <w:vAlign w:val="bottom"/>
          </w:tcPr>
          <w:p>
            <w:pPr>
              <w:spacing w:after="0"/>
              <w:rPr>
                <w:sz w:val="24"/>
                <w:szCs w:val="24"/>
                <w:color w:val="auto"/>
              </w:rPr>
            </w:pPr>
          </w:p>
        </w:tc>
        <w:tc>
          <w:tcPr>
            <w:tcW w:w="134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Client Lists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4"/>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March 31, 2019</w:t>
            </w: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21,750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44,363</w:t>
            </w: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66,113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29,436</w:t>
            </w: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33,366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320" w:type="dxa"/>
            <w:vAlign w:val="bottom"/>
          </w:tcPr>
          <w:p>
            <w:pPr>
              <w:spacing w:after="0"/>
              <w:rPr>
                <w:sz w:val="24"/>
                <w:szCs w:val="24"/>
                <w:color w:val="auto"/>
              </w:rPr>
            </w:pPr>
          </w:p>
        </w:tc>
        <w:tc>
          <w:tcPr>
            <w:tcW w:w="134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Client Lists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4"/>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62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21,750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44,363</w:t>
            </w: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66,113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30,601</w:t>
            </w:r>
          </w:p>
        </w:tc>
        <w:tc>
          <w:tcPr>
            <w:tcW w:w="6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34,767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$1,401 during the three months ended March 31, 2019 as compared to $568 during the three months ended March 31, 2018.</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amortization expense estimated for the five fiscal years following the fiscal year ended December 31, 2018 and thereafter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Future Amortization Expense as of March 31, 2019</w:t>
            </w:r>
          </w:p>
        </w:tc>
        <w:tc>
          <w:tcPr>
            <w:tcW w:w="35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380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 ending December 31, 2019</w:t>
            </w:r>
          </w:p>
        </w:tc>
        <w:tc>
          <w:tcPr>
            <w:tcW w:w="35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4,200</w:t>
            </w:r>
          </w:p>
        </w:tc>
      </w:tr>
      <w:tr>
        <w:trPr>
          <w:trHeight w:val="243"/>
        </w:trPr>
        <w:tc>
          <w:tcPr>
            <w:tcW w:w="6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Fiscal year ending December 31, 2020</w:t>
            </w:r>
          </w:p>
        </w:tc>
        <w:tc>
          <w:tcPr>
            <w:tcW w:w="35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4,997</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 ending December 31, 2021</w:t>
            </w:r>
          </w:p>
        </w:tc>
        <w:tc>
          <w:tcPr>
            <w:tcW w:w="35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4,094</w:t>
            </w:r>
          </w:p>
        </w:tc>
      </w:tr>
      <w:tr>
        <w:trPr>
          <w:trHeight w:val="243"/>
        </w:trPr>
        <w:tc>
          <w:tcPr>
            <w:tcW w:w="6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Fiscal year ending December 31, 2022</w:t>
            </w:r>
          </w:p>
        </w:tc>
        <w:tc>
          <w:tcPr>
            <w:tcW w:w="35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3,534</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 ending December 31, 2023</w:t>
            </w:r>
          </w:p>
        </w:tc>
        <w:tc>
          <w:tcPr>
            <w:tcW w:w="35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3,231</w:t>
            </w:r>
          </w:p>
        </w:tc>
      </w:tr>
      <w:tr>
        <w:trPr>
          <w:trHeight w:val="243"/>
        </w:trPr>
        <w:tc>
          <w:tcPr>
            <w:tcW w:w="6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5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13,310</w:t>
            </w:r>
          </w:p>
        </w:tc>
      </w:tr>
    </w:tbl>
    <w:p>
      <w:pPr>
        <w:spacing w:after="0" w:line="200" w:lineRule="exact"/>
        <w:rPr>
          <w:sz w:val="20"/>
          <w:szCs w:val="20"/>
          <w:color w:val="auto"/>
        </w:rPr>
      </w:pPr>
    </w:p>
    <w:p>
      <w:pPr>
        <w:spacing w:after="0" w:line="3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ACCRUED FINAL CAPPING, CLOSURE AND POST CLOSURE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ectPr>
          <w:pgSz w:w="11900" w:h="16838" w:orient="portrait"/>
          <w:cols w:equalWidth="0" w:num="1">
            <w:col w:w="11420"/>
          </w:cols>
          <w:pgMar w:left="240" w:top="796"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96" w:right="2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 summary of the changes to accrued final capping, closure and post-closure liabilities follows:</w:t>
      </w:r>
    </w:p>
    <w:p>
      <w:pPr>
        <w:spacing w:after="0" w:line="17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73,075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62,290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Obligations incurred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Revision in estimates (1)</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expense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1,383</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Obligations settled (2)</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73,669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65,666</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660" w:right="2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Relates to changes in estimates and assumptions associated with anticipated costs of future final capping, closure and post-closure activities at the Town of Southbridge, Massachusetts landfill. 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Other Items and Charges</w:t>
      </w:r>
      <w:r>
        <w:rPr>
          <w:rFonts w:ascii="Times New Roman" w:cs="Times New Roman" w:eastAsia="Times New Roman" w:hAnsi="Times New Roman"/>
          <w:sz w:val="18"/>
          <w:szCs w:val="18"/>
          <w:color w:val="auto"/>
        </w:rPr>
        <w:t xml:space="preserve"> for additional disclosure regarding the matter.</w:t>
      </w:r>
    </w:p>
    <w:p>
      <w:pPr>
        <w:spacing w:after="0" w:line="6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that are being processed through accounts payable as a part of our disbursements cycle.</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long-term debt and finance leases by debt instrument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Senior Secured Credit Facility:</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Revolving line of credit facility ("Revolving Credit Facility") due May 2023; bearing interest at LIBOR plus 2.00%</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69,600</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Term loan A facility ("Term Loan Facility") due May 2023; bearing interest at LIBOR plus 2.00%</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350,000</w:t>
            </w:r>
          </w:p>
        </w:tc>
        <w:tc>
          <w:tcPr>
            <w:tcW w:w="0" w:type="dxa"/>
            <w:vAlign w:val="bottom"/>
          </w:tcPr>
          <w:p>
            <w:pPr>
              <w:spacing w:after="0"/>
              <w:rPr>
                <w:sz w:val="1"/>
                <w:szCs w:val="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Tax-Exempt Bonds:</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83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New York State Environmental Facilities Corporation Solid Waste Disposal Revenue Bonds Series 2014 ("New York Bonds 2014") due</w:t>
            </w:r>
          </w:p>
        </w:tc>
        <w:tc>
          <w:tcPr>
            <w:tcW w:w="2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2044 - fixed rate interest period through 2019; bearing interest at 3.75%</w:t>
            </w:r>
          </w:p>
        </w:tc>
        <w:tc>
          <w:tcPr>
            <w:tcW w:w="26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3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New York State Environmental Facilities Corporation Solid Waste Disposal Revenue Bonds Series 2014R-2 ("New York Bonds 2014R-2") due</w:t>
            </w:r>
          </w:p>
        </w:tc>
        <w:tc>
          <w:tcPr>
            <w:tcW w:w="260" w:type="dxa"/>
            <w:vAlign w:val="bottom"/>
          </w:tcPr>
          <w:p>
            <w:pPr>
              <w:spacing w:after="0"/>
              <w:rPr>
                <w:sz w:val="13"/>
                <w:szCs w:val="13"/>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December 2044 - fixed rate interest period through 2026; bearing interest at 3.125%</w:t>
            </w: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3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Finance Authority of Maine Solid Waste Disposal Revenue Bonds Series 2005R-3 ("FAME Bonds 2005R-3") due January 2025 - fixed rate</w:t>
            </w:r>
          </w:p>
        </w:tc>
        <w:tc>
          <w:tcPr>
            <w:tcW w:w="2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period through 2025; bearing interest at 5.25%</w:t>
            </w:r>
          </w:p>
        </w:tc>
        <w:tc>
          <w:tcPr>
            <w:tcW w:w="26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3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Finance Authority of Maine Solid Waste Disposal Revenue Bonds Series 2015R-1 ("FAME Bonds 2015R-1") due August 2035 - fixed rate</w:t>
            </w:r>
          </w:p>
        </w:tc>
        <w:tc>
          <w:tcPr>
            <w:tcW w:w="260" w:type="dxa"/>
            <w:vAlign w:val="bottom"/>
          </w:tcPr>
          <w:p>
            <w:pPr>
              <w:spacing w:after="0"/>
              <w:rPr>
                <w:sz w:val="13"/>
                <w:szCs w:val="13"/>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period through 2025; bearing interest at 5.125%</w:t>
            </w: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3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Finance Authority of Maine Solid Waste Disposal Revenue Bonds Series 2015R-2 ("FAME Bonds 2015R-2") due August 2035 - fixed rate</w:t>
            </w:r>
          </w:p>
        </w:tc>
        <w:tc>
          <w:tcPr>
            <w:tcW w:w="2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period through 2025; bearing interest at 4.375%</w:t>
            </w:r>
          </w:p>
        </w:tc>
        <w:tc>
          <w:tcPr>
            <w:tcW w:w="26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3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Vermont Economic Development Authority Solid Waste Disposal Long-Term Revenue Bonds Series 2013 ("Vermont Bonds") due April 2036 -</w:t>
            </w:r>
          </w:p>
        </w:tc>
        <w:tc>
          <w:tcPr>
            <w:tcW w:w="260" w:type="dxa"/>
            <w:vAlign w:val="bottom"/>
          </w:tcPr>
          <w:p>
            <w:pPr>
              <w:spacing w:after="0"/>
              <w:rPr>
                <w:sz w:val="13"/>
                <w:szCs w:val="13"/>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16,000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16,000</w:t>
            </w: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fixed rate interest period through 2028; bearing interest at 4.625%</w:t>
            </w: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3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Business Finance Authority of the State of New Hampshire Solid Waste Disposal Revenue Bonds Series 2013 ("New Hampshire Bonds") due</w:t>
            </w:r>
          </w:p>
        </w:tc>
        <w:tc>
          <w:tcPr>
            <w:tcW w:w="2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11,000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11,000</w:t>
            </w: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April 2029 - fixed rate interest period through 2019; bearing interest at 4.00%</w:t>
            </w:r>
          </w:p>
        </w:tc>
        <w:tc>
          <w:tcPr>
            <w:tcW w:w="26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Finance leases maturing through December 2107; bearing interest at a weighted average of 5.3%</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11,248</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Notes payable maturing through June 2027; bearing interest at a weighted average of 2.90%</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2,298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2,401</w:t>
            </w:r>
          </w:p>
        </w:tc>
        <w:tc>
          <w:tcPr>
            <w:tcW w:w="0" w:type="dxa"/>
            <w:vAlign w:val="bottom"/>
          </w:tcPr>
          <w:p>
            <w:pPr>
              <w:spacing w:after="0"/>
              <w:rPr>
                <w:sz w:val="1"/>
                <w:szCs w:val="1"/>
                <w:color w:val="auto"/>
              </w:rPr>
            </w:pPr>
          </w:p>
        </w:tc>
      </w:tr>
      <w:tr>
        <w:trPr>
          <w:trHeight w:val="25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Principal amount of long-term debt and finance leases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487,802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555,249</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Less—unamortized discount and debt issuance costs (1)</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10,375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10,950</w:t>
            </w:r>
          </w:p>
        </w:tc>
        <w:tc>
          <w:tcPr>
            <w:tcW w:w="0" w:type="dxa"/>
            <w:vAlign w:val="bottom"/>
          </w:tcPr>
          <w:p>
            <w:pPr>
              <w:spacing w:after="0"/>
              <w:rPr>
                <w:sz w:val="1"/>
                <w:szCs w:val="1"/>
                <w:color w:val="auto"/>
              </w:rPr>
            </w:pPr>
          </w:p>
        </w:tc>
      </w:tr>
      <w:tr>
        <w:trPr>
          <w:trHeight w:val="25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 and finance leases less unamortized discount and debt issuance costs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477,427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544,299</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Less—current maturities of long-term debt and finance leases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2,694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2,298</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474,733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542,001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823" w:right="239" w:bottom="1440" w:gutter="0" w:footer="0" w:header="0"/>
        </w:sectPr>
      </w:pPr>
    </w:p>
    <w:bookmarkStart w:id="14" w:name="page15"/>
    <w:bookmarkEnd w:id="14"/>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unamortized discount and debt issuance costs by debt instrument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Revolving Credit Facility and Term Loan Facility (collectively, the "Credit Facility")</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6,708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7,118</w:t>
            </w: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New York Bonds 2014</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847</w:t>
            </w: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New York Bonds 2014R-2</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450</w:t>
            </w: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FAME Bonds 2005R-3</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517</w:t>
            </w: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FAME Bonds 2015R-1</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622</w:t>
            </w: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FAME Bonds 2015R-2</w:t>
            </w:r>
          </w:p>
        </w:tc>
        <w:tc>
          <w:tcPr>
            <w:tcW w:w="2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493</w:t>
            </w:r>
          </w:p>
        </w:tc>
      </w:tr>
      <w:tr>
        <w:trPr>
          <w:trHeight w:val="27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Vermont Bonds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595</w:t>
            </w:r>
          </w:p>
        </w:tc>
      </w:tr>
      <w:tr>
        <w:trPr>
          <w:trHeight w:val="265"/>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New Hampshire Bonds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308</w:t>
            </w: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10,950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2019, we are party to a credit agreement ("Credit Agreement"), which provides for a $350,000 Term Loan Facility and a $200,000 Revolving Credit Facility. We have the right to request, at our discretion, an increase in the amount of loans under the Credit Facility by an aggregate amount of $125,000, subject to the terms and conditions set forth in the Credit Agreement.</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Credit Facility has a 5-year term that matures in May 2023 and bears interest at a rate of LIBOR plus 2.00% per annum, which will be reduced to a rate of LIBOR plus, as low as, 1.25% upon us reaching a consolidated net leverage ratio of less than 2.25x. The Credit Facility is guaranteed jointly and severally, fully and unconditionally by all of our significant wholly-owned subsidiaries and secured by substantially all of our assets. As of March 31, 2019, further advances were available under the Credit Facility in the amount of $175,379. The available amount is net of outstanding irrevocable letters of credit totaling $24,621, at which date no amount had been drawn.</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requires us to maintain a minimum interest coverage ratio and a maximum consolidated net leverage ratio, to be measured at the end of each fiscal quarter. As of March 31, 2019,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4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March 31, 2019, we had in place nine interest rate derivative agreements to hedge interest rate risk associated with the variable rate portion of our long-term debt. The hedging relationships between these interest rate derivative agreements and the variable rate interest payments related to the Term Loan Facility were originally considered highly effective based on quantitative assessments using regression analysis and, subsequently, based on a qualitative assessment performed as of March 31, 2019. Therefore, we have designated these derivative instruments as effective cash flow hedges.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total notional amount of all of our interest rate derivative agreements is $190,000 and according to the terms of the agreements, we receive interest based on the 1-month LIBOR index and pay interest at a weighted average rate of approximately 2.54%. The agreements mature between February 2021 and May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8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 summary of the effect of cash flow hedges related to derivative instruments on the consolidated balance sheet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412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18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spacing w:after="0"/>
              <w:rPr>
                <w:sz w:val="16"/>
                <w:szCs w:val="16"/>
                <w:color w:val="auto"/>
              </w:rPr>
            </w:pPr>
          </w:p>
        </w:tc>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 - tax provision</w:t>
            </w:r>
          </w:p>
        </w:tc>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amount of loss on cash flow hedging relationships related to interest rate swaps reclassified from accumulated other comprehensive income into earnings follows:</w:t>
      </w:r>
    </w:p>
    <w:p>
      <w:pPr>
        <w:spacing w:after="0" w:line="10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13335</wp:posOffset>
            </wp:positionV>
            <wp:extent cx="19469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40" w:type="dxa"/>
            <w:vAlign w:val="bottom"/>
          </w:tcPr>
          <w:p>
            <w:pPr>
              <w:spacing w:after="0"/>
              <w:rPr>
                <w:sz w:val="16"/>
                <w:szCs w:val="16"/>
                <w:color w:val="auto"/>
              </w:rPr>
            </w:pPr>
          </w:p>
        </w:tc>
        <w:tc>
          <w:tcPr>
            <w:tcW w:w="6220" w:type="dxa"/>
            <w:vAlign w:val="bottom"/>
            <w:gridSpan w:val="2"/>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2140" w:type="dxa"/>
            <w:vAlign w:val="bottom"/>
            <w:tcBorders>
              <w:bottom w:val="single" w:sz="8" w:color="auto"/>
            </w:tcBorders>
          </w:tcPr>
          <w:p>
            <w:pPr>
              <w:spacing w:after="0"/>
              <w:rPr>
                <w:sz w:val="21"/>
                <w:szCs w:val="21"/>
                <w:color w:val="auto"/>
              </w:rPr>
            </w:pPr>
          </w:p>
        </w:tc>
        <w:tc>
          <w:tcPr>
            <w:tcW w:w="61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(Expense) Income</w:t>
            </w:r>
          </w:p>
        </w:tc>
        <w:tc>
          <w:tcPr>
            <w:tcW w:w="920" w:type="dxa"/>
            <w:vAlign w:val="bottom"/>
            <w:tcBorders>
              <w:bottom w:val="single" w:sz="8" w:color="auto"/>
            </w:tcBorders>
          </w:tcPr>
          <w:p>
            <w:pPr>
              <w:spacing w:after="0"/>
              <w:rPr>
                <w:sz w:val="21"/>
                <w:szCs w:val="21"/>
                <w:color w:val="auto"/>
              </w:rPr>
            </w:pPr>
          </w:p>
        </w:tc>
      </w:tr>
      <w:tr>
        <w:trPr>
          <w:trHeight w:val="242"/>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7160" w:type="dxa"/>
            <w:vAlign w:val="bottom"/>
            <w:gridSpan w:val="3"/>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2140" w:type="dxa"/>
            <w:vAlign w:val="bottom"/>
            <w:shd w:val="clear" w:color="auto" w:fill="CCEEFF"/>
          </w:tcPr>
          <w:p>
            <w:pPr>
              <w:spacing w:after="0"/>
              <w:rPr>
                <w:sz w:val="2"/>
                <w:szCs w:val="2"/>
                <w:color w:val="auto"/>
              </w:rPr>
            </w:pPr>
          </w:p>
        </w:tc>
        <w:tc>
          <w:tcPr>
            <w:tcW w:w="6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right="7640" w:firstLine="8"/>
        <w:spacing w:after="0" w:line="503" w:lineRule="auto"/>
        <w:tabs>
          <w:tab w:leader="none" w:pos="31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796"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Liability (including related litigation)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Southbridge Recycling &amp; Disposal Park, Inc.</w:t>
      </w:r>
    </w:p>
    <w:p>
      <w:pPr>
        <w:spacing w:after="0" w:line="22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19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 The Residents moved for a stay of their case until the Citizen Groups appealed. We opposed the stay and in March 2019, the Massachusetts Court denied the Residents motion for a stay.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792" w:right="239" w:bottom="1440" w:gutter="0" w:footer="0" w:header="0"/>
        </w:sectPr>
      </w:pPr>
    </w:p>
    <w:bookmarkStart w:id="17" w:name="page18"/>
    <w:bookmarkEnd w:id="17"/>
    <w:p>
      <w:pPr>
        <w:ind w:right="60"/>
        <w:spacing w:after="0" w:line="255" w:lineRule="auto"/>
        <w:rPr>
          <w:sz w:val="20"/>
          <w:szCs w:val="20"/>
          <w:color w:val="auto"/>
        </w:rPr>
      </w:pPr>
      <w:r>
        <w:rPr>
          <w:rFonts w:ascii="Times New Roman" w:cs="Times New Roman" w:eastAsia="Times New Roman" w:hAnsi="Times New Roman"/>
          <w:sz w:val="18"/>
          <w:szCs w:val="18"/>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$5,000). We have agreed to reimburse the Town for periodic payments under such bond. Construction of the waterline is expected to be completed in 2019.</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w:t>
      </w:r>
    </w:p>
    <w:p>
      <w:pPr>
        <w:spacing w:after="0" w:line="120"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5,936</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expense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Obligations settled (1)</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5,738</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that are being processed through accounts payable as a part of our disbursements cycle.</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Potsdam Environmental Remediation Liability</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A contractor has been awarded the work and significant expenditures relating to onsite remediation will be incurred in the fiscal year ending December 31, 2019. WSI is jointly and severally liable with NiMo, Alcoa and Reynolds for the total cost to remediate.</w:t>
      </w:r>
    </w:p>
    <w:p>
      <w:pPr>
        <w:spacing w:after="0" w:line="197"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to the environmental remediation liability associated with the Potsdam environmental remediation liability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96" w:right="239" w:bottom="1440" w:gutter="0" w:footer="0" w:header="0"/>
        </w:sectPr>
      </w:pPr>
    </w:p>
    <w:bookmarkStart w:id="18" w:name="page19"/>
    <w:bookmarkEnd w:id="18"/>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5,758</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Obligations settled</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5,752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Country Environmental Services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circuits were heard by the Supreme Court of the United States (“SCOTUS”). SCOTUS has granted certiorari to hear such cases. Our motion for a stay is pending in the New Hampshire Litigation. We intend to continue to vigorously defend against the New Hampshire Litigation, which we believe is without merit.</w:t>
      </w:r>
    </w:p>
    <w:p>
      <w:pPr>
        <w:spacing w:after="0" w:line="189" w:lineRule="exact"/>
        <w:rPr>
          <w:sz w:val="20"/>
          <w:szCs w:val="20"/>
          <w:color w:val="auto"/>
        </w:rPr>
      </w:pPr>
    </w:p>
    <w:p>
      <w:pPr>
        <w:ind w:right="8460" w:firstLine="8"/>
        <w:spacing w:after="0" w:line="378" w:lineRule="auto"/>
        <w:tabs>
          <w:tab w:leader="none" w:pos="64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Recent Developments</w:t>
      </w: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2019, we completed a public offering of 3,565 shares of our Class A common stock at a public offering price of $29.50 per share. The offering resulted in net proceeds to us of $100,446, after deducting underwriting discounts and commissions and offering expenses. The net proceeds from the offering were and are to be used for general corporate purposes, including potential acquisitions or development of new operations or assets with the goal of complementing or expanding our business, working capital and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Issuance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March 31, 2019, there were 1,553 Class A common stock equivalents available for future grant under the 2016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952"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 summary of stock option activity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Stock Options (1)</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00" w:type="dxa"/>
            <w:vAlign w:val="bottom"/>
          </w:tcPr>
          <w:p>
            <w:pPr>
              <w:spacing w:after="0"/>
              <w:rPr>
                <w:sz w:val="16"/>
                <w:szCs w:val="16"/>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December 31, 2018</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March 31, 2019</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17,463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Exercisable, March 31, 2019</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17,463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options was $0 during the three months ended March 31, 2019 as compared to $124 during the three months ended March 31,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2019, the aggregate intrinsic value of stock options exercised was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Stock Awards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Generally, restricted stock awards granted to non-employee directors vest incrementally over a three year period beginning on the first anniversary of the date of grant. Restricted stock units granted to non-employee directors typically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restricted stock unit and performance stock unit activity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 Date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and Performance Stock Units</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00" w:type="dxa"/>
            <w:vAlign w:val="bottom"/>
          </w:tcPr>
          <w:p>
            <w:pPr>
              <w:spacing w:after="0"/>
              <w:rPr>
                <w:sz w:val="16"/>
                <w:szCs w:val="16"/>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49"/>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December 31, 2018</w:t>
            </w:r>
          </w:p>
        </w:tc>
        <w:tc>
          <w:tcPr>
            <w:tcW w:w="2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2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A Common Stock Vested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March 31, 2019</w:t>
            </w:r>
          </w:p>
        </w:tc>
        <w:tc>
          <w:tcPr>
            <w:tcW w:w="2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8,873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Unvested, March 31, 2019</w:t>
            </w: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2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13,796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right="10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performance stock unit grants are included at the 100% attainment level. Attainment of the maximum performance targets and market achievements would result in the issuance of an additional 265 shares of Class A common stock currently included in unvested.</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restricted stock, restricted stock units and performance stock units was $1,390 during the three months ended March 31, 2019 as compared to $1,930 during the three months ended March 31,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2019, the total fair value of other stock awards vested was $6,890.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96" w:right="239" w:bottom="1440" w:gutter="0" w:footer="0" w:header="0"/>
        </w:sectPr>
      </w:pPr>
    </w:p>
    <w:bookmarkStart w:id="20" w:name="page21"/>
    <w:bookmarkEnd w:id="20"/>
    <w:p>
      <w:pPr>
        <w:ind w:right="340"/>
        <w:spacing w:after="0" w:line="261" w:lineRule="auto"/>
        <w:rPr>
          <w:sz w:val="20"/>
          <w:szCs w:val="20"/>
          <w:color w:val="auto"/>
        </w:rPr>
      </w:pPr>
      <w:r>
        <w:rPr>
          <w:rFonts w:ascii="Times New Roman" w:cs="Times New Roman" w:eastAsia="Times New Roman" w:hAnsi="Times New Roman"/>
          <w:sz w:val="18"/>
          <w:szCs w:val="18"/>
          <w:color w:val="auto"/>
        </w:rPr>
        <w:t>As of March 31, 2019, total unrecognized stock-based compensation expense related to outstanding restricted stock and restricted stock units was $4,607, which will be recognized over a weighted average period of 1.8 years. As of March 31, 2019, maximum unrecognized stock-based compensation expense related to outstanding performance stock units, assuming the attainment of maximum performance targets, was $3,786 to be recognized over a weighted average period of 1.1 years.</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also recorded $41 of stock-based compensation expense related to our Amended and Restated 1997 Employee Stock Purchase Plan during the three months ended March 31, 2019 as compared to $23 during the three months ended March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balances of each component of accumulated other comprehensive loss, net of tax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Interest Rate Swaps</w:t>
            </w: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37"/>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expense related to items of other comprehensive loss</w:t>
            </w: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37"/>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March 31, 2019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7"/>
        </w:trPr>
        <w:tc>
          <w:tcPr>
            <w:tcW w:w="9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accumulated other comprehensive loss, net of tax follows:</w:t>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13335</wp:posOffset>
            </wp:positionV>
            <wp:extent cx="2101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02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 Loss</w:t>
            </w:r>
          </w:p>
        </w:tc>
        <w:tc>
          <w:tcPr>
            <w:tcW w:w="140" w:type="dxa"/>
            <w:vAlign w:val="bottom"/>
            <w:tcBorders>
              <w:bottom w:val="single" w:sz="8" w:color="auto"/>
            </w:tcBorders>
          </w:tcPr>
          <w:p>
            <w:pPr>
              <w:spacing w:after="0"/>
              <w:rPr>
                <w:sz w:val="6"/>
                <w:szCs w:val="6"/>
                <w:color w:val="auto"/>
              </w:rPr>
            </w:pPr>
          </w:p>
        </w:tc>
        <w:tc>
          <w:tcPr>
            <w:tcW w:w="3160" w:type="dxa"/>
            <w:vAlign w:val="bottom"/>
            <w:tcBorders>
              <w:bottom w:val="single" w:sz="8" w:color="auto"/>
            </w:tcBorders>
            <w:gridSpan w:val="4"/>
          </w:tcPr>
          <w:p>
            <w:pPr>
              <w:spacing w:after="0"/>
              <w:rPr>
                <w:sz w:val="6"/>
                <w:szCs w:val="6"/>
                <w:color w:val="auto"/>
              </w:rPr>
            </w:pPr>
          </w:p>
        </w:tc>
        <w:tc>
          <w:tcPr>
            <w:tcW w:w="410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44"/>
        </w:trPr>
        <w:tc>
          <w:tcPr>
            <w:tcW w:w="4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160" w:type="dxa"/>
            <w:vAlign w:val="bottom"/>
            <w:gridSpan w:val="4"/>
          </w:tcPr>
          <w:p>
            <w:pPr>
              <w:jc w:val="right"/>
              <w:ind w:right="34"/>
              <w:spacing w:after="0" w:line="145" w:lineRule="exact"/>
              <w:rPr>
                <w:sz w:val="20"/>
                <w:szCs w:val="20"/>
                <w:color w:val="auto"/>
              </w:rPr>
            </w:pPr>
            <w:r>
              <w:rPr>
                <w:rFonts w:ascii="Times New Roman" w:cs="Times New Roman" w:eastAsia="Times New Roman" w:hAnsi="Times New Roman"/>
                <w:sz w:val="14"/>
                <w:szCs w:val="14"/>
                <w:b w:val="1"/>
                <w:bCs w:val="1"/>
                <w:color w:val="auto"/>
              </w:rPr>
              <w:t>Amounts Reclassified Out of Accumulated Other</w:t>
            </w:r>
          </w:p>
        </w:tc>
        <w:tc>
          <w:tcPr>
            <w:tcW w:w="4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4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960" w:type="dxa"/>
            <w:vAlign w:val="bottom"/>
          </w:tcPr>
          <w:p>
            <w:pPr>
              <w:spacing w:after="0"/>
              <w:rPr>
                <w:sz w:val="16"/>
                <w:szCs w:val="16"/>
                <w:color w:val="auto"/>
              </w:rPr>
            </w:pPr>
          </w:p>
        </w:tc>
        <w:tc>
          <w:tcPr>
            <w:tcW w:w="410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75"/>
        </w:trPr>
        <w:tc>
          <w:tcPr>
            <w:tcW w:w="4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w:t>
            </w:r>
          </w:p>
        </w:tc>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w:t>
            </w:r>
          </w:p>
        </w:tc>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the net loss by the weighted average number of common shares outstanding during the period. Diluted earnings per share is calculated based on the combined weighted average number of common shares and potentially dilutive shares, which include the assumed exercise of employee stock options, including market-based performance stock options based on the expected achievement of performance targets,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96"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 summary of the numerator and denominators used in the computation of earnings per share follows:</w:t>
      </w:r>
    </w:p>
    <w:p>
      <w:pPr>
        <w:spacing w:after="0" w:line="38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Denominators: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shares outstanding, end of period:</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A common stock</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46,252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41,700</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Class B common stock</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to be issued - acquisition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Effect of weighted average shares outstanding</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45,913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42,370</w:t>
            </w: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Anti-dilutive potentially issuable shares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OTHER ITEMS AND CHARGES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from Acquisition Activities and Other Items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2019, we recorded charges of $677 associated with acquisition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Settlement Charge</w:t>
      </w:r>
    </w:p>
    <w:p>
      <w:pPr>
        <w:spacing w:after="0" w:line="229" w:lineRule="exact"/>
        <w:rPr>
          <w:sz w:val="20"/>
          <w:szCs w:val="20"/>
          <w:color w:val="auto"/>
        </w:rPr>
      </w:pPr>
    </w:p>
    <w:p>
      <w:pPr>
        <w:ind w:left="60" w:right="24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2018, we recorded contract settlement charges of $2,100 associated with the termination and discounted buy-out of a commodities marketing and brokerage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Southbridge Landfill Closure Charge, Net</w:t>
      </w:r>
    </w:p>
    <w:p>
      <w:pPr>
        <w:spacing w:after="0" w:line="22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In June 2017, we initiated the plan to cease operations of the Southbridge Landfill as disclosed in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Accordingly, in the three months ended March 31, 2019 and 2018, we recorded charges associated with the closure of the Southbridge Landfill as follows:</w:t>
      </w:r>
    </w:p>
    <w:p>
      <w:pPr>
        <w:spacing w:after="0" w:line="18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Charlton settlement charge (1)</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and other costs (2)</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370</w:t>
            </w: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Southbridge Landfill closure charge, net</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1,586</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660" w:right="360" w:hanging="652"/>
        <w:spacing w:after="0" w:line="28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established a reserve associated with settlement of the Town of Charlton's claim against us. 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disclosure.</w:t>
      </w:r>
    </w:p>
    <w:p>
      <w:pPr>
        <w:spacing w:after="0" w:line="50" w:lineRule="exact"/>
        <w:rPr>
          <w:rFonts w:ascii="Times New Roman" w:cs="Times New Roman" w:eastAsia="Times New Roman" w:hAnsi="Times New Roman"/>
          <w:sz w:val="18"/>
          <w:szCs w:val="18"/>
          <w:color w:val="auto"/>
        </w:rPr>
      </w:pPr>
    </w:p>
    <w:p>
      <w:pPr>
        <w:ind w:left="660" w:right="160" w:hanging="652"/>
        <w:spacing w:after="0" w:line="28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incurred legal costs as well as other costs associated with various matters as part of the Southbridge Landfill closure. See Note 8,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Contingencies </w:t>
      </w:r>
      <w:r>
        <w:rPr>
          <w:rFonts w:ascii="Times New Roman" w:cs="Times New Roman" w:eastAsia="Times New Roman" w:hAnsi="Times New Roman"/>
          <w:sz w:val="18"/>
          <w:szCs w:val="18"/>
          <w:color w:val="auto"/>
        </w:rPr>
        <w:t>for additional disclosure.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Project Charge</w:t>
      </w:r>
    </w:p>
    <w:p>
      <w:pPr>
        <w:spacing w:after="0" w:line="202" w:lineRule="exact"/>
        <w:rPr>
          <w:sz w:val="20"/>
          <w:szCs w:val="20"/>
          <w:color w:val="auto"/>
        </w:rPr>
      </w:pPr>
    </w:p>
    <w:p>
      <w:pPr>
        <w:ind w:left="60" w:right="4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2018, we recorded a development project charge of $311 associated with previously deferred costs that were written off as a result of the negative vote in a public referendum relating to the NCES landfill.</w:t>
      </w:r>
    </w:p>
    <w:p>
      <w:pPr>
        <w:spacing w:after="0" w:line="158"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96" w:right="239" w:bottom="1440" w:gutter="0" w:footer="0" w:header="0"/>
        </w:sectPr>
      </w:pPr>
    </w:p>
    <w:bookmarkStart w:id="22" w:name="page23"/>
    <w:bookmarkEnd w:id="22"/>
    <w:p>
      <w:pPr>
        <w:ind w:right="100"/>
        <w:spacing w:after="0" w:line="261" w:lineRule="auto"/>
        <w:rPr>
          <w:sz w:val="20"/>
          <w:szCs w:val="20"/>
          <w:color w:val="auto"/>
        </w:rPr>
      </w:pPr>
      <w:r>
        <w:rPr>
          <w:rFonts w:ascii="Times New Roman" w:cs="Times New Roman" w:eastAsia="Times New Roman" w:hAnsi="Times New Roman"/>
          <w:sz w:val="18"/>
          <w:szCs w:val="18"/>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Accounted for at Fair Value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receivable-trade, restricted investment securities held in trust on deposit with various banks as collateral for our obligations relative to our landfill final capping, closure and post-closure costs, interest rate swaps, trade payables and long-term debt. The carrying values of cash and cash equivalents, accounts receivable - trade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swaps included in the Level 2 tier below is calculated using discounted cash flow valuation methodologies based upon the one month LIBOR yield curves that are observable at commonly quoted intervals for the full term of the swaps.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Summaries of our financial assets and liabilities that are measured at fair value on a recurring basis follow: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7"/>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Fair Value Measurement at March 31, 2019 Using:</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2"/>
                <w:szCs w:val="12"/>
                <w:color w:val="auto"/>
              </w:rPr>
            </w:pPr>
          </w:p>
        </w:tc>
        <w:tc>
          <w:tcPr>
            <w:tcW w:w="15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5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5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4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476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7"/>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2018 Using:</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2"/>
                <w:szCs w:val="12"/>
                <w:color w:val="auto"/>
              </w:rPr>
            </w:pPr>
          </w:p>
        </w:tc>
        <w:tc>
          <w:tcPr>
            <w:tcW w:w="154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5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5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4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476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March 31, 2019, the fair value of our fixed rate debt, including our FAME Bonds 2005R-3, FAME Bonds 2015R-1, FAME Bonds 2015R-2, Vermont Bonds, New York Bonds 2014, New York Bonds 2014R-2 and New Hampshire Bonds was approximately $124,806 and the carrying value was $122,000. The fair value of the FAME Bonds 2005R-3, the FAME Bonds 2015R-1, the FAME Bonds 2015R-2, the Vermont Bonds, the New York Bonds 2014, the New York Bonds 2014R-2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March 31, 2019, the carrying value of our Term Loan Facility was $350,000 and the carrying value of our Revolving Credit Facility was $0. Their fair values are based on current borrowing rates for similar types of borrowing arrangements, or Level 2 inputs, and approximate their carrying values.</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of FAME Bonds 2005R-3, FAME Bonds 2015R-1, FAME Bonds 2015R-2, Vermont Bonds, New York Bonds 2014, New York Bonds 2014R-2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180"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report selected information about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 Our revenues in the Recycling segment are derived from municipalities and customers in the form of processing fees, tipping fees and commodity sales.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Organics services, ancillary operations, along with major account and industrial services are included in our Other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40" w:type="dxa"/>
            <w:vAlign w:val="bottom"/>
          </w:tcPr>
          <w:p>
            <w:pPr>
              <w:spacing w:after="0"/>
              <w:rPr>
                <w:sz w:val="13"/>
                <w:szCs w:val="13"/>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Eastern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46,997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195,851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73,634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493,775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54,829</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32,267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83,858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163,664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17,489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828,313</w:t>
            </w:r>
          </w:p>
        </w:tc>
        <w:tc>
          <w:tcPr>
            <w:tcW w:w="0" w:type="dxa"/>
            <w:vAlign w:val="bottom"/>
          </w:tcPr>
          <w:p>
            <w:pPr>
              <w:spacing w:after="0"/>
              <w:rPr>
                <w:sz w:val="1"/>
                <w:szCs w:val="1"/>
                <w:color w:val="auto"/>
              </w:rPr>
            </w:pPr>
          </w:p>
        </w:tc>
      </w:tr>
      <w:tr>
        <w:trPr>
          <w:trHeight w:val="27"/>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4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Eastern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44,505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174,860</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64,739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18,631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342,285</w:t>
            </w:r>
          </w:p>
        </w:tc>
        <w:tc>
          <w:tcPr>
            <w:tcW w:w="0" w:type="dxa"/>
            <w:vAlign w:val="bottom"/>
          </w:tcPr>
          <w:p>
            <w:pPr>
              <w:spacing w:after="0"/>
              <w:rPr>
                <w:sz w:val="1"/>
                <w:szCs w:val="1"/>
                <w:color w:val="auto"/>
              </w:rPr>
            </w:pPr>
          </w:p>
        </w:tc>
      </w:tr>
      <w:tr>
        <w:trPr>
          <w:trHeight w:val="27"/>
        </w:trPr>
        <w:tc>
          <w:tcPr>
            <w:tcW w:w="35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47,065</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28,054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67,165</w:t>
            </w:r>
          </w:p>
        </w:tc>
        <w:tc>
          <w:tcPr>
            <w:tcW w:w="0" w:type="dxa"/>
            <w:vAlign w:val="bottom"/>
          </w:tcPr>
          <w:p>
            <w:pPr>
              <w:spacing w:after="0"/>
              <w:rPr>
                <w:sz w:val="1"/>
                <w:szCs w:val="1"/>
                <w:color w:val="auto"/>
              </w:rPr>
            </w:pPr>
          </w:p>
        </w:tc>
      </w:tr>
      <w:tr>
        <w:trPr>
          <w:trHeight w:val="27"/>
        </w:trPr>
        <w:tc>
          <w:tcPr>
            <w:tcW w:w="35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147,455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15,983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631,375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A summary of our revenues attributable to services provided follows:</w:t>
      </w:r>
    </w:p>
    <w:p>
      <w:pPr>
        <w:spacing w:after="0" w:line="273"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Borders>
              <w:bottom w:val="single" w:sz="8" w:color="CCEEFF"/>
            </w:tcBorders>
          </w:tcPr>
          <w:p>
            <w:pPr>
              <w:spacing w:after="0"/>
              <w:rPr>
                <w:sz w:val="16"/>
                <w:szCs w:val="16"/>
                <w:color w:val="auto"/>
              </w:rPr>
            </w:pPr>
          </w:p>
        </w:tc>
        <w:tc>
          <w:tcPr>
            <w:tcW w:w="4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Collection</w:t>
            </w:r>
          </w:p>
        </w:tc>
        <w:tc>
          <w:tcPr>
            <w:tcW w:w="4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66,475</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Disposal</w:t>
            </w:r>
          </w:p>
        </w:tc>
        <w:tc>
          <w:tcPr>
            <w:tcW w:w="4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36,054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40,234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Power generation</w:t>
            </w:r>
          </w:p>
        </w:tc>
        <w:tc>
          <w:tcPr>
            <w:tcW w:w="4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Processing</w:t>
            </w:r>
          </w:p>
        </w:tc>
        <w:tc>
          <w:tcPr>
            <w:tcW w:w="4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Solid waste operations</w:t>
            </w:r>
          </w:p>
        </w:tc>
        <w:tc>
          <w:tcPr>
            <w:tcW w:w="4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109,928</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Organics</w:t>
            </w:r>
          </w:p>
        </w:tc>
        <w:tc>
          <w:tcPr>
            <w:tcW w:w="4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12,200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solutions</w:t>
            </w:r>
          </w:p>
        </w:tc>
        <w:tc>
          <w:tcPr>
            <w:tcW w:w="4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15,170</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Recycling</w:t>
            </w:r>
          </w:p>
        </w:tc>
        <w:tc>
          <w:tcPr>
            <w:tcW w:w="4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10,157</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163,664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147,455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94" w:right="239" w:bottom="1440" w:gutter="0" w:footer="0" w:header="0"/>
        </w:sectPr>
      </w:pPr>
    </w:p>
    <w:bookmarkStart w:id="25" w:name="page26"/>
    <w:bookmarkEnd w:id="2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consolidated financial statements and notes thereto included under Item 1. In addition, reference should be made to our audited consolidated financial statements and notes thereto and related Management’s Discussion and Analysis of Financial Condition and Results of Operations appearing in our Annual Report on Form 10-K for the fiscal year ended December 31, 2018 filed with the Securities and Exchange Commission (“SEC”) on February 22, 2019.</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and, in particular, this Management’s Discussion and Analysis of Financial Condition and Results of Operations, may contain or incorporate a number of forward-looking statements within the meaning of Section 27A of the Securities Act of 1933, as amended, and Section 21E of the Exchange Act of 1934, as amended, including statements regarding:</w:t>
      </w:r>
    </w:p>
    <w:p>
      <w:pPr>
        <w:spacing w:after="0" w:line="68"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liquidity and financing plans;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revenues, operations, expenditures and cash needs;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commodity pricing of our recyclables, increases in landfill tipping fees and fuel costs and general economic and weather conditions;</w:t>
      </w:r>
    </w:p>
    <w:p>
      <w:pPr>
        <w:spacing w:after="0" w:line="17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obligations related to final capping, closure and post-closure costs of our existing landfills and any disposal facilities which we may own or operate in the future;</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and tax positions;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development of additional disposal capacity or expectations regarding permits for existing capacity;</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recoverability or impairment of any of our assets or goodwill;</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potential markets for our products and services, including the anticipated drivers for future growth;</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plans or price and volume assumptions;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regulatory matter;</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combinations or divestitures;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improvements to our infrastructure and the impact of such improvements on our business and operations.</w:t>
      </w:r>
    </w:p>
    <w:p>
      <w:pPr>
        <w:spacing w:after="0" w:line="2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“Risk Factors” in our Annual Report on Form 10-K for the fiscal year ended December 31, 2018 and, if applicable, those included under Part II, Item 1A of this Quarterly Report on Form 10-Q.</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240" w:top="792"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Founded in 1975 with a single truck, Casella Waste Systems, Inc., a Delaware corporation and its wholly-owned subsidiaries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along with major account and industrial services are included in our Other segment.</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April 15, 2019, we owned and/or operated 37 solid waste collection operations, 49 transfer stations, 18 recycling facilities, eight Subtitle D landfills, four landfill gas-to-energy facilities and one landfill permitted to accept construction and demolition (“C&amp;D”)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Revenues from our Recycling segment consist of revenues derived from municipalities and customers in the form of processing fees, tipping fees and commodity sales. Revenues from organics services, ancillary operations, and major account and industrial services are included in our Other segment. Our revenues are shown net of inter-company eliminations.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revenues attributable to service provided (dollars in millions and as a percentage of total revenues) follows:</w:t>
      </w:r>
    </w:p>
    <w:p>
      <w:pPr>
        <w:spacing w:after="0" w:line="22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bl>
      <w:tblPr>
        <w:tblLayout w:type="fixed"/>
        <w:tblInd w:w="0" w:type="dxa"/>
        <w:tblCellMar>
          <w:top w:w="0" w:type="dxa"/>
          <w:left w:w="0" w:type="dxa"/>
          <w:bottom w:w="0" w:type="dxa"/>
          <w:right w:w="0" w:type="dxa"/>
        </w:tblCellMar>
      </w:tblPr>
      <w:tr>
        <w:trPr>
          <w:trHeight w:val="47"/>
        </w:trPr>
        <w:tc>
          <w:tcPr>
            <w:tcW w:w="35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vMerge w:val="restart"/>
          </w:tcPr>
          <w:p>
            <w:pPr>
              <w:jc w:val="right"/>
              <w:ind w:right="613"/>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3"/>
        </w:trPr>
        <w:tc>
          <w:tcPr>
            <w:tcW w:w="3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5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Collection</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Disposal</w:t>
            </w:r>
          </w:p>
        </w:tc>
        <w:tc>
          <w:tcPr>
            <w:tcW w:w="5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Power</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Processing</w:t>
            </w:r>
          </w:p>
        </w:tc>
        <w:tc>
          <w:tcPr>
            <w:tcW w:w="5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Solid waste</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3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Organics</w:t>
            </w:r>
          </w:p>
        </w:tc>
        <w:tc>
          <w:tcPr>
            <w:tcW w:w="5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solutions</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3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Recycling</w:t>
            </w:r>
          </w:p>
        </w:tc>
        <w:tc>
          <w:tcPr>
            <w:tcW w:w="5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a percentage of solid waste revenues)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820" w:type="dxa"/>
            <w:vAlign w:val="bottom"/>
          </w:tcPr>
          <w:p>
            <w:pPr>
              <w:spacing w:after="0"/>
              <w:rPr>
                <w:sz w:val="13"/>
                <w:szCs w:val="13"/>
                <w:color w:val="auto"/>
              </w:rPr>
            </w:pPr>
          </w:p>
        </w:tc>
      </w:tr>
      <w:tr>
        <w:trPr>
          <w:trHeight w:val="149"/>
        </w:trPr>
        <w:tc>
          <w:tcPr>
            <w:tcW w:w="8240" w:type="dxa"/>
            <w:vAlign w:val="bottom"/>
          </w:tcPr>
          <w:p>
            <w:pPr>
              <w:spacing w:after="0"/>
              <w:rPr>
                <w:sz w:val="12"/>
                <w:szCs w:val="12"/>
                <w:color w:val="auto"/>
              </w:rPr>
            </w:pPr>
          </w:p>
        </w:tc>
        <w:tc>
          <w:tcPr>
            <w:tcW w:w="31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for the Three Months Ended March 31,</w:t>
            </w:r>
          </w:p>
        </w:tc>
      </w:tr>
      <w:tr>
        <w:trPr>
          <w:trHeight w:val="195"/>
        </w:trPr>
        <w:tc>
          <w:tcPr>
            <w:tcW w:w="82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82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 of Growth</w:t>
            </w:r>
          </w:p>
        </w:tc>
      </w:tr>
      <w:tr>
        <w:trPr>
          <w:trHeight w:val="249"/>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Price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8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Closed operations</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Solid waste revenues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0"/>
        </w:trPr>
        <w:tc>
          <w:tcPr>
            <w:tcW w:w="8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Solid waste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from favorable collection pricing; and</w:t>
      </w:r>
    </w:p>
    <w:p>
      <w:pPr>
        <w:spacing w:after="0" w:line="225" w:lineRule="exact"/>
        <w:rPr>
          <w:rFonts w:ascii="Times New Roman" w:cs="Times New Roman" w:eastAsia="Times New Roman" w:hAnsi="Times New Roman"/>
          <w:sz w:val="18"/>
          <w:szCs w:val="18"/>
          <w:color w:val="auto"/>
        </w:rPr>
      </w:pPr>
    </w:p>
    <w:p>
      <w:pPr>
        <w:ind w:left="460" w:hanging="330"/>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from favorable disposal pricing associated primarily with our landfills and transfer stations.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460" w:right="800" w:hanging="330"/>
        <w:spacing w:after="0" w:line="282"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from lower disposal volumes (of which $(3.9) million relates to lower transportation volumes primarily associated with a large contaminated soils project that occurred in the prior year and $(0.2) million relates to lower landfill volumes); and</w:t>
      </w:r>
    </w:p>
    <w:p>
      <w:pPr>
        <w:spacing w:after="0" w:line="161" w:lineRule="exact"/>
        <w:rPr>
          <w:rFonts w:ascii="Times New Roman" w:cs="Times New Roman" w:eastAsia="Times New Roman" w:hAnsi="Times New Roman"/>
          <w:sz w:val="18"/>
          <w:szCs w:val="18"/>
          <w:color w:val="auto"/>
        </w:rPr>
      </w:pPr>
    </w:p>
    <w:p>
      <w:pPr>
        <w:ind w:left="460" w:hanging="330"/>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from lower collection volumes.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Surcharges and other fees.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surcharges and other fees change component in quarterly solid waste revenues growth is the result of the following:</w:t>
      </w:r>
    </w:p>
    <w:p>
      <w:pPr>
        <w:spacing w:after="0" w:line="117" w:lineRule="exact"/>
        <w:rPr>
          <w:sz w:val="20"/>
          <w:szCs w:val="20"/>
          <w:color w:val="auto"/>
        </w:rPr>
      </w:pPr>
    </w:p>
    <w:p>
      <w:pPr>
        <w:jc w:val="both"/>
        <w:ind w:left="460" w:right="400" w:hanging="330"/>
        <w:spacing w:after="0" w:line="289" w:lineRule="auto"/>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 million associated primarily with the Energy component of the Energy and Environmental fee and the portion of the Sustainability Recycling Adjustment fee, respectively, that has anniversaried. The Energy component of the fee floats on a monthly basis based on diesel fuel prices, which increased slightly from the prior year. The Sustainability Recycling Adjustment fee floats on a monthly basis based on recycled commodity prices.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Commodity price and volume.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commodity price and volume change component in quarterly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from unfavorable energy pricing and, to a lesser extent, unfavorable commodity pricing; and</w:t>
      </w:r>
    </w:p>
    <w:p>
      <w:pPr>
        <w:spacing w:after="0" w:line="117" w:lineRule="exact"/>
        <w:rPr>
          <w:rFonts w:ascii="Times New Roman" w:cs="Times New Roman" w:eastAsia="Times New Roman" w:hAnsi="Times New Roman"/>
          <w:sz w:val="18"/>
          <w:szCs w:val="18"/>
          <w:color w:val="auto"/>
        </w:rPr>
      </w:pPr>
    </w:p>
    <w:p>
      <w:pPr>
        <w:ind w:left="460" w:hanging="330"/>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from lower commodity volumes due to lower commodity processing volumes and landfill gas-to-energy volumes.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796"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Acquisitions.</w:t>
      </w:r>
    </w:p>
    <w:p>
      <w:pPr>
        <w:spacing w:after="0" w:line="225" w:lineRule="exact"/>
        <w:rPr>
          <w:sz w:val="20"/>
          <w:szCs w:val="20"/>
          <w:color w:val="auto"/>
        </w:rPr>
      </w:pPr>
    </w:p>
    <w:p>
      <w:pPr>
        <w:ind w:left="60" w:right="40"/>
        <w:spacing w:after="0" w:line="266" w:lineRule="auto"/>
        <w:rPr>
          <w:sz w:val="20"/>
          <w:szCs w:val="20"/>
          <w:color w:val="auto"/>
        </w:rPr>
      </w:pPr>
      <w:r>
        <w:rPr>
          <w:rFonts w:ascii="Times New Roman" w:cs="Times New Roman" w:eastAsia="Times New Roman" w:hAnsi="Times New Roman"/>
          <w:sz w:val="18"/>
          <w:szCs w:val="18"/>
          <w:color w:val="auto"/>
        </w:rPr>
        <w:t>The acquisitions change component in quarterly solid waste revenues growth is associated with the acquisition of six solid waste collection businesses and one transfer business in our Western region and one business comprised of solid waste collection and transfer operations in our Eastern region throughout the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Closed operations.</w:t>
      </w:r>
    </w:p>
    <w:p>
      <w:pPr>
        <w:spacing w:after="0" w:line="22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closed landfill change component in quarterly solid waste revenues growth from prior year is the result of the closure of the landfill located in Southbridge, Massachusetts ("Southbridge Landfill") in our Eastern region in the quarter ended December 31,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Organics revenues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Quarterly organics revenues increased $1.4 million as a result of higher volumes associated with two large transportation and disposal contracts.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Solutions revenues</w:t>
      </w:r>
    </w:p>
    <w:p>
      <w:pPr>
        <w:spacing w:after="0" w:line="227" w:lineRule="exact"/>
        <w:rPr>
          <w:sz w:val="20"/>
          <w:szCs w:val="20"/>
          <w:color w:val="auto"/>
        </w:rPr>
      </w:pPr>
    </w:p>
    <w:p>
      <w:pPr>
        <w:ind w:left="60" w:right="260"/>
        <w:spacing w:after="0" w:line="282" w:lineRule="auto"/>
        <w:rPr>
          <w:sz w:val="20"/>
          <w:szCs w:val="20"/>
          <w:color w:val="auto"/>
        </w:rPr>
      </w:pPr>
      <w:r>
        <w:rPr>
          <w:rFonts w:ascii="Times New Roman" w:cs="Times New Roman" w:eastAsia="Times New Roman" w:hAnsi="Times New Roman"/>
          <w:sz w:val="18"/>
          <w:szCs w:val="18"/>
          <w:color w:val="auto"/>
        </w:rPr>
        <w:t>Quarterly customer solutions revenues increased $3.0 million as the result of higher volumes mainly due to multi-site retail and industrial services organic growth.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Recycling revenues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Quarterly recycling revenues increased as a result of the following:</w:t>
      </w:r>
    </w:p>
    <w:p>
      <w:pPr>
        <w:spacing w:after="0" w:line="117" w:lineRule="exact"/>
        <w:rPr>
          <w:sz w:val="20"/>
          <w:szCs w:val="20"/>
          <w:color w:val="auto"/>
        </w:rPr>
      </w:pPr>
    </w:p>
    <w:p>
      <w:pPr>
        <w:ind w:left="460" w:hanging="330"/>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from higher tipping fees; and</w:t>
      </w:r>
    </w:p>
    <w:p>
      <w:pPr>
        <w:spacing w:after="0" w:line="225" w:lineRule="exact"/>
        <w:rPr>
          <w:rFonts w:ascii="Times New Roman" w:cs="Times New Roman" w:eastAsia="Times New Roman" w:hAnsi="Times New Roman"/>
          <w:sz w:val="18"/>
          <w:szCs w:val="18"/>
          <w:color w:val="auto"/>
        </w:rPr>
      </w:pPr>
    </w:p>
    <w:p>
      <w:pPr>
        <w:ind w:left="460" w:hanging="330"/>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from higher commodity volumes; partially offset by</w:t>
      </w:r>
    </w:p>
    <w:p>
      <w:pPr>
        <w:spacing w:after="0" w:line="225" w:lineRule="exact"/>
        <w:rPr>
          <w:rFonts w:ascii="Times New Roman" w:cs="Times New Roman" w:eastAsia="Times New Roman" w:hAnsi="Times New Roman"/>
          <w:sz w:val="18"/>
          <w:szCs w:val="18"/>
          <w:color w:val="auto"/>
        </w:rPr>
      </w:pPr>
    </w:p>
    <w:p>
      <w:pPr>
        <w:ind w:left="460" w:hanging="330"/>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from unfavorable commodity pricing in the marketplace.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summary of cost of operations, general and administration expense, and depreciation and amortization expense (dollars in millions and as a percentage of total revenues) is as follows:</w:t>
      </w:r>
    </w:p>
    <w:p>
      <w:pPr>
        <w:spacing w:after="0" w:line="16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bl>
      <w:tblPr>
        <w:tblLayout w:type="fixed"/>
        <w:tblInd w:w="0" w:type="dxa"/>
        <w:tblCellMar>
          <w:top w:w="0" w:type="dxa"/>
          <w:left w:w="0" w:type="dxa"/>
          <w:bottom w:w="0" w:type="dxa"/>
          <w:right w:w="0" w:type="dxa"/>
        </w:tblCellMar>
      </w:tblPr>
      <w:tr>
        <w:trPr>
          <w:trHeight w:val="47"/>
        </w:trPr>
        <w:tc>
          <w:tcPr>
            <w:tcW w:w="35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vMerge w:val="restart"/>
          </w:tcPr>
          <w:p>
            <w:pPr>
              <w:jc w:val="right"/>
              <w:ind w:right="617"/>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3"/>
        </w:trPr>
        <w:tc>
          <w:tcPr>
            <w:tcW w:w="3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5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operations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117.8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105.6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22.7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21.0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17.5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16.0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Cost of operations includes labor costs, tipping fees paid to third-party disposal facilities, fuel costs, maintenance and repair costs of vehicles and equipment, workers’ compensation and vehicle insurance costs,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period-to-period change in cost of operations can be primarily attributed to the following: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Third-party direct costs increased $5.5 million year-over-year due to the following:</w:t>
      </w:r>
    </w:p>
    <w:p>
      <w:pPr>
        <w:spacing w:after="0" w:line="117" w:lineRule="exact"/>
        <w:rPr>
          <w:sz w:val="20"/>
          <w:szCs w:val="20"/>
          <w:color w:val="auto"/>
        </w:rPr>
      </w:pPr>
    </w:p>
    <w:p>
      <w:pPr>
        <w:ind w:left="460" w:right="400" w:hanging="330"/>
        <w:spacing w:after="0" w:line="28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disposal costs associated with: additional volumes associated with acquisition activity; increased disposal pricing in the northeastern United States; and an increased reliance on third-party disposal sites in our Organics line-of-business; and</w:t>
      </w:r>
    </w:p>
    <w:p>
      <w:pPr>
        <w:spacing w:after="0" w:line="161" w:lineRule="exact"/>
        <w:rPr>
          <w:rFonts w:ascii="Times New Roman" w:cs="Times New Roman" w:eastAsia="Times New Roman" w:hAnsi="Times New Roman"/>
          <w:sz w:val="18"/>
          <w:szCs w:val="18"/>
          <w:color w:val="auto"/>
        </w:rPr>
      </w:pPr>
    </w:p>
    <w:p>
      <w:pPr>
        <w:ind w:left="460" w:right="160" w:hanging="330"/>
        <w:spacing w:after="0" w:line="28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hauling and third-party transportation costs associated with: higher collection volumes related to acquisition activity in the Western region and, to a lesser extent, the Eastern region; higher transportation rates; higher brokerage</w:t>
      </w:r>
    </w:p>
    <w:p>
      <w:pPr>
        <w:sectPr>
          <w:pgSz w:w="11900" w:h="16838" w:orient="portrait"/>
          <w:cols w:equalWidth="0" w:num="1">
            <w:col w:w="11420"/>
          </w:cols>
          <w:pgMar w:left="240" w:top="796"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96" w:right="239" w:bottom="1440" w:gutter="0" w:footer="0" w:header="0"/>
          <w:type w:val="continuous"/>
        </w:sectPr>
      </w:pPr>
    </w:p>
    <w:bookmarkStart w:id="29" w:name="page30"/>
    <w:bookmarkEnd w:id="29"/>
    <w:p>
      <w:pPr>
        <w:jc w:val="both"/>
        <w:ind w:left="460" w:right="80"/>
        <w:spacing w:after="0" w:line="362" w:lineRule="auto"/>
        <w:rPr>
          <w:sz w:val="20"/>
          <w:szCs w:val="20"/>
          <w:color w:val="auto"/>
        </w:rPr>
      </w:pPr>
      <w:r>
        <w:rPr>
          <w:rFonts w:ascii="Times New Roman" w:cs="Times New Roman" w:eastAsia="Times New Roman" w:hAnsi="Times New Roman"/>
          <w:sz w:val="17"/>
          <w:szCs w:val="17"/>
          <w:color w:val="auto"/>
        </w:rPr>
        <w:t>volumes in our Customer Solutions line-of-business with high pass through direct costs; partially offset by lower hauling and third-party transportation costs associated with lower transportation volumes associated with a large contaminated soils project in the Western region completed in the prior year.</w:t>
      </w:r>
    </w:p>
    <w:p>
      <w:pPr>
        <w:spacing w:after="0" w:line="113" w:lineRule="exact"/>
        <w:rPr>
          <w:sz w:val="20"/>
          <w:szCs w:val="20"/>
          <w:color w:val="auto"/>
        </w:rPr>
      </w:pPr>
    </w:p>
    <w:p>
      <w:pPr>
        <w:ind w:left="60" w:right="140"/>
        <w:spacing w:after="0" w:line="282" w:lineRule="auto"/>
        <w:rPr>
          <w:sz w:val="20"/>
          <w:szCs w:val="20"/>
          <w:color w:val="auto"/>
        </w:rPr>
      </w:pPr>
      <w:r>
        <w:rPr>
          <w:rFonts w:ascii="Times New Roman" w:cs="Times New Roman" w:eastAsia="Times New Roman" w:hAnsi="Times New Roman"/>
          <w:sz w:val="18"/>
          <w:szCs w:val="18"/>
          <w:color w:val="auto"/>
        </w:rPr>
        <w:t>Labor and related benefit costs increased $4.0 million year-over-year due to higher labor costs related primarily to acquisition activity in the Western region and, to a lesser extent, the Eastern region.</w:t>
      </w:r>
    </w:p>
    <w:p>
      <w:pPr>
        <w:spacing w:after="0" w:line="54" w:lineRule="exact"/>
        <w:rPr>
          <w:sz w:val="20"/>
          <w:szCs w:val="20"/>
          <w:color w:val="auto"/>
        </w:rPr>
      </w:pPr>
    </w:p>
    <w:p>
      <w:pPr>
        <w:ind w:left="60" w:right="140"/>
        <w:spacing w:after="0" w:line="282" w:lineRule="auto"/>
        <w:rPr>
          <w:sz w:val="20"/>
          <w:szCs w:val="20"/>
          <w:color w:val="auto"/>
        </w:rPr>
      </w:pPr>
      <w:r>
        <w:rPr>
          <w:rFonts w:ascii="Times New Roman" w:cs="Times New Roman" w:eastAsia="Times New Roman" w:hAnsi="Times New Roman"/>
          <w:sz w:val="18"/>
          <w:szCs w:val="18"/>
          <w:color w:val="auto"/>
        </w:rPr>
        <w:t>Direct operational costs decreased $(0.8) million year-over-year due primarily to lower landfill operating costs and landfill operating lease amortization due to the closure of the Southbridge Landfill in the Eastern region and lower liability and auto insurance costs based on the change in claims activity.</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Fuel costs increased $0.6 million year-over-year due to higher volumes associated with acquisition activity and a slight increase in diesel fuel prices.</w:t>
      </w:r>
    </w:p>
    <w:p>
      <w:pPr>
        <w:spacing w:after="0" w:line="117" w:lineRule="exact"/>
        <w:rPr>
          <w:sz w:val="20"/>
          <w:szCs w:val="20"/>
          <w:color w:val="auto"/>
        </w:rPr>
      </w:pPr>
    </w:p>
    <w:p>
      <w:pPr>
        <w:ind w:left="60" w:right="220"/>
        <w:spacing w:after="0" w:line="282" w:lineRule="auto"/>
        <w:rPr>
          <w:sz w:val="20"/>
          <w:szCs w:val="20"/>
          <w:color w:val="auto"/>
        </w:rPr>
      </w:pPr>
      <w:r>
        <w:rPr>
          <w:rFonts w:ascii="Times New Roman" w:cs="Times New Roman" w:eastAsia="Times New Roman" w:hAnsi="Times New Roman"/>
          <w:sz w:val="18"/>
          <w:szCs w:val="18"/>
          <w:color w:val="auto"/>
        </w:rPr>
        <w:t>Maintenance and repair costs increased $2.8 million year-over-year due primarily to higher fleet and facility maintenance costs associated with acquisition activity and related business growth.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p>
      <w:pPr>
        <w:spacing w:after="0" w:line="22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General and administration expense includes management, clerical and administrative compensation, bad debt expense, as well as overhead costs, professional service fees and costs associated with marketing, sales force and community relations efforts.</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period-to-period change in general and administration expense can be primarily attributed to higher labor and related benefit costs associated with acquisition activity, partially offset by lower equity compensation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Depreciation and amortization expense includes: (i) depreciation of property and equipment (including assets recorded for capital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(iii) amortization of landfill asset retirement costs arising from final capping obligations on a units-of-consumption method as airspace is consumed over the estimated capacity associated with each final capping event; and (iv) amortization of intangible assets with a definite life, using either an economic benefit provided approach or on a straight-line basis over the definitive terms of the related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components of depreciation and amortization expense (dollars in millions and as a percentage of total revenues) follows:</w:t>
      </w:r>
    </w:p>
    <w:p>
      <w:pPr>
        <w:spacing w:after="0" w:line="22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bl>
      <w:tblPr>
        <w:tblLayout w:type="fixed"/>
        <w:tblInd w:w="0" w:type="dxa"/>
        <w:tblCellMar>
          <w:top w:w="0" w:type="dxa"/>
          <w:left w:w="0" w:type="dxa"/>
          <w:bottom w:w="0" w:type="dxa"/>
          <w:right w:w="0" w:type="dxa"/>
        </w:tblCellMar>
      </w:tblPr>
      <w:tr>
        <w:trPr>
          <w:trHeight w:val="47"/>
        </w:trPr>
        <w:tc>
          <w:tcPr>
            <w:tcW w:w="35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vMerge w:val="restart"/>
          </w:tcPr>
          <w:p>
            <w:pPr>
              <w:jc w:val="right"/>
              <w:ind w:right="616"/>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3"/>
        </w:trPr>
        <w:tc>
          <w:tcPr>
            <w:tcW w:w="3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5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5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Landfill amortization</w:t>
            </w:r>
          </w:p>
        </w:tc>
        <w:tc>
          <w:tcPr>
            <w:tcW w:w="5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amortization</w:t>
            </w: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period-to-period change in depreciation and amortization expense can be primarily attributed to acquisition activity, partially offset by lower landfill amortization expense associated with lower landfill volumes in our Eastern Region due to the closure of the Southbridge Landfill and lower landfill volumes at certain landfills in our Western region, combined with fluctuations in our landfill amortization rates as a result of changes in cost estimates and other assumptions associated with our landfills.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from Acquisition Activities and Other Items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2019, we recorded charges of $0.7 million associated with acquisition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Settlement Charge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15" w:right="239" w:bottom="1440" w:gutter="0" w:footer="0" w:header="0"/>
        </w:sectPr>
      </w:pPr>
    </w:p>
    <w:bookmarkStart w:id="30" w:name="page31"/>
    <w:bookmarkEnd w:id="30"/>
    <w:p>
      <w:pPr>
        <w:ind w:left="60" w:right="18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2018, we recorded contract settlement charges of $2.1 million associated with the termination and discounted buy-out of a commodities marketing and brokerage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Southbridge Landfill Closure Charge, Net</w:t>
      </w:r>
    </w:p>
    <w:p>
      <w:pPr>
        <w:spacing w:after="0" w:line="225"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color w:val="auto"/>
        </w:rPr>
        <w:t xml:space="preserve">In June 2017, we initiated the plan to cease operations of the Southbridge Landfill as disclosed in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under Part 1, Item 1 of this Quarterly Report on From 10-Q</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in the three months ended March 31, 2019 and 2018, we recorded charges associated with the closure of the Southbridge Landfill as follows (in millions):</w:t>
      </w:r>
    </w:p>
    <w:p>
      <w:pPr>
        <w:spacing w:after="0" w:line="19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Charlton settlement charge (1)</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and other costs (2)</w:t>
            </w:r>
          </w:p>
        </w:tc>
        <w:tc>
          <w:tcPr>
            <w:tcW w:w="10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8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Southbridge Landfill closure charge, net</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8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660" w:right="160" w:hanging="652"/>
        <w:spacing w:after="0" w:line="28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established a reserve associated with settlement of the Town of Charlton's claim against us. 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under Part I, Item 1 of this Quarterly Report on Form 10-Q for additional disclosure.</w:t>
      </w:r>
    </w:p>
    <w:p>
      <w:pPr>
        <w:spacing w:after="0" w:line="50" w:lineRule="exact"/>
        <w:rPr>
          <w:rFonts w:ascii="Times New Roman" w:cs="Times New Roman" w:eastAsia="Times New Roman" w:hAnsi="Times New Roman"/>
          <w:sz w:val="18"/>
          <w:szCs w:val="18"/>
          <w:color w:val="auto"/>
        </w:rPr>
      </w:pPr>
    </w:p>
    <w:p>
      <w:pPr>
        <w:ind w:left="660" w:right="160" w:hanging="652"/>
        <w:spacing w:after="0" w:line="267"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incurred legal costs as well as other costs associated with various matters as part of the Southbridge Landfill closure. See Note 8,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Contingencies </w:t>
      </w:r>
      <w:r>
        <w:rPr>
          <w:rFonts w:ascii="Times New Roman" w:cs="Times New Roman" w:eastAsia="Times New Roman" w:hAnsi="Times New Roman"/>
          <w:sz w:val="18"/>
          <w:szCs w:val="18"/>
          <w:color w:val="auto"/>
        </w:rPr>
        <w:t>to our consolidated financial statements included under Part I, Item 1 of this Quarterly Report on Form 10-Q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Project Charge</w:t>
      </w:r>
    </w:p>
    <w:p>
      <w:pPr>
        <w:spacing w:after="0" w:line="200" w:lineRule="exact"/>
        <w:rPr>
          <w:sz w:val="20"/>
          <w:szCs w:val="20"/>
          <w:color w:val="auto"/>
        </w:rPr>
      </w:pPr>
    </w:p>
    <w:p>
      <w:pPr>
        <w:jc w:val="both"/>
        <w:ind w:left="60" w:right="320"/>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2018, we recorded a development project charge of $0.3 million associated with previously deferred costs that were written off as a result of the negative vote in a public referendum relating to the North Country Environmental Services landfill ("NCES Landfill") in the Eastern region.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provision (benefit) for income taxes declined $1.6 million during the three months ended March 31, 2019, as compared to the same period in the prior year. The benefit for income taxes for the three months ended March 31, 2018 included a ($1.6) million deferred tax benefit due to a reduction of the valuation allowance. The valuation allowance decreased based upon the recognition of additional reversing temporary differences related to the $1.6 million deferred tax liability recorded through goodwill on the acquisition of Complete Disposal Company, Inc. and its subsidiary United Material Management of Holyoke, Inc. The $1.6 million deferred tax liability related to the acquisition was based on the estimated impact of temporary differences between the amounts of assets and liabilities recognized for financial reporting purposes and the related tax basis.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22, 2017, the Tax Cuts and Jobs Act (the “Act”) was enacted. The Act, which is also commonly referred to as “US tax reform,” significantly changed US corporate income tax laws by, among other things, reducing the US corporate income tax rate from 35% to 21% starting in 2018. Under the Act, the alternative minimum tax was repealed and minimum tax credit carryforwards become refundable beginning in 2018 and will be fully refunded, if not otherwise used to offset tax liabilities, in tax year 2021. Further, our $110.6 million in federal net operating loss carryforwards generated as of the end of 2017 continue to be carried forward for 20 years and are expected to be available to fully offset taxable income earned in 2019 and future tax years. Federal net operating losses generated after 2017, including $3.2 million generated in 2018, will be carried forward indefinitely, but generally may only offset up to 80% of taxable income earned in a tax year.</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 (benefit) for income taxes for the three months ended March 31, 2019 and 2018 incorporates the changes under the Act, including use of the 21% US corporate income tax rate and applying the new federal net operating loss carryforward rules. We had $3.8 million minimum tax credit carryforwards of which we anticipate $1.0 million and $1.9 million to be refundable for 2019 and 2018, respectively. Current income tax benefits of $0.2 million, offset by a $0.2 million deferred tax provision in the three months ended March 31, 2019, were recognized for a portion of the minimum tax credit carryforward refundable for 2019.</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796"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revenues by operating segment (in millions)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674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Eastern</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Western</w:t>
            </w:r>
          </w:p>
        </w:tc>
        <w:tc>
          <w:tcPr>
            <w:tcW w:w="92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Recycling</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Eastern Region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 in solid waste revenues (dollars in millions)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33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r>
      <w:tr>
        <w:trPr>
          <w:trHeight w:val="195"/>
        </w:trPr>
        <w:tc>
          <w:tcPr>
            <w:tcW w:w="812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Ended March 31, 2019 vs. 2018</w:t>
            </w:r>
          </w:p>
        </w:tc>
        <w:tc>
          <w:tcPr>
            <w:tcW w:w="100" w:type="dxa"/>
            <w:vAlign w:val="bottom"/>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of Growth</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bottom w:val="single" w:sz="8" w:color="CCEEFF"/>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Closed landfill</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Solid waste revenues</w:t>
            </w:r>
          </w:p>
        </w:tc>
        <w:tc>
          <w:tcPr>
            <w:tcW w:w="104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from favorable collection pricing; and</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from favorable disposal pricing related to transfer stations and landfills.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from higher disposal volumes related to transfer stations, partially mitigated by lower volumes related to landfills; offset by</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from lower collection volumes.</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Surcharges and other fees.</w:t>
      </w:r>
    </w:p>
    <w:p>
      <w:pPr>
        <w:spacing w:after="0" w:line="225" w:lineRule="exact"/>
        <w:rPr>
          <w:sz w:val="20"/>
          <w:szCs w:val="20"/>
          <w:color w:val="auto"/>
        </w:rPr>
      </w:pPr>
    </w:p>
    <w:p>
      <w:pPr>
        <w:ind w:left="60" w:right="100"/>
        <w:spacing w:after="0" w:line="261" w:lineRule="auto"/>
        <w:rPr>
          <w:sz w:val="20"/>
          <w:szCs w:val="20"/>
          <w:color w:val="auto"/>
        </w:rPr>
      </w:pPr>
      <w:r>
        <w:rPr>
          <w:rFonts w:ascii="Times New Roman" w:cs="Times New Roman" w:eastAsia="Times New Roman" w:hAnsi="Times New Roman"/>
          <w:sz w:val="18"/>
          <w:szCs w:val="18"/>
          <w:color w:val="auto"/>
        </w:rPr>
        <w:t>The surcharge and other fees change component in quarterly solid waste revenues growth of $0.7 million is associated primarily with the Energy component of the Energy and Environmental fee and the portion of the Sustainability Recycling Adjustment fee, respectively, that has anniversaried. The Energy component of the fee floats on a monthly basis based on diesel fuel prices, which increased slightly from the prior year. The Sustainability Recycling Adjustment fee floats on a monthly basis based on recycled commodity prices.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92"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Commodity price and volume.</w:t>
      </w:r>
    </w:p>
    <w:p>
      <w:pPr>
        <w:spacing w:after="0" w:line="117" w:lineRule="exact"/>
        <w:rPr>
          <w:sz w:val="20"/>
          <w:szCs w:val="20"/>
          <w:color w:val="auto"/>
        </w:rPr>
      </w:pPr>
    </w:p>
    <w:p>
      <w:pPr>
        <w:ind w:left="60" w:right="440"/>
        <w:spacing w:after="0" w:line="282" w:lineRule="auto"/>
        <w:rPr>
          <w:sz w:val="20"/>
          <w:szCs w:val="20"/>
          <w:color w:val="auto"/>
        </w:rPr>
      </w:pPr>
      <w:r>
        <w:rPr>
          <w:rFonts w:ascii="Times New Roman" w:cs="Times New Roman" w:eastAsia="Times New Roman" w:hAnsi="Times New Roman"/>
          <w:sz w:val="18"/>
          <w:szCs w:val="18"/>
          <w:color w:val="auto"/>
        </w:rPr>
        <w:t>The commodity price and volume change component in quarterly solid waste revenues growth is the result of $(0.2) million from landfill gas-to-energy volumes.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w:t>
      </w:r>
    </w:p>
    <w:p>
      <w:pPr>
        <w:spacing w:after="0" w:line="225" w:lineRule="exact"/>
        <w:rPr>
          <w:sz w:val="20"/>
          <w:szCs w:val="20"/>
          <w:color w:val="auto"/>
        </w:rPr>
      </w:pPr>
    </w:p>
    <w:p>
      <w:pPr>
        <w:ind w:left="60" w:right="100"/>
        <w:spacing w:after="0" w:line="282" w:lineRule="auto"/>
        <w:rPr>
          <w:sz w:val="20"/>
          <w:szCs w:val="20"/>
          <w:color w:val="auto"/>
        </w:rPr>
      </w:pPr>
      <w:r>
        <w:rPr>
          <w:rFonts w:ascii="Times New Roman" w:cs="Times New Roman" w:eastAsia="Times New Roman" w:hAnsi="Times New Roman"/>
          <w:sz w:val="18"/>
          <w:szCs w:val="18"/>
          <w:color w:val="auto"/>
        </w:rPr>
        <w:t>The acquisitions change component in quarterly solid waste revenues growth is primarily the result of the acquisition of a solid waste collection and transfer business in the quarter ended December 31,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Closed landfill.</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closed landfill change component in quarterly solid waste revenues growth from prior year is the result of the closure of the Southbridge Landfill in the quarter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Western Region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18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r>
      <w:tr>
        <w:trPr>
          <w:trHeight w:val="195"/>
        </w:trPr>
        <w:tc>
          <w:tcPr>
            <w:tcW w:w="824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Ended March 31, 2019 vs. 2018</w:t>
            </w:r>
          </w:p>
        </w:tc>
      </w:tr>
      <w:tr>
        <w:trPr>
          <w:trHeight w:val="264"/>
        </w:trPr>
        <w:tc>
          <w:tcPr>
            <w:tcW w:w="82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of Growth</w:t>
            </w:r>
          </w:p>
        </w:tc>
      </w:tr>
      <w:tr>
        <w:trPr>
          <w:trHeight w:val="249"/>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Price</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8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Closed operations</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8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Solid waste revenues</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from favorable collection pricing; and</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from favorable disposal pricing related to landfills and transfer stations.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500" w:right="140" w:hanging="330"/>
        <w:spacing w:after="0" w:line="282"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from lower disposal volumes of which $(3.5) million relates to lower transportation volumes associated with a large contaminated soils project that occurred in the prior year.</w:t>
      </w: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Surcharges and other fees.</w:t>
      </w:r>
    </w:p>
    <w:p>
      <w:pPr>
        <w:spacing w:after="0" w:line="225" w:lineRule="exact"/>
        <w:rPr>
          <w:sz w:val="20"/>
          <w:szCs w:val="20"/>
          <w:color w:val="auto"/>
        </w:rPr>
      </w:pPr>
    </w:p>
    <w:p>
      <w:pPr>
        <w:ind w:left="60" w:right="60"/>
        <w:spacing w:after="0" w:line="261" w:lineRule="auto"/>
        <w:rPr>
          <w:sz w:val="20"/>
          <w:szCs w:val="20"/>
          <w:color w:val="auto"/>
        </w:rPr>
      </w:pPr>
      <w:r>
        <w:rPr>
          <w:rFonts w:ascii="Times New Roman" w:cs="Times New Roman" w:eastAsia="Times New Roman" w:hAnsi="Times New Roman"/>
          <w:sz w:val="18"/>
          <w:szCs w:val="18"/>
          <w:color w:val="auto"/>
        </w:rPr>
        <w:t>The surcharge and other fees change component in quarterly solid waste revenues growth of $0.9 million associated primarily with the Energy component of the Energy and Environmental fee and the portion of the Sustainability Recycling Adjustment fee, respectively, that has anniversaried. The Energy component of the fee floats on a monthly basis based on diesel fuel prices, which increased slightly from the prior year. The Sustainability Recycling Adjustment fee floats on a monthly basis based on recycled commodity prices.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Commodity price and volume.</w:t>
      </w:r>
    </w:p>
    <w:p>
      <w:pPr>
        <w:spacing w:after="0" w:line="225" w:lineRule="exact"/>
        <w:rPr>
          <w:sz w:val="20"/>
          <w:szCs w:val="20"/>
          <w:color w:val="auto"/>
        </w:rPr>
      </w:pPr>
    </w:p>
    <w:p>
      <w:pPr>
        <w:ind w:left="60" w:right="240"/>
        <w:spacing w:after="0" w:line="282" w:lineRule="auto"/>
        <w:rPr>
          <w:sz w:val="20"/>
          <w:szCs w:val="20"/>
          <w:color w:val="auto"/>
        </w:rPr>
      </w:pPr>
      <w:r>
        <w:rPr>
          <w:rFonts w:ascii="Times New Roman" w:cs="Times New Roman" w:eastAsia="Times New Roman" w:hAnsi="Times New Roman"/>
          <w:sz w:val="18"/>
          <w:szCs w:val="18"/>
          <w:color w:val="auto"/>
        </w:rPr>
        <w:t>The commodity price and volume change component in quarterly solid waste revenues growth of $(1.1) million is the result of unfavorable energy pricing and, to a lesser extent, unfavorable commodity pricing, and lower commodity processing volumes.</w:t>
      </w:r>
    </w:p>
    <w:p>
      <w:pPr>
        <w:sectPr>
          <w:pgSz w:w="11900" w:h="16838" w:orient="portrait"/>
          <w:cols w:equalWidth="0" w:num="1">
            <w:col w:w="11420"/>
          </w:cols>
          <w:pgMar w:left="240" w:top="796"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796" w:right="2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Acquisitions.</w:t>
      </w:r>
    </w:p>
    <w:p>
      <w:pPr>
        <w:spacing w:after="0" w:line="225" w:lineRule="exact"/>
        <w:rPr>
          <w:sz w:val="20"/>
          <w:szCs w:val="20"/>
          <w:color w:val="auto"/>
        </w:rPr>
      </w:pPr>
    </w:p>
    <w:p>
      <w:pPr>
        <w:ind w:left="60" w:right="60"/>
        <w:spacing w:after="0" w:line="282" w:lineRule="auto"/>
        <w:rPr>
          <w:sz w:val="20"/>
          <w:szCs w:val="20"/>
          <w:color w:val="auto"/>
        </w:rPr>
      </w:pPr>
      <w:r>
        <w:rPr>
          <w:rFonts w:ascii="Times New Roman" w:cs="Times New Roman" w:eastAsia="Times New Roman" w:hAnsi="Times New Roman"/>
          <w:sz w:val="18"/>
          <w:szCs w:val="18"/>
          <w:color w:val="auto"/>
        </w:rPr>
        <w:t>The acquisitions change component in quarterly solid waste revenues growth is primarily the result of the acquisition of six solid waste collection businesses and one transfer business throughout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income (loss) by operating segment (in millions)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674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Eastern</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Western</w:t>
            </w:r>
          </w:p>
        </w:tc>
        <w:tc>
          <w:tcPr>
            <w:tcW w:w="92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Recycling</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Eastern Region</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Operating results improved $1.2 million year-over-year. Excluding the impact of the Southbridge Landfill closure charge, net, the development project charge and the expense from acquisition activities and other items, our operating performance in the three months ended March 31, 2019 improved year-over-year as the result of revenue growth and the following cost changes: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r>
        <w:rPr>
          <w:rFonts w:ascii="Times New Roman" w:cs="Times New Roman" w:eastAsia="Times New Roman" w:hAnsi="Times New Roman"/>
          <w:sz w:val="18"/>
          <w:szCs w:val="18"/>
          <w:color w:val="auto"/>
        </w:rPr>
        <w:t>: Cost of operations increased $2.3 million year-over-year due to the following:</w:t>
      </w:r>
    </w:p>
    <w:p>
      <w:pPr>
        <w:spacing w:after="0" w:line="119" w:lineRule="exact"/>
        <w:rPr>
          <w:sz w:val="20"/>
          <w:szCs w:val="20"/>
          <w:color w:val="auto"/>
        </w:rPr>
      </w:pPr>
    </w:p>
    <w:p>
      <w:pPr>
        <w:ind w:left="500" w:right="260" w:hanging="330"/>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hauling and third-party transportation costs associated with higher collection volumes related to acquisition activity and higher transportation rates;</w:t>
      </w:r>
    </w:p>
    <w:p>
      <w:pPr>
        <w:spacing w:after="0" w:line="16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disposal costs associated with acquisition activity and increased disposal pricing in the northeastern United States;</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labor costs associated with acquisition activity;</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fuel costs associated with higher volumes on acquisition activity and a slight increase in diesel fuel prices; and</w:t>
      </w:r>
    </w:p>
    <w:p>
      <w:pPr>
        <w:spacing w:after="0" w:line="225" w:lineRule="exact"/>
        <w:rPr>
          <w:rFonts w:ascii="Times New Roman" w:cs="Times New Roman" w:eastAsia="Times New Roman" w:hAnsi="Times New Roman"/>
          <w:sz w:val="18"/>
          <w:szCs w:val="18"/>
          <w:color w:val="auto"/>
        </w:rPr>
      </w:pPr>
    </w:p>
    <w:p>
      <w:pPr>
        <w:ind w:left="500" w:right="80" w:hanging="330"/>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maintenance and repair costs associated with higher fleet and facility maintenance costs due to acquisition activity and related business growth; partially offset by</w:t>
      </w:r>
    </w:p>
    <w:p>
      <w:pPr>
        <w:spacing w:after="0" w:line="161" w:lineRule="exact"/>
        <w:rPr>
          <w:rFonts w:ascii="Times New Roman" w:cs="Times New Roman" w:eastAsia="Times New Roman" w:hAnsi="Times New Roman"/>
          <w:sz w:val="18"/>
          <w:szCs w:val="18"/>
          <w:color w:val="auto"/>
        </w:rPr>
      </w:pPr>
    </w:p>
    <w:p>
      <w:pPr>
        <w:ind w:left="500" w:right="760" w:hanging="330"/>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direct operational costs associated with lower landfill operating costs and landfill operating lease amortization due to the closure of the Southbridge Landfill; and</w:t>
      </w:r>
    </w:p>
    <w:p>
      <w:pPr>
        <w:spacing w:after="0" w:line="16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liability and auto insurance costs based on the change in claims activity.</w:t>
      </w:r>
    </w:p>
    <w:p>
      <w:pPr>
        <w:spacing w:after="0" w:line="331"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decreased $(0.7) million year-over-year primarily due to acquisition activity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offset by lower landfill amortization expense associated with the closure of the Southbridge Landfill.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Western Region</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Operating income decreased $(1.8) million year-over-year. Excluding the impact of the expense from acquisition activities and other items, our operating performance in the three months ended March 31, 2019 declined as revenue growth was more than offset by the following cost changes: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r>
        <w:rPr>
          <w:rFonts w:ascii="Times New Roman" w:cs="Times New Roman" w:eastAsia="Times New Roman" w:hAnsi="Times New Roman"/>
          <w:sz w:val="18"/>
          <w:szCs w:val="18"/>
          <w:color w:val="auto"/>
        </w:rPr>
        <w:t>: Cost of operations increased $7.7 million year-over-year due to the following:</w:t>
      </w:r>
    </w:p>
    <w:p>
      <w:pPr>
        <w:spacing w:after="0" w:line="119" w:lineRule="exact"/>
        <w:rPr>
          <w:sz w:val="20"/>
          <w:szCs w:val="20"/>
          <w:color w:val="auto"/>
        </w:rPr>
      </w:pPr>
    </w:p>
    <w:p>
      <w:pPr>
        <w:ind w:left="500" w:hanging="330"/>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disposal costs associated with additional volumes related to acquisition activity and increased disposal pricing in the northeastern United States;</w:t>
      </w:r>
    </w:p>
    <w:p>
      <w:pPr>
        <w:spacing w:after="0" w:line="225" w:lineRule="exact"/>
        <w:rPr>
          <w:rFonts w:ascii="Times New Roman" w:cs="Times New Roman" w:eastAsia="Times New Roman" w:hAnsi="Times New Roman"/>
          <w:sz w:val="18"/>
          <w:szCs w:val="18"/>
          <w:color w:val="auto"/>
        </w:rPr>
      </w:pPr>
    </w:p>
    <w:p>
      <w:pPr>
        <w:ind w:left="500" w:right="260" w:hanging="330"/>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hauling and third-party transportation costs associated with higher collection volumes related to acquisition activity and higher transportation rates, partially offset by lower hauling and third-party transportation costs from lower transportation volumes associated with a large contaminated soils project that occurred in prior year;</w:t>
      </w:r>
    </w:p>
    <w:p>
      <w:pPr>
        <w:sectPr>
          <w:pgSz w:w="11900" w:h="16838" w:orient="portrait"/>
          <w:cols w:equalWidth="0" w:num="1">
            <w:col w:w="11420"/>
          </w:cols>
          <w:pgMar w:left="240" w:top="796"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796" w:right="239" w:bottom="1440" w:gutter="0" w:footer="0" w:header="0"/>
          <w:type w:val="continuous"/>
        </w:sectPr>
      </w:pPr>
    </w:p>
    <w:bookmarkStart w:id="34" w:name="page35"/>
    <w:bookmarkEnd w:id="34"/>
    <w:p>
      <w:pPr>
        <w:ind w:left="500" w:hanging="330"/>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labor costs related to acquisition activity;</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fuel costs due to higher volumes associated with acquisition activity and a slight increase in diesel fuel prices; and</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fleet and facility maintenance costs due to acquisition activity and related business growth; partially offset by</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auto insurance costs based on the change in claims activity; and</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landfill operating lease amortization on lower landfill volumes.</w:t>
      </w:r>
    </w:p>
    <w:p>
      <w:pPr>
        <w:spacing w:after="0" w:line="331"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administration</w:t>
      </w:r>
      <w:r>
        <w:rPr>
          <w:rFonts w:ascii="Times New Roman" w:cs="Times New Roman" w:eastAsia="Times New Roman" w:hAnsi="Times New Roman"/>
          <w:sz w:val="18"/>
          <w:szCs w:val="18"/>
          <w:color w:val="auto"/>
        </w:rPr>
        <w:t>: General and administration expense increased $1.9 million year-over-year due to higher labor and related benefit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acquisition activity, partially offset by lower shared overhead costs associated with lower equity compensation expense.</w:t>
      </w:r>
    </w:p>
    <w:p>
      <w:pPr>
        <w:spacing w:after="0" w:line="15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increased $2.2 million year-over-year due to acquisition activity, partially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landfill amortization expense attributed to lower landfill volumes at certain landfills, combined with fluctuations in our landfill amortization rates as a result of changes in cost estimates and other assumptions associated with our landfills.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Recycling</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Operating results increased $4.3 million year-over-year. Excluding the impact of the contract settlement charge, our operating performance in the three months ended March 31, 2019 improved due primarily to revenue growth on higher commodity volumes and tipping fees, combined with lower operating costs, including lower purchased material costs on reduced commodity pricing in the marketplace.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decreased $(0.1) million year-over-year based on the following:</w:t>
      </w:r>
    </w:p>
    <w:p>
      <w:pPr>
        <w:spacing w:after="0" w:line="117" w:lineRule="exact"/>
        <w:rPr>
          <w:sz w:val="20"/>
          <w:szCs w:val="20"/>
          <w:color w:val="auto"/>
        </w:rPr>
      </w:pPr>
    </w:p>
    <w:p>
      <w:pPr>
        <w:ind w:left="500" w:right="80" w:hanging="330"/>
        <w:spacing w:after="0" w:line="266"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intercompany profits in our Organics line-of-business now passing through to landfill disposal sites, combined with declining margins as higher revenues, which were driven by two large transportation and disposal contracts, also resulted in higher third-party transportation and disposal costs as much of these new volumes were directed to third-party sites; partially offset by</w:t>
      </w:r>
    </w:p>
    <w:p>
      <w:pPr>
        <w:spacing w:after="0" w:line="176" w:lineRule="exact"/>
        <w:rPr>
          <w:rFonts w:ascii="Times New Roman" w:cs="Times New Roman" w:eastAsia="Times New Roman" w:hAnsi="Times New Roman"/>
          <w:sz w:val="18"/>
          <w:szCs w:val="18"/>
          <w:color w:val="auto"/>
        </w:rPr>
      </w:pPr>
    </w:p>
    <w:p>
      <w:pPr>
        <w:ind w:left="500" w:right="280" w:hanging="330"/>
        <w:spacing w:after="0" w:line="282"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operating performance of our Customer Solutions line-of-business, as revenue growth associated with increased volumes outpaced higher cost of operations associated with the corresponding increase in purchased material, hauling and transportation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continually monitor our actual and forecasted cash flows, our liquidity, and our capital requirements in order to properly manage our cash needs based on the capital intensive nature of our business. Our capital requirements include fixed asset purchases (including capital expenditures for vehicles), debt servicing, landfill development and cell construction, landfill site and cell closure, as well as acquisitions. We generally meet our liquidity needs from operating cash flows and borrowings from our $200.0 million revolving line of credit facility ("Revolving Credit Facility").</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summary of cash and cash equivalents, restricted assets and long-term debt balances, excluding any unamortized debt discount and debt issuance costs (in millions),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74"/>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Restricted assets:</w:t>
            </w:r>
          </w:p>
        </w:tc>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3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3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3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w:t>
            </w:r>
          </w:p>
        </w:tc>
        <w:tc>
          <w:tcPr>
            <w:tcW w:w="3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portion</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552.9</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3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555.2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cash flows (in millions)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6740" w:type="dxa"/>
            <w:vAlign w:val="bottom"/>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cash flows (in millions) follows:</w:t>
      </w:r>
    </w:p>
    <w:p>
      <w:pPr>
        <w:spacing w:after="0" w:line="16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Depletion of landfill operating lease obligations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 and discount on 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Southbridge Landfill non-cash closure charge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Development project charge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Right-of-use asset - operating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operating cash flows follows:</w:t>
      </w:r>
    </w:p>
    <w:p>
      <w:pPr>
        <w:spacing w:after="0" w:line="225" w:lineRule="exact"/>
        <w:rPr>
          <w:sz w:val="20"/>
          <w:szCs w:val="20"/>
          <w:color w:val="auto"/>
        </w:rPr>
      </w:pPr>
    </w:p>
    <w:p>
      <w:pPr>
        <w:ind w:left="60" w:right="640"/>
        <w:spacing w:after="0" w:line="282" w:lineRule="auto"/>
        <w:rPr>
          <w:sz w:val="20"/>
          <w:szCs w:val="20"/>
          <w:color w:val="auto"/>
        </w:rPr>
      </w:pPr>
      <w:r>
        <w:rPr>
          <w:rFonts w:ascii="Times New Roman" w:cs="Times New Roman" w:eastAsia="Times New Roman" w:hAnsi="Times New Roman"/>
          <w:sz w:val="18"/>
          <w:szCs w:val="18"/>
          <w:color w:val="auto"/>
        </w:rPr>
        <w:t>Improved operational performance in the three months ended March 31, 2019 as compared to the three months ended March 31, 2018 was due to the following:</w:t>
      </w:r>
    </w:p>
    <w:p>
      <w:pPr>
        <w:spacing w:after="0" w:line="54" w:lineRule="exact"/>
        <w:rPr>
          <w:sz w:val="20"/>
          <w:szCs w:val="20"/>
          <w:color w:val="auto"/>
        </w:rPr>
      </w:pPr>
    </w:p>
    <w:p>
      <w:pPr>
        <w:ind w:left="500" w:right="20" w:hanging="330"/>
        <w:spacing w:after="0" w:line="266"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revenues of $16.2 million associated with higher collection and transfer station revenues on higher pricing and acquisition activity and higher revenues on volumes in our Customer Solutions, Organics and Recycling lines-of-business; partially mitigated by lower disposal revenues on lower volumes and lower recycling commodity pricing; partially offset by</w:t>
      </w:r>
    </w:p>
    <w:p>
      <w:pPr>
        <w:spacing w:after="0" w:line="176" w:lineRule="exact"/>
        <w:rPr>
          <w:rFonts w:ascii="Times New Roman" w:cs="Times New Roman" w:eastAsia="Times New Roman" w:hAnsi="Times New Roman"/>
          <w:sz w:val="18"/>
          <w:szCs w:val="18"/>
          <w:color w:val="auto"/>
        </w:rPr>
      </w:pPr>
    </w:p>
    <w:p>
      <w:pPr>
        <w:ind w:left="500" w:right="580" w:hanging="330"/>
        <w:spacing w:after="0" w:line="282"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 of operations of $12.2 million driven by business growth resulting in higher third-party direct costs, higher labor costs, higher direct operational costs, higher fuel costs and higher fleet maintenance and facility costs; and</w:t>
      </w:r>
    </w:p>
    <w:p>
      <w:pPr>
        <w:spacing w:after="0" w:line="16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general and administration expense of $1.7 million attributed to higher labor and related benefit costs associated with acquisition activity.</w:t>
      </w:r>
    </w:p>
    <w:p>
      <w:pPr>
        <w:spacing w:after="0" w:line="333" w:lineRule="exact"/>
        <w:rPr>
          <w:sz w:val="20"/>
          <w:szCs w:val="20"/>
          <w:color w:val="auto"/>
        </w:rPr>
      </w:pPr>
    </w:p>
    <w:p>
      <w:pPr>
        <w:jc w:val="both"/>
        <w:ind w:left="60" w:right="80"/>
        <w:spacing w:after="0" w:line="266" w:lineRule="auto"/>
        <w:rPr>
          <w:sz w:val="20"/>
          <w:szCs w:val="20"/>
          <w:color w:val="auto"/>
        </w:rPr>
      </w:pPr>
      <w:r>
        <w:rPr>
          <w:rFonts w:ascii="Times New Roman" w:cs="Times New Roman" w:eastAsia="Times New Roman" w:hAnsi="Times New Roman"/>
          <w:sz w:val="18"/>
          <w:szCs w:val="18"/>
          <w:color w:val="auto"/>
        </w:rPr>
        <w:t>The cash flow impact associated with the changes in our assets and liabilities, net of effects of acquisitions and divestitures, which are affected by both cost changes and the timing of payments, in the three months ended March 31, 2019 as compared to the three months ended March 31, 2018 was the result of the following:</w:t>
      </w:r>
    </w:p>
    <w:p>
      <w:pPr>
        <w:spacing w:after="0" w:line="68" w:lineRule="exact"/>
        <w:rPr>
          <w:sz w:val="20"/>
          <w:szCs w:val="20"/>
          <w:color w:val="auto"/>
        </w:rPr>
      </w:pPr>
    </w:p>
    <w:p>
      <w:pPr>
        <w:ind w:left="500" w:hanging="330"/>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cash outflows associated with accounts payable;</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cash outflows associated with accrued expenses and other liabilities including payroll and related expenses; and</w:t>
      </w:r>
    </w:p>
    <w:p>
      <w:pPr>
        <w:sectPr>
          <w:pgSz w:w="11900" w:h="16838" w:orient="portrait"/>
          <w:cols w:equalWidth="0" w:num="1">
            <w:col w:w="11420"/>
          </w:cols>
          <w:pgMar w:left="240" w:top="79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792" w:right="239" w:bottom="1440" w:gutter="0" w:footer="0" w:header="0"/>
          <w:type w:val="continuous"/>
        </w:sectPr>
      </w:pPr>
    </w:p>
    <w:bookmarkStart w:id="36" w:name="page37"/>
    <w:bookmarkEnd w:id="36"/>
    <w:p>
      <w:pPr>
        <w:ind w:left="500" w:hanging="330"/>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cash outflows associated with prepaid expenses, inventories and other assets; partially offset by</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cash inflows associated with accounts receivable.</w:t>
      </w:r>
    </w:p>
    <w:p>
      <w:pPr>
        <w:spacing w:after="0" w:line="3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investing cash flows (in millions) follows:</w:t>
      </w:r>
    </w:p>
    <w:p>
      <w:pPr>
        <w:spacing w:after="0" w:line="16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on landfill operating lease contracts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investing cash flows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net of cash acquired</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2019, we paid $1.2 million in holdback payments on businesses acquired in the fiscal year ended December 31, 2018. In the three months ended March 31, 2018, we acquired Complete Disposal Company, Inc. and its subsidiary United Material Management of Holyoke, Inc. and a tuck-in collection operation for total consideration of $19.3 million, including $18.8 million in cash, and paid $0.2 million in holdback payments on businesses previously acquired.</w:t>
      </w:r>
    </w:p>
    <w:p>
      <w:pPr>
        <w:spacing w:after="0" w:line="259"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Capital expenditures were $9.3 million higher in the three months ended March 31, 2019 as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2018 primarily due to capital expenditures associated with timing differences, business growth and acquisition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financing cash flows (in millions) follows:</w:t>
      </w:r>
    </w:p>
    <w:p>
      <w:pPr>
        <w:spacing w:after="0" w:line="16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the exercise of share based awards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the issuance of Class A Common Stock</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financing cash flows follows:</w:t>
      </w:r>
    </w:p>
    <w:p>
      <w:pPr>
        <w:spacing w:after="0" w:line="22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Debt activity</w:t>
      </w:r>
      <w:r>
        <w:rPr>
          <w:rFonts w:ascii="Times New Roman" w:cs="Times New Roman" w:eastAsia="Times New Roman" w:hAnsi="Times New Roman"/>
          <w:sz w:val="18"/>
          <w:szCs w:val="18"/>
          <w:color w:val="auto"/>
        </w:rPr>
        <w:t>. Debt borrowings decreased by $(56.1) million and our debt payments increased by $29.4 million in the three months ended March 31,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in financing cash flows related to debt activity is associated with the paydown of our Revolving Credit Facility in the three months ended March 31, 2019.</w:t>
      </w:r>
    </w:p>
    <w:p>
      <w:pPr>
        <w:spacing w:after="0" w:line="1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Proceeds from the issuance of Class A Common Stock</w:t>
      </w:r>
      <w:r>
        <w:rPr>
          <w:rFonts w:ascii="Times New Roman" w:cs="Times New Roman" w:eastAsia="Times New Roman" w:hAnsi="Times New Roman"/>
          <w:sz w:val="18"/>
          <w:szCs w:val="18"/>
          <w:color w:val="auto"/>
        </w:rPr>
        <w:t>. In the three months ended March 31, 2019, we completed a public offering of 3.6 million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at a public offering price of $29.50 per share. The offering resulted in net proceeds to us of $100.4 million, after deducting underwriting discounts, commissions and offering expenses. The net proceeds from the offering were and are to be used for general corporate purposes, including potential acquisitions or development of new operations or assets with the goal of complementing or expanding our business, working capital and capital expenditures.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68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As of March 31, 2019, we had outstanding $350.0 million aggregate principal amount of borrowings under our term loan A facility ("Term Loan Facility") and $0.0 million aggregate principal amount of borrowings under our $200.0 million Revolving Credit Facility (collectively, the "Credit Facility"). The Credit Facility has a 5-year term that matures in May 2023 and bears interest at a rate of LIBOR plus 2.00% per annum, which will be reduced to a rate of LIBOR plus, as low as, 1.25% upon us reaching a consolidated net leverage ratio of less than 2.25x. Our Credit Facility is guaranteed jointly and severally, fully and unconditionally by all of our significant wholly-owned subsidiaries and secured by substantially all of our assets. As of March 31, 2019, further advances were available under the Revolving Credit Facility in the amount of $175.4 million. The available amount is net of outstanding irrevocable letters of credit totaling $24.6 million, at which date no amount had been drawn. We have the right to request, at our discretion, an increase in the amount of loans under the Credit Facility by an aggregate amount of $125.0 million, subject to the terms and conditions set forth in the credit agreement ("Credit Agreement").</w:t>
      </w:r>
    </w:p>
    <w:p>
      <w:pPr>
        <w:spacing w:after="0" w:line="1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Credit Agreement requires us to maintain a minimum interest coverage ratio and a maximum consolidated net leverage ratio, to be measured at the end of each fiscal quarter. As of March 31, 2019, we were in compliance with all financial covenants contained in the Credit Agreement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Twelve Months Ended March 31,</w:t>
            </w:r>
          </w:p>
        </w:tc>
        <w:tc>
          <w:tcPr>
            <w:tcW w:w="22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Covenant Requirement at</w:t>
            </w:r>
          </w:p>
        </w:tc>
      </w:tr>
      <w:tr>
        <w:trPr>
          <w:trHeight w:val="195"/>
        </w:trPr>
        <w:tc>
          <w:tcPr>
            <w:tcW w:w="674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Maximum consolidated net leverage ratio (1)</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Minimum interest coverage ratio</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3.00</w:t>
            </w:r>
          </w:p>
        </w:tc>
      </w:tr>
    </w:tbl>
    <w:p>
      <w:pPr>
        <w:spacing w:after="0" w:line="117" w:lineRule="exact"/>
        <w:rPr>
          <w:sz w:val="20"/>
          <w:szCs w:val="20"/>
          <w:color w:val="auto"/>
        </w:rPr>
      </w:pPr>
    </w:p>
    <w:p>
      <w:pPr>
        <w:ind w:left="660" w:right="60" w:hanging="652"/>
        <w:spacing w:after="0" w:line="255"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consolidated net leverage ratio is calculated as consolidated funded debt, net of unencumbered cash and cash equivalents in excess of $2.0 million (calculated at $469.9 million as of March 31, 2019, or $487.8 million of consolidated funded debt less $17.9 million of cash and cash equivalents in excess of $2.0 million as of March 31, 2019), divided by consolidated EBITDA. Consolidated EBITDA is based on operating results for the twelve months preceding the measurement date of March 31, 2019. Consolidated funded debt, net of unencumbered cash and cash equivalents in excess of $2.0 million,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minimum consolidated EBITDA is as follows (in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Twelve Months Ended March 31,</w:t>
            </w:r>
          </w:p>
        </w:tc>
      </w:tr>
      <w:tr>
        <w:trPr>
          <w:trHeight w:val="195"/>
        </w:trPr>
        <w:tc>
          <w:tcPr>
            <w:tcW w:w="9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112.8</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divestitures</w:t>
            </w:r>
          </w:p>
        </w:tc>
        <w:tc>
          <w:tcPr>
            <w:tcW w:w="120" w:type="dxa"/>
            <w:vAlign w:val="bottom"/>
          </w:tcPr>
          <w:p>
            <w:pPr>
              <w:spacing w:after="0"/>
              <w:rPr>
                <w:sz w:val="21"/>
                <w:szCs w:val="21"/>
                <w:color w:val="auto"/>
              </w:rPr>
            </w:pPr>
          </w:p>
        </w:tc>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expense from acquisition activities and other items</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Southbridge Landfill non-cash closure charge</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of investment</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Southbridge Landfill insurance recovery for investing activities</w:t>
            </w:r>
          </w:p>
        </w:tc>
        <w:tc>
          <w:tcPr>
            <w:tcW w:w="120" w:type="dxa"/>
            <w:vAlign w:val="bottom"/>
          </w:tcPr>
          <w:p>
            <w:pPr>
              <w:spacing w:after="0"/>
              <w:rPr>
                <w:sz w:val="21"/>
                <w:szCs w:val="21"/>
                <w:color w:val="auto"/>
              </w:rPr>
            </w:pPr>
          </w:p>
        </w:tc>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less amortization of debt issuance costs</w:t>
            </w:r>
          </w:p>
        </w:tc>
        <w:tc>
          <w:tcPr>
            <w:tcW w:w="120" w:type="dxa"/>
            <w:vAlign w:val="bottom"/>
          </w:tcPr>
          <w:p>
            <w:pPr>
              <w:spacing w:after="0"/>
              <w:rPr>
                <w:sz w:val="21"/>
                <w:szCs w:val="21"/>
                <w:color w:val="auto"/>
              </w:rPr>
            </w:pPr>
          </w:p>
        </w:tc>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 net of 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as allowed by the Credit Agreement</w:t>
            </w:r>
          </w:p>
        </w:tc>
        <w:tc>
          <w:tcPr>
            <w:tcW w:w="120" w:type="dxa"/>
            <w:vAlign w:val="bottom"/>
          </w:tcPr>
          <w:p>
            <w:pPr>
              <w:spacing w:after="0"/>
              <w:rPr>
                <w:sz w:val="21"/>
                <w:szCs w:val="21"/>
                <w:color w:val="auto"/>
              </w:rPr>
            </w:pPr>
          </w:p>
        </w:tc>
        <w:tc>
          <w:tcPr>
            <w:tcW w:w="2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9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EBITDA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151.6</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March 31, 2019, we were in compliance with the covenants contained in the Credit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792" w:right="239" w:bottom="1440" w:gutter="0" w:footer="0" w:header="0"/>
        </w:sectPr>
      </w:pPr>
    </w:p>
    <w:bookmarkStart w:id="38" w:name="page39"/>
    <w:bookmarkEnd w:id="38"/>
    <w:p>
      <w:pPr>
        <w:spacing w:after="0" w:line="258" w:lineRule="auto"/>
        <w:rPr>
          <w:sz w:val="20"/>
          <w:szCs w:val="20"/>
          <w:color w:val="auto"/>
        </w:rPr>
      </w:pPr>
      <w:r>
        <w:rPr>
          <w:rFonts w:ascii="Times New Roman" w:cs="Times New Roman" w:eastAsia="Times New Roman" w:hAnsi="Times New Roman"/>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Tax-Exempt Financings</w:t>
      </w:r>
    </w:p>
    <w:p>
      <w:pPr>
        <w:spacing w:after="0" w:line="22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New York Bonds. </w:t>
      </w:r>
      <w:r>
        <w:rPr>
          <w:rFonts w:ascii="Times New Roman" w:cs="Times New Roman" w:eastAsia="Times New Roman" w:hAnsi="Times New Roman"/>
          <w:sz w:val="17"/>
          <w:szCs w:val="17"/>
          <w:color w:val="auto"/>
        </w:rPr>
        <w:t>As of March 31, 2019, we had outstanding $25.0 million aggregate principal amount of Solid Waste Disposal Revenue Bonds Series 2014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("New York Bonds 2014") and $15.0 million aggregate principal amount of Solid Waste Disposal Revenue Bonds Series 2014R-2 ("New York Bonds 2014R-2") issued by the New York State Environmental Facilities Corporation under the indenture dated December 1, 2014 (collectively, the “New York Bonds”). The New York Bonds 2014 accrue interest at 3.75% per annum through December 1, 2019, at which time they may be converted from a fixed rate to a variable rate. The New York Bonds 2014R-2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17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Maine Bonds. </w:t>
      </w:r>
      <w:r>
        <w:rPr>
          <w:rFonts w:ascii="Times New Roman" w:cs="Times New Roman" w:eastAsia="Times New Roman" w:hAnsi="Times New Roman"/>
          <w:sz w:val="18"/>
          <w:szCs w:val="18"/>
          <w:color w:val="auto"/>
        </w:rPr>
        <w:t>As of March 31, 2019, we had outstanding $25.0 million aggregate principal amount of Finance Authority of Maine Solid Waste Disposal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Bonds Series 2015R-3 (“FAME Bonds 2005R-3”), $15.0 million aggregate principal amount of Finance Authority of Maine Solid Waste Disposal Revenue Bonds Series 2015 (“FAME Bonds 2015R-1”), and $15.0 million aggregate principal amount of Finance Authority of Maine Solid Waste Disposal Revenue Bonds Series 2015R-2 (“FAME Bonds 2015R-2”) (collectively, the "FAME Bonds"). The FAME Bonds 2005R-3 accrue interest at 5.25% per annum, and interest is payable semiannually in arrears on February 1 and August 1 of each year until such bonds mature on January 1, 2025. The FAME Bonds 2015R-1 accrue interest at 5.125% per annum through August 1, 2025, at which time they may be converted from a fixed to a variable rate, and interest is payable semiannually in arrears on February 1 and August 1 of each year until the FAME Bonds 2015R-1 mature on August 1, 2035. The FAME Bonds 2015R-2 accrue interest at 4.375% per annum through July 31, 2025, at which time they may be converted from a fixed to a variable rate, and interest is payable semiannually each year on May 1 and November 1 until the FAME Bonds 2015R-2 mature on August 1, 2035.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and to pay certain costs of the issuance of the FAME Bonds.</w:t>
      </w:r>
    </w:p>
    <w:p>
      <w:pPr>
        <w:spacing w:after="0" w:line="19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Vermont Bonds. </w:t>
      </w:r>
      <w:r>
        <w:rPr>
          <w:rFonts w:ascii="Times New Roman" w:cs="Times New Roman" w:eastAsia="Times New Roman" w:hAnsi="Times New Roman"/>
          <w:sz w:val="18"/>
          <w:szCs w:val="18"/>
          <w:color w:val="auto"/>
        </w:rPr>
        <w:t>As of March 31, 2019, we had outstanding $16.0 million aggregate principal amount of Vermont Economic Development Authority Solid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 Disposal Long-Term Revenue Bonds Series 2013 (“Vermont Bonds”). The Vermont Bonds, which are guaranteed jointly and severally, fully and unconditionally by all of our significant wholly-owned subsidiaries, accrue interest at 4.63% per annum through April 2, 2028, after which time there is a mandatory tender. The Vermont Bonds mature on April 1, 2036. We borrowed the proceeds of the Vermont Bonds to finance or refinance certain qualifying property, plant and equipment assets purchased in the state of Vermont.</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New Hampshire Bonds. </w:t>
      </w:r>
      <w:r>
        <w:rPr>
          <w:rFonts w:ascii="Times New Roman" w:cs="Times New Roman" w:eastAsia="Times New Roman" w:hAnsi="Times New Roman"/>
          <w:sz w:val="18"/>
          <w:szCs w:val="18"/>
          <w:color w:val="auto"/>
        </w:rPr>
        <w:t>As of March 31, 2019, we had outstanding $11.0 million aggregate principal amount of unsecured Solid Waste Disposal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Series 2013 issued by the Business Finance Authority of the State of New Hampshire (“New Hampshire Bonds”). The New Hampshire Bonds, which are guaranteed jointly and severally, fully and unconditionally by all of our significant wholly-owned subsidiaries, accrue interest at 4.00% per annum through October 1, 2019, at which time they may be converted from a fixed rate to a variable rate. During the fixed interest rate period, the New Hampshire Bonds are not to be supported by a letter of credit. Interest is payable in arrears on April 1 and October 1 of each year. The New Hampshire Bonds mature on April 1, 2029. We borrowed the proceeds of the New Hampshire Bonds to finance or refinance certain qualifying property, plant and equipment assets purchased in the state of New Hampshire.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796" w:right="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Regional Economic Conditions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Severe Weather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54"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waste relating to C&amp;D activities decreases substantially during the winter months in the northeastern United States; and</w:t>
      </w:r>
    </w:p>
    <w:p>
      <w:pPr>
        <w:spacing w:after="0" w:line="117" w:lineRule="exact"/>
        <w:rPr>
          <w:rFonts w:ascii="Times New Roman" w:cs="Times New Roman" w:eastAsia="Times New Roman" w:hAnsi="Times New Roman"/>
          <w:sz w:val="18"/>
          <w:szCs w:val="18"/>
          <w:color w:val="auto"/>
        </w:rPr>
      </w:pPr>
    </w:p>
    <w:p>
      <w:pPr>
        <w:ind w:left="660" w:right="70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18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Recycling segment experiences increased volumes of fiber in November and December due to increased shipping boxes and retail activity during the holiday season.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preparation of our financial statements requires management to make estimates and assumptions that affect the reported amounts of assets and liabilities and the disclosure of contingent assets and liabilities, as applicable, at the date of the financial statements and the reported amounts of revenues and expenses during the reporting period.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Except for the adoption of the new accounting standards discussed in Note 2, </w:t>
      </w:r>
      <w:r>
        <w:rPr>
          <w:rFonts w:ascii="Times New Roman" w:cs="Times New Roman" w:eastAsia="Times New Roman" w:hAnsi="Times New Roman"/>
          <w:sz w:val="18"/>
          <w:szCs w:val="18"/>
          <w:i w:val="1"/>
          <w:iCs w:val="1"/>
          <w:color w:val="auto"/>
        </w:rPr>
        <w:t>Accounting Changes</w:t>
      </w:r>
      <w:r>
        <w:rPr>
          <w:rFonts w:ascii="Times New Roman" w:cs="Times New Roman" w:eastAsia="Times New Roman" w:hAnsi="Times New Roman"/>
          <w:sz w:val="18"/>
          <w:szCs w:val="18"/>
          <w:color w:val="auto"/>
        </w:rPr>
        <w:t xml:space="preserve"> to our consolidated financial statements included under Part I, Item 1 of this Quarterly Report on Form 10-Q, there were no material changes in the three months ended March 31, 2019 to the application of critical accounting policies and estimates as described in Item 8 of our Annual Report on Form 10-K for the fiscal year ended December 31,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the new accounting standards that may affect us, see Note 2, </w:t>
      </w:r>
      <w:r>
        <w:rPr>
          <w:rFonts w:ascii="Times New Roman" w:cs="Times New Roman" w:eastAsia="Times New Roman" w:hAnsi="Times New Roman"/>
          <w:sz w:val="18"/>
          <w:szCs w:val="18"/>
          <w:i w:val="1"/>
          <w:iCs w:val="1"/>
          <w:color w:val="auto"/>
        </w:rPr>
        <w:t>Accounting Changes</w:t>
      </w:r>
      <w:r>
        <w:rPr>
          <w:rFonts w:ascii="Times New Roman" w:cs="Times New Roman" w:eastAsia="Times New Roman" w:hAnsi="Times New Roman"/>
          <w:sz w:val="18"/>
          <w:szCs w:val="18"/>
          <w:color w:val="auto"/>
        </w:rPr>
        <w:t xml:space="preserve"> to our consolidated financial statements included under Part I, Item 1 of this Quarterly Report on Form 10-Q. For a description of the impact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792" w:right="259" w:bottom="1440" w:gutter="0" w:footer="0" w:header="0"/>
        </w:sectPr>
      </w:pPr>
    </w:p>
    <w:bookmarkStart w:id="40" w:name="page41"/>
    <w:bookmarkEnd w:id="40"/>
    <w:p>
      <w:pPr>
        <w:ind w:right="900"/>
        <w:spacing w:after="0" w:line="284" w:lineRule="auto"/>
        <w:rPr>
          <w:sz w:val="20"/>
          <w:szCs w:val="20"/>
          <w:color w:val="auto"/>
        </w:rPr>
      </w:pPr>
      <w:r>
        <w:rPr>
          <w:rFonts w:ascii="Times New Roman" w:cs="Times New Roman" w:eastAsia="Times New Roman" w:hAnsi="Times New Roman"/>
          <w:sz w:val="18"/>
          <w:szCs w:val="18"/>
          <w:color w:val="auto"/>
        </w:rPr>
        <w:t>Accounting Standards Update 2016-02, as amended through March 2019: Leases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xml:space="preserve">), effective January 1, 2019 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consolidated financial statements included under Part I, Item 1 of this Quarterly Report on Form 10-Q.</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Volatility</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strategy to hedge against fluctuations in variable interest rates involves entering into interest rate derivative agreements to hedge against adverse movements in interest rates. As of March 31, 2019, we are party to nine interest rate derivative agreements to hedge interest rate risk associated with the variable rate portion of our long-term debt. The total notional amount of these hedging instruments is $190.0 million and we receive interest based on the 1-month LIBOR index, restricted by a 1.00% floor in certain instances, and pay interest at a weighted average fixed rate of approximately 2.54%. The agreements mature between February 2021 and May 2023. We have designated these derivative instruments as highly effective cash flow hedges, and therefore the change in fair value is recorded in our stockholders’ deficit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$137.8 million of fixed rate debt as of March 31, 2019 in addition to the $190.0 million fixed through our interest rate derivative agreements. We had interest rate risk relating to approximately $160.0 million of long-term debt at March 31, 2019. The weighted average interest rate on the variable rate portion of long-term debt was approximately 4.5% at March 31, 2019. Should the average interest rate on the variable rate portion of long-term debt change by 100 basis points, we estimate that our quarterly interest expense would change by up to approximately $0.4 million. The remainder of our long-term debt is at fixed rates and not subject to interest rate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Volatility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Should commodity prices change by $10 per ton, we estimate that our annual operating income margin would change by approximately $0.7 million annually, or $0.2 million quarterly.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2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 evaluated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effectiveness of our disclosure controls and procedures as of March 31, 2019.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2019, our chief executive officer and chief financial officer concluded that, as of such date, our disclosure controls and procedures were effective at the reasonable assurance level.</w:t>
      </w:r>
    </w:p>
    <w:p>
      <w:pPr>
        <w:spacing w:after="0" w:line="191"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controls over financial reporting. </w:t>
      </w:r>
      <w:r>
        <w:rPr>
          <w:rFonts w:ascii="Times New Roman" w:cs="Times New Roman" w:eastAsia="Times New Roman" w:hAnsi="Times New Roman"/>
          <w:sz w:val="18"/>
          <w:szCs w:val="18"/>
          <w:color w:val="auto"/>
        </w:rPr>
        <w:t>No change in our internal control over financial reporting (as defined in Rules 13a-15(f) and 15d-15(f)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Exchange Act) occurred during the three months ended March 31, 2019 that has materially affected, or is reasonably likely to materially affect, our internal control over financial reporting.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794" w:right="25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Liability (including related litigation)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Southbridge Recycling &amp; Disposal Park, Inc.</w:t>
      </w:r>
    </w:p>
    <w:p>
      <w:pPr>
        <w:spacing w:after="0" w:line="22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76" w:right="23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auto"/>
        </w:rPr>
        <w:t>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18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 The Residents moved for a stay of their case until the Citizen Groups appealed. We opposed the stay and in March 2019, the Massachusetts Court denied the Residents motion for a stay.</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$5,000). We have agreed to reimburse the Town for periodic payments under such bond. Construction of the waterline is expected to be completed in 2019.</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 (in millions):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264"/>
        </w:trPr>
        <w:tc>
          <w:tcPr>
            <w:tcW w:w="83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r>
      <w:tr>
        <w:trPr>
          <w:trHeight w:val="249"/>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8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Obligations settled (1)</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83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that are being processed through accounts payable as a part of our disbursements cycle.</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796"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Potsdam Environmental Remediation Liability</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A contractor has been awarded the work and significant expenditures relating to onsite remediation will be incurred in the fiscal year ending December 31, 2019. WSI is jointly and severally liable with NiMo, Alcoa and Reynolds for the total cost to remediate.</w:t>
      </w:r>
    </w:p>
    <w:p>
      <w:pPr>
        <w:spacing w:after="0" w:line="19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to the environmental remediation liability associated with the Potsdam environmental remediation liability follows (in millions):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Obligations settled</w:t>
            </w:r>
          </w:p>
        </w:tc>
        <w:tc>
          <w:tcPr>
            <w:tcW w:w="104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Country Environmental Services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circuits were heard by the Supreme Court of the United States (“SCOTUS”). SCOTUS has granted certiorari to hear such cases. Our motion for a stay is pending in the New Hampshire Litigation. We intend to continue to vigorously defend against the New Hampshire Litigation, which we believe is without merit.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795" w:right="239" w:bottom="1440" w:gutter="0" w:footer="0" w:header="0"/>
        </w:sectPr>
      </w:pPr>
    </w:p>
    <w:bookmarkStart w:id="44" w:name="page45"/>
    <w:bookmarkEnd w:id="4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a number of risks, including those identified in Item 1A, “Risk Factors” of our Annual Report on Form 10-K for the fiscal year ended December 31, 2018, that could have a material effect on our business, results of operations, financial condition and/or liquidity and that could cause our operating results to vary significantly from period to period. As of March 31, 2019, there have been no material changes to the risk factors disclosed in our Annual Report on Form 10-K for the fiscal year ended December 31, 2018. We may disclose additional changes to our risk factors or disclose additional factors from time to time in our future filings with the Securities and Exchange Commission.</w:t>
      </w:r>
    </w:p>
    <w:p>
      <w:pPr>
        <w:spacing w:after="0" w:line="1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On March 6, 2019, we issued 66,881 shares of our common stock to Youngblood Disposal Enterprises of Western New York, LLC (“Youngblood”) in connection with our acquisition of the assets of Youngblood and its wholly owned subsidiaries.</w:t>
      </w:r>
    </w:p>
    <w:p>
      <w:pPr>
        <w:spacing w:after="0"/>
        <w:rPr>
          <w:sz w:val="20"/>
          <w:szCs w:val="20"/>
          <w:color w:val="auto"/>
        </w:rPr>
      </w:pPr>
      <w:r>
        <w:rPr>
          <w:rFonts w:ascii="Times New Roman" w:cs="Times New Roman" w:eastAsia="Times New Roman" w:hAnsi="Times New Roman"/>
          <w:sz w:val="18"/>
          <w:szCs w:val="18"/>
          <w:color w:val="auto"/>
        </w:rPr>
        <w:t>Such shares were issued in reliance upon the exemption from registration provided by Section 4(a)(2) of the Securities Act of 1933, as amended.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102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502"/>
        </w:trPr>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40" w:type="dxa"/>
            <w:vAlign w:val="bottom"/>
            <w:gridSpan w:val="5"/>
            <w:vMerge w:val="restart"/>
          </w:tcPr>
          <w:p>
            <w:pPr>
              <w:ind w:left="4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31.1 +</w:t>
            </w: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6"/>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Certification of John W. Casella, Principal Executive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6"/>
          </w:tcPr>
          <w:p>
            <w:pPr>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Certification of Edmond R. Coletta, Principal Financial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32.1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6"/>
          </w:tcPr>
          <w:p>
            <w:pPr>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Certification of Chief Executive Officer pursuant to 18 U.S.C. Section 1350, as adopted pursuant to Section 906 of the Sarbanes- Oxley Act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of 2002.</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50">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 Oxley Act</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6"/>
          </w:tcPr>
          <w:p>
            <w:pPr>
              <w:spacing w:after="0" w:line="196"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of 2002.</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180" w:right="100" w:hanging="742"/>
        <w:spacing w:after="0" w:line="270" w:lineRule="auto"/>
        <w:tabs>
          <w:tab w:leader="none" w:pos="11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Submitted Electronically Herewith. Attached as Exhibit 101 to this report are the following formatted in XBRL (Extensible Business Reporting Language): (i) Consolidated Balance Sheets as of March 31, 2019 and December 31, 2018, (ii) Consolidated Statements of Operations for the three months ended March 31, 2019 and 2018, (iii) Consolidated Statements of Comprehensive Loss for the three months ended March 31, 2019 and 2018, (iv) Consolidated Statement of Stockholders’ Deficit for the three months ended March 31, 2019 and 2018,</w:t>
      </w:r>
    </w:p>
    <w:p>
      <w:pPr>
        <w:spacing w:after="0" w:line="2" w:lineRule="exact"/>
        <w:rPr>
          <w:rFonts w:ascii="Times New Roman" w:cs="Times New Roman" w:eastAsia="Times New Roman" w:hAnsi="Times New Roman"/>
          <w:sz w:val="17"/>
          <w:szCs w:val="17"/>
          <w:color w:val="auto"/>
        </w:rPr>
      </w:pPr>
    </w:p>
    <w:p>
      <w:pPr>
        <w:ind w:left="1180" w:right="2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Consolidated Statements of Cash Flows for the three months ended March 31, 2019 and 2018, and (vi) Notes to Consolidated Financial Statements.</w:t>
      </w:r>
    </w:p>
    <w:p>
      <w:pPr>
        <w:spacing w:after="0" w:line="18" w:lineRule="exact"/>
        <w:rPr>
          <w:sz w:val="20"/>
          <w:szCs w:val="20"/>
          <w:color w:val="auto"/>
        </w:rPr>
      </w:pPr>
    </w:p>
    <w:p>
      <w:pPr>
        <w:ind w:left="1180" w:hanging="703"/>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1180" w:hanging="754"/>
        <w:spacing w:after="0"/>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792" w:right="239" w:bottom="1440" w:gutter="0" w:footer="0" w:header="0"/>
        </w:sectPr>
      </w:pPr>
    </w:p>
    <w:bookmarkStart w:id="45" w:name="page46"/>
    <w:bookmarkEnd w:id="45"/>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Casella Waste Systems, Inc.</w:t>
            </w:r>
          </w:p>
        </w:tc>
      </w:tr>
      <w:tr>
        <w:trPr>
          <w:trHeight w:val="59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2019</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/s/ Christopher B. Heald</w:t>
            </w:r>
          </w:p>
        </w:tc>
      </w:tr>
      <w:tr>
        <w:trPr>
          <w:trHeight w:val="27"/>
        </w:trPr>
        <w:tc>
          <w:tcPr>
            <w:tcW w:w="37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Heald</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9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2019</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/s/ Edmond R. Coletta</w:t>
            </w:r>
          </w:p>
        </w:tc>
      </w:tr>
      <w:tr>
        <w:trPr>
          <w:trHeight w:val="27"/>
        </w:trPr>
        <w:tc>
          <w:tcPr>
            <w:tcW w:w="37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Edmond R. Coletta</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70"/>
        </w:trPr>
        <w:tc>
          <w:tcPr>
            <w:tcW w:w="37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3740" w:type="dxa"/>
            <w:vAlign w:val="bottom"/>
          </w:tcPr>
          <w:p>
            <w:pPr>
              <w:spacing w:after="0"/>
              <w:rPr>
                <w:sz w:val="24"/>
                <w:szCs w:val="24"/>
                <w:color w:val="auto"/>
              </w:rPr>
            </w:pPr>
          </w:p>
        </w:tc>
        <w:tc>
          <w:tcPr>
            <w:tcW w:w="53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44</w:t>
            </w:r>
          </w:p>
        </w:tc>
      </w:tr>
    </w:tbl>
    <w:p>
      <w:pPr>
        <w:sectPr>
          <w:pgSz w:w="11900" w:h="16838" w:orient="portrait"/>
          <w:cols w:equalWidth="0" w:num="1">
            <w:col w:w="11220"/>
          </w:cols>
          <w:pgMar w:left="240" w:top="792"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Casella, certify that:</w:t>
      </w:r>
    </w:p>
    <w:p>
      <w:pPr>
        <w:spacing w:after="0" w:line="144" w:lineRule="exact"/>
        <w:rPr>
          <w:sz w:val="20"/>
          <w:szCs w:val="20"/>
          <w:color w:val="auto"/>
        </w:rPr>
      </w:pPr>
    </w:p>
    <w:p>
      <w:pPr>
        <w:ind w:left="800" w:hanging="387"/>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Casella Waste Systems, Inc.;</w:t>
      </w:r>
    </w:p>
    <w:p>
      <w:pPr>
        <w:spacing w:after="0" w:line="157" w:lineRule="exact"/>
        <w:rPr>
          <w:rFonts w:ascii="Times New Roman" w:cs="Times New Roman" w:eastAsia="Times New Roman" w:hAnsi="Times New Roman"/>
          <w:sz w:val="18"/>
          <w:szCs w:val="18"/>
          <w:color w:val="auto"/>
        </w:rPr>
      </w:pPr>
    </w:p>
    <w:p>
      <w:pPr>
        <w:jc w:val="both"/>
        <w:ind w:left="420" w:right="160" w:hanging="7"/>
        <w:spacing w:after="0" w:line="313" w:lineRule="auto"/>
        <w:tabs>
          <w:tab w:leader="none" w:pos="7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Times New Roman" w:cs="Times New Roman" w:eastAsia="Times New Roman" w:hAnsi="Times New Roman"/>
          <w:sz w:val="18"/>
          <w:szCs w:val="18"/>
          <w:color w:val="auto"/>
        </w:rPr>
      </w:pPr>
    </w:p>
    <w:p>
      <w:pPr>
        <w:ind w:left="420" w:right="320" w:hanging="7"/>
        <w:spacing w:after="0" w:line="362" w:lineRule="auto"/>
        <w:tabs>
          <w:tab w:leader="none" w:pos="79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1" w:lineRule="exact"/>
        <w:rPr>
          <w:rFonts w:ascii="Times New Roman" w:cs="Times New Roman" w:eastAsia="Times New Roman" w:hAnsi="Times New Roman"/>
          <w:sz w:val="17"/>
          <w:szCs w:val="17"/>
          <w:color w:val="auto"/>
        </w:rPr>
      </w:pPr>
    </w:p>
    <w:p>
      <w:pPr>
        <w:ind w:left="420" w:right="120" w:hanging="7"/>
        <w:spacing w:after="0" w:line="313" w:lineRule="auto"/>
        <w:tabs>
          <w:tab w:leader="none" w:pos="7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20" w:right="200" w:firstLine="479"/>
        <w:spacing w:after="0" w:line="313" w:lineRule="auto"/>
        <w:tabs>
          <w:tab w:leader="none" w:pos="145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20" w:right="140" w:firstLine="479"/>
        <w:spacing w:after="0" w:line="313" w:lineRule="auto"/>
        <w:tabs>
          <w:tab w:leader="none" w:pos="146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20" w:right="280" w:firstLine="479"/>
        <w:spacing w:after="0" w:line="329" w:lineRule="auto"/>
        <w:tabs>
          <w:tab w:leader="none" w:pos="145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20" w:firstLine="479"/>
        <w:spacing w:after="0" w:line="313" w:lineRule="auto"/>
        <w:tabs>
          <w:tab w:leader="none" w:pos="146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420" w:right="40" w:hanging="7"/>
        <w:spacing w:after="0" w:line="329" w:lineRule="auto"/>
        <w:tabs>
          <w:tab w:leader="none" w:pos="7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80" w:firstLine="479"/>
        <w:spacing w:after="0" w:line="329" w:lineRule="auto"/>
        <w:tabs>
          <w:tab w:leader="none" w:pos="145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160" w:firstLine="479"/>
        <w:spacing w:after="0" w:line="329" w:lineRule="auto"/>
        <w:tabs>
          <w:tab w:leader="none" w:pos="146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2019</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/s/ John W. Casella</w:t>
            </w:r>
          </w:p>
        </w:tc>
      </w:tr>
      <w:tr>
        <w:trPr>
          <w:trHeight w:val="27"/>
        </w:trPr>
        <w:tc>
          <w:tcPr>
            <w:tcW w:w="56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70"/>
        </w:trPr>
        <w:tc>
          <w:tcPr>
            <w:tcW w:w="56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576"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Edmond R. Coletta, certify that:</w:t>
      </w:r>
    </w:p>
    <w:p>
      <w:pPr>
        <w:spacing w:after="0" w:line="144" w:lineRule="exact"/>
        <w:rPr>
          <w:sz w:val="20"/>
          <w:szCs w:val="20"/>
          <w:color w:val="auto"/>
        </w:rPr>
      </w:pPr>
    </w:p>
    <w:p>
      <w:pPr>
        <w:ind w:left="800" w:hanging="387"/>
        <w:spacing w:after="0"/>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Casella Waste Systems, Inc.;</w:t>
      </w:r>
    </w:p>
    <w:p>
      <w:pPr>
        <w:spacing w:after="0" w:line="157" w:lineRule="exact"/>
        <w:rPr>
          <w:rFonts w:ascii="Times New Roman" w:cs="Times New Roman" w:eastAsia="Times New Roman" w:hAnsi="Times New Roman"/>
          <w:sz w:val="18"/>
          <w:szCs w:val="18"/>
          <w:color w:val="auto"/>
        </w:rPr>
      </w:pPr>
    </w:p>
    <w:p>
      <w:pPr>
        <w:jc w:val="both"/>
        <w:ind w:left="420" w:right="160" w:hanging="7"/>
        <w:spacing w:after="0" w:line="313" w:lineRule="auto"/>
        <w:tabs>
          <w:tab w:leader="none" w:pos="79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Times New Roman" w:cs="Times New Roman" w:eastAsia="Times New Roman" w:hAnsi="Times New Roman"/>
          <w:sz w:val="18"/>
          <w:szCs w:val="18"/>
          <w:color w:val="auto"/>
        </w:rPr>
      </w:pPr>
    </w:p>
    <w:p>
      <w:pPr>
        <w:ind w:left="420" w:right="320" w:hanging="7"/>
        <w:spacing w:after="0" w:line="362" w:lineRule="auto"/>
        <w:tabs>
          <w:tab w:leader="none" w:pos="79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1" w:lineRule="exact"/>
        <w:rPr>
          <w:rFonts w:ascii="Times New Roman" w:cs="Times New Roman" w:eastAsia="Times New Roman" w:hAnsi="Times New Roman"/>
          <w:sz w:val="17"/>
          <w:szCs w:val="17"/>
          <w:color w:val="auto"/>
        </w:rPr>
      </w:pPr>
    </w:p>
    <w:p>
      <w:pPr>
        <w:ind w:left="420" w:right="120" w:hanging="7"/>
        <w:spacing w:after="0" w:line="313" w:lineRule="auto"/>
        <w:tabs>
          <w:tab w:leader="none" w:pos="79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20" w:right="200" w:firstLine="479"/>
        <w:spacing w:after="0" w:line="313" w:lineRule="auto"/>
        <w:tabs>
          <w:tab w:leader="none" w:pos="14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20" w:right="140" w:firstLine="479"/>
        <w:spacing w:after="0" w:line="313" w:lineRule="auto"/>
        <w:tabs>
          <w:tab w:leader="none" w:pos="146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20" w:right="280" w:firstLine="479"/>
        <w:spacing w:after="0" w:line="329" w:lineRule="auto"/>
        <w:tabs>
          <w:tab w:leader="none" w:pos="14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20" w:firstLine="479"/>
        <w:spacing w:after="0" w:line="313" w:lineRule="auto"/>
        <w:tabs>
          <w:tab w:leader="none" w:pos="146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420" w:right="40" w:hanging="7"/>
        <w:spacing w:after="0" w:line="329" w:lineRule="auto"/>
        <w:tabs>
          <w:tab w:leader="none" w:pos="79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80" w:firstLine="479"/>
        <w:spacing w:after="0" w:line="329" w:lineRule="auto"/>
        <w:tabs>
          <w:tab w:leader="none" w:pos="14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160" w:firstLine="479"/>
        <w:spacing w:after="0" w:line="329" w:lineRule="auto"/>
        <w:tabs>
          <w:tab w:leader="none" w:pos="146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2019</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/s/ Edmond R. Coletta</w:t>
            </w:r>
          </w:p>
        </w:tc>
      </w:tr>
      <w:tr>
        <w:trPr>
          <w:trHeight w:val="27"/>
        </w:trPr>
        <w:tc>
          <w:tcPr>
            <w:tcW w:w="56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70"/>
        </w:trPr>
        <w:tc>
          <w:tcPr>
            <w:tcW w:w="56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420"/>
          </w:cols>
          <w:pgMar w:left="240" w:top="576"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Casella Waste Systems, Inc. for the period ended March 31, 2019 as filed with the Securities and Exchange Commission on the date hereof (“Report”), the undersigned, John W. Casella, Chairman and Chief Executive Officer, hereby certifies, pursuant to 18 U.S.C. Section 1350, that, to his knowledge:</w:t>
      </w:r>
    </w:p>
    <w:p>
      <w:pPr>
        <w:spacing w:after="0" w:line="203" w:lineRule="exact"/>
        <w:rPr>
          <w:sz w:val="20"/>
          <w:szCs w:val="20"/>
          <w:color w:val="auto"/>
        </w:rPr>
      </w:pPr>
    </w:p>
    <w:p>
      <w:pPr>
        <w:ind w:left="860" w:hanging="447"/>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860" w:hanging="447"/>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Date: May 1, 2019</w:t>
      </w:r>
      <w:r>
        <w:rPr>
          <w:sz w:val="20"/>
          <w:szCs w:val="20"/>
          <w:color w:val="auto"/>
        </w:rPr>
        <w:tab/>
      </w:r>
      <w:r>
        <w:rPr>
          <w:rFonts w:ascii="Times New Roman" w:cs="Times New Roman" w:eastAsia="Times New Roman" w:hAnsi="Times New Roman"/>
          <w:sz w:val="17"/>
          <w:szCs w:val="17"/>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Casella Waste Systems, Inc. for the period ended March 31, 2019 as filed with the Securities and Exchange Commission on the date hereof (“Report”), the undersigned, Edmond R. Coletta, Senior Vice President and Chief Financial Officer, hereby certifies, pursuant to 18 U.S.C. Section 1350, that, to his knowledge:</w:t>
      </w:r>
    </w:p>
    <w:p>
      <w:pPr>
        <w:spacing w:after="0" w:line="203" w:lineRule="exact"/>
        <w:rPr>
          <w:sz w:val="20"/>
          <w:szCs w:val="20"/>
          <w:color w:val="auto"/>
        </w:rPr>
      </w:pPr>
    </w:p>
    <w:p>
      <w:pPr>
        <w:ind w:left="860" w:hanging="447"/>
        <w:spacing w:after="0"/>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860" w:hanging="447"/>
        <w:spacing w:after="0"/>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Date: May 1, 2019</w:t>
      </w:r>
      <w:r>
        <w:rPr>
          <w:sz w:val="20"/>
          <w:szCs w:val="20"/>
          <w:color w:val="auto"/>
        </w:rPr>
        <w:tab/>
      </w:r>
      <w:r>
        <w:rPr>
          <w:rFonts w:ascii="Times New Roman" w:cs="Times New Roman" w:eastAsia="Times New Roman" w:hAnsi="Times New Roman"/>
          <w:sz w:val="17"/>
          <w:szCs w:val="17"/>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3"/>
    </w:lvl>
  </w:abstractNum>
  <w:abstractNum w:abstractNumId="5">
    <w:nsid w:val="71F32454"/>
    <w:multiLevelType w:val="hybridMultilevel"/>
    <w:lvl w:ilvl="0">
      <w:lvlJc w:val="left"/>
      <w:lvlText w:val="%1"/>
      <w:numFmt w:val="decimal"/>
      <w:start w:val="441"/>
    </w:lvl>
  </w:abstractNum>
  <w:abstractNum w:abstractNumId="6">
    <w:nsid w:val="2CA88611"/>
    <w:multiLevelType w:val="hybridMultilevel"/>
    <w:lvl w:ilvl="0">
      <w:lvlJc w:val="left"/>
      <w:lvlText w:val="\emdash "/>
      <w:numFmt w:val="bullet"/>
      <w:start w:val="1"/>
    </w:lvl>
  </w:abstractNum>
  <w:abstractNum w:abstractNumId="7">
    <w:nsid w:val="836C40E"/>
    <w:multiLevelType w:val="hybridMultilevel"/>
    <w:lvl w:ilvl="0">
      <w:lvlJc w:val="left"/>
      <w:lvlText w:val="\emdash "/>
      <w:numFmt w:val="bullet"/>
      <w:start w:val="1"/>
    </w:lvl>
  </w:abstractNum>
  <w:abstractNum w:abstractNumId="8">
    <w:nsid w:val="2901D82"/>
    <w:multiLevelType w:val="hybridMultilevel"/>
    <w:lvl w:ilvl="0">
      <w:lvlJc w:val="left"/>
      <w:lvlText w:val="%1"/>
      <w:numFmt w:val="decimal"/>
      <w:start w:val="517"/>
    </w:lvl>
  </w:abstractNum>
  <w:abstractNum w:abstractNumId="9">
    <w:nsid w:val="3A95F874"/>
    <w:multiLevelType w:val="hybridMultilevel"/>
    <w:lvl w:ilvl="0">
      <w:lvlJc w:val="left"/>
      <w:lvlText w:val="%1."/>
      <w:numFmt w:val="decimal"/>
      <w:start w:val="4"/>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8"/>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9"/>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0"/>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2"/>
    </w:lvl>
  </w:abstractNum>
  <w:abstractNum w:abstractNumId="19">
    <w:nsid w:val="419AC241"/>
    <w:multiLevelType w:val="hybridMultilevel"/>
    <w:lvl w:ilvl="0">
      <w:lvlJc w:val="left"/>
      <w:lvlText w:val="%1."/>
      <w:numFmt w:val="decimal"/>
      <w:start w:val="13"/>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2019-12-28T13:09:31Z</dcterms:created>
  <dcterms:modified xsi:type="dcterms:W3CDTF">2019-12-28T13:09:31Z</dcterms:modified>
</cp:coreProperties>
</file>