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18415</wp:posOffset>
            </wp:positionV>
            <wp:extent cx="2777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75565</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420" w:right="340" w:hanging="394"/>
        <w:spacing w:after="0" w:line="256" w:lineRule="auto"/>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420" w:right="320" w:hanging="394"/>
        <w:spacing w:after="0" w:line="256" w:lineRule="auto"/>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0"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34290</wp:posOffset>
            </wp:positionV>
            <wp:extent cx="2777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CASELLA WASTE SYSTEMS,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55880</wp:posOffset>
            </wp:positionV>
            <wp:extent cx="2777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tbl>
      <w:tblPr>
        <w:tblLayout w:type="fixed"/>
        <w:tblInd w:w="2780" w:type="dxa"/>
        <w:tblCellMar>
          <w:top w:w="0" w:type="dxa"/>
          <w:left w:w="0" w:type="dxa"/>
          <w:bottom w:w="0" w:type="dxa"/>
          <w:right w:w="0" w:type="dxa"/>
        </w:tblCellMar>
      </w:tblPr>
      <w:tr>
        <w:trPr>
          <w:trHeight w:val="186"/>
        </w:trPr>
        <w:tc>
          <w:tcPr>
            <w:tcW w:w="3160" w:type="dxa"/>
            <w:vAlign w:val="bottom"/>
          </w:tcPr>
          <w:p>
            <w:pPr>
              <w:jc w:val="center"/>
              <w:ind w:right="708"/>
              <w:spacing w:after="0"/>
              <w:rPr>
                <w:sz w:val="20"/>
                <w:szCs w:val="20"/>
                <w:color w:val="auto"/>
              </w:rPr>
            </w:pPr>
            <w:r>
              <w:rPr>
                <w:rFonts w:ascii="Arial" w:cs="Arial" w:eastAsia="Arial" w:hAnsi="Arial"/>
                <w:sz w:val="14"/>
                <w:szCs w:val="14"/>
                <w:b w:val="1"/>
                <w:bCs w:val="1"/>
                <w:color w:val="auto"/>
                <w:w w:val="94"/>
              </w:rPr>
              <w:t>Delaware</w:t>
            </w:r>
          </w:p>
        </w:tc>
        <w:tc>
          <w:tcPr>
            <w:tcW w:w="1920" w:type="dxa"/>
            <w:vAlign w:val="bottom"/>
          </w:tcPr>
          <w:p>
            <w:pPr>
              <w:jc w:val="center"/>
              <w:ind w:left="708"/>
              <w:spacing w:after="0"/>
              <w:rPr>
                <w:sz w:val="20"/>
                <w:szCs w:val="20"/>
                <w:color w:val="auto"/>
              </w:rPr>
            </w:pPr>
            <w:r>
              <w:rPr>
                <w:rFonts w:ascii="Arial" w:cs="Arial" w:eastAsia="Arial" w:hAnsi="Arial"/>
                <w:sz w:val="14"/>
                <w:szCs w:val="14"/>
                <w:b w:val="1"/>
                <w:bCs w:val="1"/>
                <w:color w:val="auto"/>
                <w:w w:val="93"/>
              </w:rPr>
              <w:t>03-0338873</w:t>
            </w:r>
          </w:p>
        </w:tc>
      </w:tr>
      <w:tr>
        <w:trPr>
          <w:trHeight w:val="165"/>
        </w:trPr>
        <w:tc>
          <w:tcPr>
            <w:tcW w:w="3160" w:type="dxa"/>
            <w:vAlign w:val="bottom"/>
          </w:tcPr>
          <w:p>
            <w:pPr>
              <w:jc w:val="center"/>
              <w:ind w:right="728"/>
              <w:spacing w:after="0"/>
              <w:rPr>
                <w:sz w:val="20"/>
                <w:szCs w:val="20"/>
                <w:color w:val="auto"/>
              </w:rPr>
            </w:pPr>
            <w:r>
              <w:rPr>
                <w:rFonts w:ascii="Arial" w:cs="Arial" w:eastAsia="Arial" w:hAnsi="Arial"/>
                <w:sz w:val="14"/>
                <w:szCs w:val="14"/>
                <w:b w:val="1"/>
                <w:bCs w:val="1"/>
                <w:color w:val="auto"/>
                <w:w w:val="93"/>
              </w:rPr>
              <w:t>(State or other jurisdiction of</w:t>
            </w:r>
          </w:p>
        </w:tc>
        <w:tc>
          <w:tcPr>
            <w:tcW w:w="1920" w:type="dxa"/>
            <w:vAlign w:val="bottom"/>
          </w:tcPr>
          <w:p>
            <w:pPr>
              <w:jc w:val="center"/>
              <w:ind w:left="72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160" w:type="dxa"/>
            <w:vAlign w:val="bottom"/>
          </w:tcPr>
          <w:p>
            <w:pPr>
              <w:jc w:val="center"/>
              <w:ind w:right="728"/>
              <w:spacing w:after="0"/>
              <w:rPr>
                <w:sz w:val="20"/>
                <w:szCs w:val="20"/>
                <w:color w:val="auto"/>
              </w:rPr>
            </w:pPr>
            <w:r>
              <w:rPr>
                <w:rFonts w:ascii="Arial" w:cs="Arial" w:eastAsia="Arial" w:hAnsi="Arial"/>
                <w:sz w:val="14"/>
                <w:szCs w:val="14"/>
                <w:b w:val="1"/>
                <w:bCs w:val="1"/>
                <w:color w:val="auto"/>
                <w:w w:val="94"/>
              </w:rPr>
              <w:t>incorporation or organization)</w:t>
            </w:r>
          </w:p>
        </w:tc>
        <w:tc>
          <w:tcPr>
            <w:tcW w:w="1920" w:type="dxa"/>
            <w:vAlign w:val="bottom"/>
          </w:tcPr>
          <w:p>
            <w:pPr>
              <w:jc w:val="center"/>
              <w:ind w:left="708"/>
              <w:spacing w:after="0"/>
              <w:rPr>
                <w:sz w:val="20"/>
                <w:szCs w:val="20"/>
                <w:color w:val="auto"/>
              </w:rPr>
            </w:pPr>
            <w:r>
              <w:rPr>
                <w:rFonts w:ascii="Arial" w:cs="Arial" w:eastAsia="Arial" w:hAnsi="Arial"/>
                <w:sz w:val="14"/>
                <w:szCs w:val="14"/>
                <w:b w:val="1"/>
                <w:bCs w:val="1"/>
                <w:color w:val="auto"/>
                <w:w w:val="96"/>
              </w:rPr>
              <w:t>Identification No.)</w:t>
            </w:r>
          </w:p>
        </w:tc>
      </w:tr>
      <w:tr>
        <w:trPr>
          <w:trHeight w:val="635"/>
        </w:trPr>
        <w:tc>
          <w:tcPr>
            <w:tcW w:w="3160" w:type="dxa"/>
            <w:vAlign w:val="bottom"/>
          </w:tcPr>
          <w:p>
            <w:pPr>
              <w:jc w:val="center"/>
              <w:ind w:right="728"/>
              <w:spacing w:after="0"/>
              <w:rPr>
                <w:sz w:val="20"/>
                <w:szCs w:val="20"/>
                <w:color w:val="auto"/>
              </w:rPr>
            </w:pPr>
            <w:r>
              <w:rPr>
                <w:rFonts w:ascii="Arial" w:cs="Arial" w:eastAsia="Arial" w:hAnsi="Arial"/>
                <w:sz w:val="14"/>
                <w:szCs w:val="14"/>
                <w:b w:val="1"/>
                <w:bCs w:val="1"/>
                <w:color w:val="auto"/>
                <w:w w:val="95"/>
              </w:rPr>
              <w:t>25 Greens Hill Lane,</w:t>
            </w:r>
          </w:p>
        </w:tc>
        <w:tc>
          <w:tcPr>
            <w:tcW w:w="1920" w:type="dxa"/>
            <w:vAlign w:val="bottom"/>
          </w:tcPr>
          <w:p>
            <w:pPr>
              <w:spacing w:after="0"/>
              <w:rPr>
                <w:sz w:val="24"/>
                <w:szCs w:val="24"/>
                <w:color w:val="auto"/>
              </w:rPr>
            </w:pPr>
          </w:p>
        </w:tc>
      </w:tr>
      <w:tr>
        <w:trPr>
          <w:trHeight w:val="203"/>
        </w:trPr>
        <w:tc>
          <w:tcPr>
            <w:tcW w:w="3160" w:type="dxa"/>
            <w:vAlign w:val="bottom"/>
          </w:tcPr>
          <w:p>
            <w:pPr>
              <w:jc w:val="center"/>
              <w:ind w:right="728"/>
              <w:spacing w:after="0"/>
              <w:rPr>
                <w:sz w:val="20"/>
                <w:szCs w:val="20"/>
                <w:color w:val="auto"/>
              </w:rPr>
            </w:pPr>
            <w:r>
              <w:rPr>
                <w:rFonts w:ascii="Arial" w:cs="Arial" w:eastAsia="Arial" w:hAnsi="Arial"/>
                <w:sz w:val="14"/>
                <w:szCs w:val="14"/>
                <w:b w:val="1"/>
                <w:bCs w:val="1"/>
                <w:color w:val="auto"/>
                <w:w w:val="95"/>
              </w:rPr>
              <w:t>Rutland, Vermont</w:t>
            </w:r>
          </w:p>
        </w:tc>
        <w:tc>
          <w:tcPr>
            <w:tcW w:w="1920" w:type="dxa"/>
            <w:vAlign w:val="bottom"/>
          </w:tcPr>
          <w:p>
            <w:pPr>
              <w:jc w:val="center"/>
              <w:ind w:left="688"/>
              <w:spacing w:after="0"/>
              <w:rPr>
                <w:sz w:val="20"/>
                <w:szCs w:val="20"/>
                <w:color w:val="auto"/>
              </w:rPr>
            </w:pPr>
            <w:r>
              <w:rPr>
                <w:rFonts w:ascii="Arial" w:cs="Arial" w:eastAsia="Arial" w:hAnsi="Arial"/>
                <w:sz w:val="14"/>
                <w:szCs w:val="14"/>
                <w:b w:val="1"/>
                <w:bCs w:val="1"/>
                <w:color w:val="auto"/>
                <w:w w:val="92"/>
              </w:rPr>
              <w:t>05701</w:t>
            </w:r>
          </w:p>
        </w:tc>
      </w:tr>
      <w:tr>
        <w:trPr>
          <w:trHeight w:val="203"/>
        </w:trPr>
        <w:tc>
          <w:tcPr>
            <w:tcW w:w="3160" w:type="dxa"/>
            <w:vAlign w:val="bottom"/>
          </w:tcPr>
          <w:p>
            <w:pPr>
              <w:jc w:val="center"/>
              <w:ind w:right="7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20" w:type="dxa"/>
            <w:vAlign w:val="bottom"/>
          </w:tcPr>
          <w:p>
            <w:pPr>
              <w:jc w:val="center"/>
              <w:ind w:left="708"/>
              <w:spacing w:after="0"/>
              <w:rPr>
                <w:sz w:val="20"/>
                <w:szCs w:val="20"/>
                <w:color w:val="auto"/>
              </w:rPr>
            </w:pPr>
            <w:r>
              <w:rPr>
                <w:rFonts w:ascii="Arial" w:cs="Arial" w:eastAsia="Arial" w:hAnsi="Arial"/>
                <w:sz w:val="14"/>
                <w:szCs w:val="14"/>
                <w:b w:val="1"/>
                <w:bCs w:val="1"/>
                <w:color w:val="auto"/>
                <w:w w:val="95"/>
              </w:rPr>
              <w:t>(Zip Code)</w:t>
            </w:r>
          </w:p>
        </w:tc>
      </w:tr>
    </w:tbl>
    <w:p>
      <w:pPr>
        <w:spacing w:after="0" w:line="10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68580</wp:posOffset>
            </wp:positionV>
            <wp:extent cx="2777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8"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Trading</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05"/>
        </w:trPr>
        <w:tc>
          <w:tcPr>
            <w:tcW w:w="3760" w:type="dxa"/>
            <w:vAlign w:val="bottom"/>
            <w:gridSpan w:val="2"/>
            <w:vMerge w:val="continue"/>
          </w:tcPr>
          <w:p>
            <w:pPr>
              <w:spacing w:after="0"/>
              <w:rPr>
                <w:sz w:val="9"/>
                <w:szCs w:val="9"/>
                <w:color w:val="auto"/>
              </w:rPr>
            </w:pPr>
          </w:p>
        </w:tc>
        <w:tc>
          <w:tcPr>
            <w:tcW w:w="2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vMerge w:val="restart"/>
          </w:tcPr>
          <w:p>
            <w:pPr>
              <w:spacing w:after="0"/>
              <w:rPr>
                <w:sz w:val="9"/>
                <w:szCs w:val="9"/>
                <w:color w:val="auto"/>
              </w:rPr>
            </w:pPr>
          </w:p>
        </w:tc>
        <w:tc>
          <w:tcPr>
            <w:tcW w:w="3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87"/>
        </w:trPr>
        <w:tc>
          <w:tcPr>
            <w:tcW w:w="36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74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36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Class A common stock, $0.01 par value per share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CWST</w:t>
            </w:r>
          </w:p>
        </w:tc>
        <w:tc>
          <w:tcPr>
            <w:tcW w:w="36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94"/>
              </w:rPr>
              <w:t>(Nasdaq Global Select Market)</w:t>
            </w:r>
          </w:p>
        </w:tc>
        <w:tc>
          <w:tcPr>
            <w:tcW w:w="0" w:type="dxa"/>
            <w:vAlign w:val="bottom"/>
          </w:tcPr>
          <w:p>
            <w:pPr>
              <w:spacing w:after="0"/>
              <w:rPr>
                <w:sz w:val="1"/>
                <w:szCs w:val="1"/>
                <w:color w:val="auto"/>
              </w:rPr>
            </w:pPr>
          </w:p>
        </w:tc>
      </w:tr>
    </w:tbl>
    <w:p>
      <w:pPr>
        <w:spacing w:after="0" w:line="110"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right="1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634"/>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635"/>
        </w:trPr>
        <w:tc>
          <w:tcPr>
            <w:tcW w:w="20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560" w:type="dxa"/>
            <w:vAlign w:val="bottom"/>
          </w:tcPr>
          <w:p>
            <w:pPr>
              <w:ind w:left="2400"/>
              <w:spacing w:after="0"/>
              <w:rPr>
                <w:sz w:val="20"/>
                <w:szCs w:val="20"/>
                <w:color w:val="auto"/>
              </w:rPr>
            </w:pPr>
            <w:r>
              <w:rPr>
                <w:rFonts w:ascii="Arial" w:cs="Arial" w:eastAsia="Arial" w:hAnsi="Arial"/>
                <w:sz w:val="16"/>
                <w:szCs w:val="16"/>
                <w:color w:val="auto"/>
              </w:rPr>
              <w:t>Emerging growth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6980" w:type="dxa"/>
            <w:vAlign w:val="bottom"/>
          </w:tcPr>
          <w:p>
            <w:pPr>
              <w:spacing w:after="0"/>
              <w:rPr>
                <w:sz w:val="20"/>
                <w:szCs w:val="20"/>
                <w:color w:val="auto"/>
              </w:rPr>
            </w:pPr>
            <w:r>
              <w:rPr>
                <w:rFonts w:ascii="Arial" w:cs="Arial" w:eastAsia="Arial" w:hAnsi="Arial"/>
                <w:sz w:val="16"/>
                <w:szCs w:val="16"/>
                <w:color w:val="auto"/>
                <w:w w:val="91"/>
              </w:rPr>
              <w:t>The number of shares outstanding of each of the registrant’s classes of common stock, as of July 15, 2020:</w:t>
            </w:r>
          </w:p>
        </w:tc>
        <w:tc>
          <w:tcPr>
            <w:tcW w:w="4260" w:type="dxa"/>
            <w:vAlign w:val="bottom"/>
          </w:tcPr>
          <w:p>
            <w:pPr>
              <w:spacing w:after="0"/>
              <w:rPr>
                <w:sz w:val="17"/>
                <w:szCs w:val="17"/>
                <w:color w:val="auto"/>
              </w:rPr>
            </w:pPr>
          </w:p>
        </w:tc>
      </w:tr>
      <w:tr>
        <w:trPr>
          <w:trHeight w:val="243"/>
        </w:trPr>
        <w:tc>
          <w:tcPr>
            <w:tcW w:w="6980" w:type="dxa"/>
            <w:vAlign w:val="bottom"/>
          </w:tcPr>
          <w:p>
            <w:pPr>
              <w:ind w:left="1600"/>
              <w:spacing w:after="0"/>
              <w:rPr>
                <w:sz w:val="20"/>
                <w:szCs w:val="20"/>
                <w:color w:val="auto"/>
              </w:rPr>
            </w:pPr>
            <w:r>
              <w:rPr>
                <w:rFonts w:ascii="Arial" w:cs="Arial" w:eastAsia="Arial" w:hAnsi="Arial"/>
                <w:sz w:val="16"/>
                <w:szCs w:val="16"/>
                <w:color w:val="auto"/>
              </w:rPr>
              <w:t>Class A common stock, $0.01 par value per share:</w:t>
            </w:r>
          </w:p>
        </w:tc>
        <w:tc>
          <w:tcPr>
            <w:tcW w:w="4260" w:type="dxa"/>
            <w:vAlign w:val="bottom"/>
          </w:tcPr>
          <w:p>
            <w:pPr>
              <w:jc w:val="right"/>
              <w:ind w:right="3359"/>
              <w:spacing w:after="0"/>
              <w:rPr>
                <w:sz w:val="20"/>
                <w:szCs w:val="20"/>
                <w:color w:val="auto"/>
              </w:rPr>
            </w:pPr>
            <w:r>
              <w:rPr>
                <w:rFonts w:ascii="Arial" w:cs="Arial" w:eastAsia="Arial" w:hAnsi="Arial"/>
                <w:sz w:val="16"/>
                <w:szCs w:val="16"/>
                <w:color w:val="auto"/>
                <w:w w:val="99"/>
              </w:rPr>
              <w:t>47,382,798</w:t>
            </w:r>
          </w:p>
        </w:tc>
      </w:tr>
      <w:tr>
        <w:trPr>
          <w:trHeight w:val="256"/>
        </w:trPr>
        <w:tc>
          <w:tcPr>
            <w:tcW w:w="6980" w:type="dxa"/>
            <w:vAlign w:val="bottom"/>
          </w:tcPr>
          <w:p>
            <w:pPr>
              <w:ind w:left="1600"/>
              <w:spacing w:after="0"/>
              <w:rPr>
                <w:sz w:val="20"/>
                <w:szCs w:val="20"/>
                <w:color w:val="auto"/>
              </w:rPr>
            </w:pPr>
            <w:r>
              <w:rPr>
                <w:rFonts w:ascii="Arial" w:cs="Arial" w:eastAsia="Arial" w:hAnsi="Arial"/>
                <w:sz w:val="16"/>
                <w:szCs w:val="16"/>
                <w:color w:val="auto"/>
              </w:rPr>
              <w:t>Class B common stock, $0.01 par value per share:</w:t>
            </w:r>
          </w:p>
        </w:tc>
        <w:tc>
          <w:tcPr>
            <w:tcW w:w="4260" w:type="dxa"/>
            <w:vAlign w:val="bottom"/>
          </w:tcPr>
          <w:p>
            <w:pPr>
              <w:jc w:val="right"/>
              <w:ind w:right="3359"/>
              <w:spacing w:after="0"/>
              <w:rPr>
                <w:sz w:val="20"/>
                <w:szCs w:val="20"/>
                <w:color w:val="auto"/>
              </w:rPr>
            </w:pPr>
            <w:r>
              <w:rPr>
                <w:rFonts w:ascii="Arial" w:cs="Arial" w:eastAsia="Arial" w:hAnsi="Arial"/>
                <w:sz w:val="16"/>
                <w:szCs w:val="16"/>
                <w:color w:val="auto"/>
              </w:rPr>
              <w:t>988,200</w:t>
            </w:r>
          </w:p>
        </w:tc>
      </w:tr>
      <w:tr>
        <w:trPr>
          <w:trHeight w:val="411"/>
        </w:trPr>
        <w:tc>
          <w:tcPr>
            <w:tcW w:w="69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r>
        <w:trPr>
          <w:trHeight w:val="34"/>
        </w:trPr>
        <w:tc>
          <w:tcPr>
            <w:tcW w:w="69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771"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240" w:type="dxa"/>
            <w:vAlign w:val="bottom"/>
            <w:tcBorders>
              <w:bottom w:val="single" w:sz="8" w:color="CCEEFF"/>
            </w:tcBorders>
            <w:shd w:val="clear" w:color="auto" w:fill="CCEEFF"/>
          </w:tcPr>
          <w:p>
            <w:pPr>
              <w:ind w:left="528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43"/>
        </w:trPr>
        <w:tc>
          <w:tcPr>
            <w:tcW w:w="8240" w:type="dxa"/>
            <w:vAlign w:val="bottom"/>
          </w:tcPr>
          <w:p>
            <w:pPr>
              <w:ind w:left="680"/>
              <w:spacing w:after="0"/>
              <w:rPr>
                <w:sz w:val="20"/>
                <w:szCs w:val="20"/>
                <w:color w:val="auto"/>
              </w:rPr>
            </w:pPr>
            <w:r>
              <w:rPr>
                <w:rFonts w:ascii="Arial" w:cs="Arial" w:eastAsia="Arial" w:hAnsi="Arial"/>
                <w:sz w:val="18"/>
                <w:szCs w:val="18"/>
                <w:color w:val="auto"/>
              </w:rPr>
              <w:t>Accounts receivable, net of allowance for credit losses of $2,615 and $1,468, respectively</w:t>
            </w: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73,700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80,205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Refundable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9,906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8,994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7,938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7,679</w:t>
            </w:r>
          </w:p>
        </w:tc>
        <w:tc>
          <w:tcPr>
            <w:tcW w:w="0" w:type="dxa"/>
            <w:vAlign w:val="bottom"/>
          </w:tcPr>
          <w:p>
            <w:pPr>
              <w:spacing w:after="0"/>
              <w:rPr>
                <w:sz w:val="1"/>
                <w:szCs w:val="1"/>
                <w:color w:val="auto"/>
              </w:rPr>
            </w:pP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98,079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102,813</w:t>
            </w: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w w:val="94"/>
              </w:rPr>
              <w:t>Property, plant and equipment, net of accumulated depreciation and amortization of $879,090 and $844,874,</w:t>
            </w:r>
          </w:p>
        </w:tc>
        <w:tc>
          <w:tcPr>
            <w:tcW w:w="220" w:type="dxa"/>
            <w:vAlign w:val="bottom"/>
          </w:tcPr>
          <w:p>
            <w:pPr>
              <w:spacing w:after="0"/>
              <w:rPr>
                <w:sz w:val="15"/>
                <w:szCs w:val="15"/>
                <w:color w:val="auto"/>
              </w:rPr>
            </w:pPr>
          </w:p>
        </w:tc>
        <w:tc>
          <w:tcPr>
            <w:tcW w:w="1220" w:type="dxa"/>
            <w:vAlign w:val="bottom"/>
            <w:vMerge w:val="restart"/>
          </w:tcPr>
          <w:p>
            <w:pPr>
              <w:jc w:val="right"/>
              <w:ind w:right="73"/>
              <w:spacing w:after="0"/>
              <w:rPr>
                <w:sz w:val="20"/>
                <w:szCs w:val="20"/>
                <w:color w:val="auto"/>
              </w:rPr>
            </w:pPr>
            <w:r>
              <w:rPr>
                <w:rFonts w:ascii="Arial" w:cs="Arial" w:eastAsia="Arial" w:hAnsi="Arial"/>
                <w:sz w:val="18"/>
                <w:szCs w:val="18"/>
                <w:color w:val="auto"/>
              </w:rPr>
              <w:t>480,388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ind w:right="72"/>
              <w:spacing w:after="0"/>
              <w:rPr>
                <w:sz w:val="20"/>
                <w:szCs w:val="20"/>
                <w:color w:val="auto"/>
              </w:rPr>
            </w:pPr>
            <w:r>
              <w:rPr>
                <w:rFonts w:ascii="Arial" w:cs="Arial" w:eastAsia="Arial" w:hAnsi="Arial"/>
                <w:sz w:val="18"/>
                <w:szCs w:val="18"/>
                <w:color w:val="auto"/>
              </w:rPr>
              <w:t>443,825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104,759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108,025</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190,966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185,819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60,408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58,721</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Restricted assets</w:t>
            </w: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method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7,366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8,577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12,186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11,552</w:t>
            </w:r>
          </w:p>
        </w:tc>
        <w:tc>
          <w:tcPr>
            <w:tcW w:w="0" w:type="dxa"/>
            <w:vAlign w:val="bottom"/>
          </w:tcPr>
          <w:p>
            <w:pPr>
              <w:spacing w:after="0"/>
              <w:rPr>
                <w:sz w:val="1"/>
                <w:szCs w:val="1"/>
                <w:color w:val="auto"/>
              </w:rPr>
            </w:pPr>
          </w:p>
        </w:tc>
      </w:tr>
      <w:tr>
        <w:trPr>
          <w:trHeight w:val="237"/>
        </w:trPr>
        <w:tc>
          <w:tcPr>
            <w:tcW w:w="82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966,971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932,182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240" w:type="dxa"/>
            <w:vAlign w:val="bottom"/>
            <w:tcBorders>
              <w:bottom w:val="single" w:sz="8" w:color="CCEEFF"/>
            </w:tcBorders>
            <w:shd w:val="clear" w:color="auto" w:fill="CCEEFF"/>
          </w:tcPr>
          <w:p>
            <w:pPr>
              <w:ind w:left="366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Current maturities of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6,948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Current operating lease liabilities</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8,417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57,443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64,396</w:t>
            </w:r>
          </w:p>
        </w:tc>
        <w:tc>
          <w:tcPr>
            <w:tcW w:w="0" w:type="dxa"/>
            <w:vAlign w:val="bottom"/>
          </w:tcPr>
          <w:p>
            <w:pPr>
              <w:spacing w:after="0"/>
              <w:rPr>
                <w:sz w:val="1"/>
                <w:szCs w:val="1"/>
                <w:color w:val="auto"/>
              </w:rPr>
            </w:pP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Accrued payroll and related expenses</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9,940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14,375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Accrued interest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Current accrued capping, closure and post-closure costs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10,223</w:t>
            </w:r>
          </w:p>
        </w:tc>
        <w:tc>
          <w:tcPr>
            <w:tcW w:w="0" w:type="dxa"/>
            <w:vAlign w:val="bottom"/>
          </w:tcPr>
          <w:p>
            <w:pPr>
              <w:spacing w:after="0"/>
              <w:rPr>
                <w:sz w:val="1"/>
                <w:szCs w:val="1"/>
                <w:color w:val="auto"/>
              </w:rPr>
            </w:pPr>
          </w:p>
        </w:tc>
      </w:tr>
      <w:tr>
        <w:trPr>
          <w:trHeight w:val="243"/>
        </w:trPr>
        <w:tc>
          <w:tcPr>
            <w:tcW w:w="8240" w:type="dxa"/>
            <w:vAlign w:val="bottom"/>
          </w:tcPr>
          <w:p>
            <w:pPr>
              <w:ind w:left="66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32,430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23,598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128,956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130,589</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Debt, less current portion</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527,757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509,021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70,208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70,709</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Accrued capping, closure and post-closure costs, less current portion</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66,392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61,704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40,337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34,763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Casella Waste Systems, Inc.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800"/>
              <w:spacing w:after="0" w:line="176" w:lineRule="exact"/>
              <w:rPr>
                <w:sz w:val="20"/>
                <w:szCs w:val="20"/>
                <w:color w:val="auto"/>
              </w:rPr>
            </w:pPr>
            <w:r>
              <w:rPr>
                <w:rFonts w:ascii="Arial" w:cs="Arial" w:eastAsia="Arial" w:hAnsi="Arial"/>
                <w:sz w:val="18"/>
                <w:szCs w:val="18"/>
                <w:color w:val="auto"/>
                <w:w w:val="94"/>
              </w:rPr>
              <w:t>Class A common stock, 0.01 par value per share; 100,000,000 shares authorized; 47,382,000 and</w:t>
            </w:r>
          </w:p>
        </w:tc>
        <w:tc>
          <w:tcPr>
            <w:tcW w:w="220" w:type="dxa"/>
            <w:vAlign w:val="bottom"/>
          </w:tcPr>
          <w:p>
            <w:pPr>
              <w:spacing w:after="0"/>
              <w:rPr>
                <w:sz w:val="15"/>
                <w:szCs w:val="15"/>
                <w:color w:val="auto"/>
              </w:rPr>
            </w:pPr>
          </w:p>
        </w:tc>
        <w:tc>
          <w:tcPr>
            <w:tcW w:w="1220" w:type="dxa"/>
            <w:vAlign w:val="bottom"/>
            <w:vMerge w:val="restart"/>
          </w:tcPr>
          <w:p>
            <w:pPr>
              <w:jc w:val="right"/>
              <w:ind w:right="72"/>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ind w:right="72"/>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29"/>
        </w:trPr>
        <w:tc>
          <w:tcPr>
            <w:tcW w:w="8240" w:type="dxa"/>
            <w:vAlign w:val="bottom"/>
          </w:tcPr>
          <w:p>
            <w:pPr>
              <w:ind w:left="800"/>
              <w:spacing w:after="0"/>
              <w:rPr>
                <w:sz w:val="20"/>
                <w:szCs w:val="20"/>
                <w:color w:val="auto"/>
              </w:rPr>
            </w:pPr>
            <w:r>
              <w:rPr>
                <w:rFonts w:ascii="Arial" w:cs="Arial" w:eastAsia="Arial" w:hAnsi="Arial"/>
                <w:sz w:val="18"/>
                <w:szCs w:val="18"/>
                <w:color w:val="auto"/>
              </w:rPr>
              <w:t>46,803,000 shares issued and outstanding, respectively</w:t>
            </w: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800"/>
              <w:spacing w:after="0" w:line="176" w:lineRule="exact"/>
              <w:rPr>
                <w:sz w:val="20"/>
                <w:szCs w:val="20"/>
                <w:color w:val="auto"/>
              </w:rPr>
            </w:pPr>
            <w:r>
              <w:rPr>
                <w:rFonts w:ascii="Arial" w:cs="Arial" w:eastAsia="Arial" w:hAnsi="Arial"/>
                <w:sz w:val="18"/>
                <w:szCs w:val="18"/>
                <w:color w:val="auto"/>
                <w:w w:val="90"/>
              </w:rPr>
              <w:t>Class B common stock, 0.01 par value per share; 1,000,000 shares authorized; 988,000 shares issued</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and outstanding, respectively; 10 votes per share</w:t>
            </w: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7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489,193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485,332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(357,016)</w:t>
            </w:r>
          </w:p>
        </w:tc>
        <w:tc>
          <w:tcPr>
            <w:tcW w:w="0" w:type="dxa"/>
            <w:vAlign w:val="bottom"/>
          </w:tcPr>
          <w:p>
            <w:pPr>
              <w:spacing w:after="0"/>
              <w:rPr>
                <w:sz w:val="1"/>
                <w:szCs w:val="1"/>
                <w:color w:val="auto"/>
              </w:rPr>
            </w:pPr>
          </w:p>
        </w:tc>
      </w:tr>
      <w:tr>
        <w:trPr>
          <w:trHeight w:val="243"/>
        </w:trPr>
        <w:tc>
          <w:tcPr>
            <w:tcW w:w="8240" w:type="dxa"/>
            <w:vAlign w:val="bottom"/>
          </w:tcPr>
          <w:p>
            <w:pPr>
              <w:ind w:left="7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(14,799)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130,745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122,753</w:t>
            </w:r>
          </w:p>
        </w:tc>
        <w:tc>
          <w:tcPr>
            <w:tcW w:w="0" w:type="dxa"/>
            <w:vAlign w:val="bottom"/>
          </w:tcPr>
          <w:p>
            <w:pPr>
              <w:spacing w:after="0"/>
              <w:rPr>
                <w:sz w:val="1"/>
                <w:szCs w:val="1"/>
                <w:color w:val="auto"/>
              </w:rPr>
            </w:pPr>
          </w:p>
        </w:tc>
      </w:tr>
      <w:tr>
        <w:trPr>
          <w:trHeight w:val="237"/>
        </w:trPr>
        <w:tc>
          <w:tcPr>
            <w:tcW w:w="824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966,971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932,182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49"/>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188,767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187,459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371,676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351,123</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123,462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128,674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251,980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246,434</w:t>
            </w:r>
          </w:p>
        </w:tc>
        <w:tc>
          <w:tcPr>
            <w:tcW w:w="0" w:type="dxa"/>
            <w:vAlign w:val="bottom"/>
          </w:tcPr>
          <w:p>
            <w:pPr>
              <w:spacing w:after="0"/>
              <w:rPr>
                <w:sz w:val="1"/>
                <w:szCs w:val="1"/>
                <w:color w:val="auto"/>
              </w:rPr>
            </w:pP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General and administration</w:t>
            </w:r>
          </w:p>
        </w:tc>
        <w:tc>
          <w:tcPr>
            <w:tcW w:w="3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24,874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22,145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49,226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44,887</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22,076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19,715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43,482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37,204</w:t>
            </w:r>
          </w:p>
        </w:tc>
        <w:tc>
          <w:tcPr>
            <w:tcW w:w="0" w:type="dxa"/>
            <w:vAlign w:val="bottom"/>
          </w:tcPr>
          <w:p>
            <w:pPr>
              <w:spacing w:after="0"/>
              <w:rPr>
                <w:sz w:val="1"/>
                <w:szCs w:val="1"/>
                <w:color w:val="auto"/>
              </w:rPr>
            </w:pP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Southbridge Landfill closure charge</w:t>
            </w:r>
          </w:p>
        </w:tc>
        <w:tc>
          <w:tcPr>
            <w:tcW w:w="3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 from acquisition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1,360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171,323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171,915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347,220</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331,137</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17,444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15,544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24,456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19,986</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5,511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6,155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11,463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4,974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5,554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10,918</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11,682</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12,470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13,538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8,304</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12,113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11,915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13,072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10,201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48,348</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47,464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48,176</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46,693</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460" w:type="dxa"/>
            <w:vAlign w:val="bottom"/>
          </w:tcPr>
          <w:p>
            <w:pPr>
              <w:ind w:left="340"/>
              <w:spacing w:after="0"/>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 attributable to common stockholders: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46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48,563</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48,221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48,411</w:t>
            </w:r>
          </w:p>
        </w:tc>
        <w:tc>
          <w:tcPr>
            <w:tcW w:w="12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47,424</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92"/>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12,113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11,915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13,072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10,201</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loss, before tax:</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Hedging activity:</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540"/>
              <w:spacing w:after="0"/>
              <w:rPr>
                <w:sz w:val="20"/>
                <w:szCs w:val="20"/>
                <w:color w:val="auto"/>
              </w:rPr>
            </w:pPr>
            <w:r>
              <w:rPr>
                <w:rFonts w:ascii="Arial" w:cs="Arial" w:eastAsia="Arial" w:hAnsi="Arial"/>
                <w:sz w:val="18"/>
                <w:szCs w:val="18"/>
                <w:color w:val="auto"/>
              </w:rPr>
              <w:t>Interest rate swap settlements</w:t>
            </w:r>
          </w:p>
        </w:tc>
        <w:tc>
          <w:tcPr>
            <w:tcW w:w="3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(66)</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6"/>
              </w:rPr>
              <w:t>Interest rate swap amounts reclassified into 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r>
      <w:tr>
        <w:trPr>
          <w:trHeight w:val="229"/>
        </w:trPr>
        <w:tc>
          <w:tcPr>
            <w:tcW w:w="5200" w:type="dxa"/>
            <w:vAlign w:val="bottom"/>
          </w:tcPr>
          <w:p>
            <w:pPr>
              <w:ind w:left="540"/>
              <w:spacing w:after="0"/>
              <w:rPr>
                <w:sz w:val="20"/>
                <w:szCs w:val="20"/>
                <w:color w:val="auto"/>
              </w:rPr>
            </w:pPr>
            <w:r>
              <w:rPr>
                <w:rFonts w:ascii="Arial" w:cs="Arial" w:eastAsia="Arial" w:hAnsi="Arial"/>
                <w:sz w:val="18"/>
                <w:szCs w:val="18"/>
                <w:color w:val="auto"/>
              </w:rPr>
              <w:t>Unrealized loss resulting from changes in fair value of</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200" w:type="dxa"/>
            <w:vAlign w:val="bottom"/>
          </w:tcPr>
          <w:p>
            <w:pPr>
              <w:ind w:left="540"/>
              <w:spacing w:after="0"/>
              <w:rPr>
                <w:sz w:val="20"/>
                <w:szCs w:val="20"/>
                <w:color w:val="auto"/>
              </w:rPr>
            </w:pPr>
            <w:r>
              <w:rPr>
                <w:rFonts w:ascii="Arial" w:cs="Arial" w:eastAsia="Arial" w:hAnsi="Arial"/>
                <w:sz w:val="18"/>
                <w:szCs w:val="18"/>
                <w:color w:val="auto"/>
              </w:rPr>
              <w:t>derivative instruments</w:t>
            </w:r>
          </w:p>
        </w:tc>
        <w:tc>
          <w:tcPr>
            <w:tcW w:w="34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(8,812)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(4,335)</w:t>
            </w:r>
          </w:p>
        </w:tc>
      </w:tr>
      <w:tr>
        <w:trPr>
          <w:trHeight w:val="27"/>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before tax</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(4,516)</w:t>
            </w:r>
          </w:p>
        </w:tc>
      </w:tr>
      <w:tr>
        <w:trPr>
          <w:trHeight w:val="243"/>
        </w:trPr>
        <w:tc>
          <w:tcPr>
            <w:tcW w:w="5200" w:type="dxa"/>
            <w:vAlign w:val="bottom"/>
          </w:tcPr>
          <w:p>
            <w:pPr>
              <w:ind w:left="340"/>
              <w:spacing w:after="0"/>
              <w:rPr>
                <w:sz w:val="20"/>
                <w:szCs w:val="20"/>
                <w:color w:val="auto"/>
              </w:rPr>
            </w:pPr>
            <w:r>
              <w:rPr>
                <w:rFonts w:ascii="Arial" w:cs="Arial" w:eastAsia="Arial" w:hAnsi="Arial"/>
                <w:sz w:val="18"/>
                <w:szCs w:val="18"/>
                <w:color w:val="auto"/>
                <w:w w:val="95"/>
              </w:rPr>
              <w:t>Income tax benefit related to items of other comprehensive loss</w:t>
            </w: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(1,569)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(8,758)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(4,516)</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10,544</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8,956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4,314</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5,685</w:t>
            </w:r>
          </w:p>
        </w:tc>
      </w:tr>
      <w:tr>
        <w:trPr>
          <w:trHeight w:val="27"/>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Class A</w:t>
            </w:r>
          </w:p>
        </w:tc>
        <w:tc>
          <w:tcPr>
            <w:tcW w:w="15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Class B</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4"/>
        </w:trPr>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Common Stock</w:t>
            </w:r>
          </w:p>
        </w:tc>
        <w:tc>
          <w:tcPr>
            <w:tcW w:w="100" w:type="dxa"/>
            <w:vAlign w:val="bottom"/>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Common 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w w:val="93"/>
              </w:rPr>
              <w:t>Accumulated Other</w:t>
            </w:r>
          </w:p>
        </w:tc>
      </w:tr>
      <w:tr>
        <w:trPr>
          <w:trHeight w:val="183"/>
        </w:trPr>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Paid-In Capital</w:t>
            </w: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w w:val="85"/>
              </w:rPr>
              <w:t>Comprehensive Loss</w:t>
            </w:r>
          </w:p>
        </w:tc>
      </w:tr>
      <w:tr>
        <w:trPr>
          <w:trHeight w:val="203"/>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98"/>
              </w:rPr>
              <w:t>122,753</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46,803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468</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988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485,332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(357,016)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(6,041)</w:t>
            </w:r>
          </w:p>
        </w:tc>
      </w:tr>
      <w:tr>
        <w:trPr>
          <w:trHeight w:val="197"/>
        </w:trPr>
        <w:tc>
          <w:tcPr>
            <w:tcW w:w="3980" w:type="dxa"/>
            <w:vAlign w:val="bottom"/>
          </w:tcPr>
          <w:p>
            <w:pPr>
              <w:ind w:left="120"/>
              <w:spacing w:after="0"/>
              <w:rPr>
                <w:sz w:val="20"/>
                <w:szCs w:val="20"/>
                <w:color w:val="auto"/>
              </w:rPr>
            </w:pPr>
            <w:r>
              <w:rPr>
                <w:rFonts w:ascii="Arial" w:cs="Arial" w:eastAsia="Arial" w:hAnsi="Arial"/>
                <w:sz w:val="14"/>
                <w:szCs w:val="14"/>
                <w:color w:val="auto"/>
              </w:rPr>
              <w:t>Cumulative effect of new accounting principle</w:t>
            </w:r>
          </w:p>
        </w:tc>
        <w:tc>
          <w:tcPr>
            <w:tcW w:w="120" w:type="dxa"/>
            <w:vAlign w:val="bottom"/>
          </w:tcPr>
          <w:p>
            <w:pPr>
              <w:spacing w:after="0"/>
              <w:rPr>
                <w:sz w:val="17"/>
                <w:szCs w:val="17"/>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Issuances of Class A common stock</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398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1,562</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1,562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Comprehensive 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7"/>
        </w:trPr>
        <w:tc>
          <w:tcPr>
            <w:tcW w:w="398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7"/>
        </w:trPr>
        <w:tc>
          <w:tcPr>
            <w:tcW w:w="3980" w:type="dxa"/>
            <w:vAlign w:val="bottom"/>
          </w:tcPr>
          <w:p>
            <w:pPr>
              <w:ind w:left="340"/>
              <w:spacing w:after="0"/>
              <w:rPr>
                <w:sz w:val="20"/>
                <w:szCs w:val="20"/>
                <w:color w:val="auto"/>
              </w:rPr>
            </w:pPr>
            <w:r>
              <w:rPr>
                <w:rFonts w:ascii="Arial" w:cs="Arial" w:eastAsia="Arial" w:hAnsi="Arial"/>
                <w:sz w:val="14"/>
                <w:szCs w:val="14"/>
                <w:color w:val="auto"/>
              </w:rPr>
              <w:t>Hedging activity</w:t>
            </w:r>
          </w:p>
        </w:tc>
        <w:tc>
          <w:tcPr>
            <w:tcW w:w="120" w:type="dxa"/>
            <w:vAlign w:val="bottom"/>
          </w:tcPr>
          <w:p>
            <w:pPr>
              <w:spacing w:after="0"/>
              <w:rPr>
                <w:sz w:val="17"/>
                <w:szCs w:val="17"/>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(7,189)</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(7,189)</w:t>
            </w:r>
          </w:p>
        </w:tc>
      </w:tr>
      <w:tr>
        <w:trPr>
          <w:trHeight w:val="202"/>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2020</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98"/>
              </w:rPr>
              <w:t>117,996</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47,320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473</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988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486,989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(356,246)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(13,230)</w:t>
            </w:r>
          </w:p>
        </w:tc>
      </w:tr>
      <w:tr>
        <w:trPr>
          <w:trHeight w:val="196"/>
        </w:trPr>
        <w:tc>
          <w:tcPr>
            <w:tcW w:w="3980" w:type="dxa"/>
            <w:vAlign w:val="bottom"/>
          </w:tcPr>
          <w:p>
            <w:pPr>
              <w:ind w:left="120"/>
              <w:spacing w:after="0"/>
              <w:rPr>
                <w:sz w:val="20"/>
                <w:szCs w:val="20"/>
                <w:color w:val="auto"/>
              </w:rPr>
            </w:pPr>
            <w:r>
              <w:rPr>
                <w:rFonts w:ascii="Arial" w:cs="Arial" w:eastAsia="Arial" w:hAnsi="Arial"/>
                <w:sz w:val="14"/>
                <w:szCs w:val="14"/>
                <w:color w:val="auto"/>
              </w:rPr>
              <w:t>Issuance of Class A common stock - acquisition</w:t>
            </w:r>
          </w:p>
        </w:tc>
        <w:tc>
          <w:tcPr>
            <w:tcW w:w="12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9"/>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Issuances of Class A common stock</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398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1,818</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1,818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9"/>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Comprehensive income: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6"/>
        </w:trPr>
        <w:tc>
          <w:tcPr>
            <w:tcW w:w="398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12,113</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12,113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9"/>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6"/>
        </w:trPr>
        <w:tc>
          <w:tcPr>
            <w:tcW w:w="3980" w:type="dxa"/>
            <w:vAlign w:val="bottom"/>
          </w:tcPr>
          <w:p>
            <w:pPr>
              <w:ind w:left="340"/>
              <w:spacing w:after="0"/>
              <w:rPr>
                <w:sz w:val="20"/>
                <w:szCs w:val="20"/>
                <w:color w:val="auto"/>
              </w:rPr>
            </w:pPr>
            <w:r>
              <w:rPr>
                <w:rFonts w:ascii="Arial" w:cs="Arial" w:eastAsia="Arial" w:hAnsi="Arial"/>
                <w:sz w:val="14"/>
                <w:szCs w:val="14"/>
                <w:color w:val="auto"/>
              </w:rPr>
              <w:t>Hedging activity</w:t>
            </w:r>
          </w:p>
        </w:tc>
        <w:tc>
          <w:tcPr>
            <w:tcW w:w="120" w:type="dxa"/>
            <w:vAlign w:val="bottom"/>
          </w:tcPr>
          <w:p>
            <w:pPr>
              <w:spacing w:after="0"/>
              <w:rPr>
                <w:sz w:val="17"/>
                <w:szCs w:val="17"/>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(1,569)</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(1,569)</w:t>
            </w:r>
          </w:p>
        </w:tc>
      </w:tr>
      <w:tr>
        <w:trPr>
          <w:trHeight w:val="227"/>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98"/>
              </w:rPr>
              <w:t>130,745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47,382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988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489,193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(344,133)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(14,799)</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739"/>
        </w:trPr>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Class A</w:t>
            </w:r>
          </w:p>
        </w:tc>
        <w:tc>
          <w:tcPr>
            <w:tcW w:w="15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Class B</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4"/>
        </w:trPr>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Common Stock</w:t>
            </w:r>
          </w:p>
        </w:tc>
        <w:tc>
          <w:tcPr>
            <w:tcW w:w="100" w:type="dxa"/>
            <w:vAlign w:val="bottom"/>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Common 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w w:val="93"/>
              </w:rPr>
              <w:t>Accumulated Other</w:t>
            </w:r>
          </w:p>
        </w:tc>
      </w:tr>
      <w:tr>
        <w:trPr>
          <w:trHeight w:val="182"/>
        </w:trPr>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Paid-In Capital</w:t>
            </w: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w w:val="85"/>
              </w:rPr>
              <w:t>Comprehensive Loss</w:t>
            </w:r>
          </w:p>
        </w:tc>
      </w:tr>
      <w:tr>
        <w:trPr>
          <w:trHeight w:val="203"/>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(15,832)</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41,944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419</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988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373,716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(388,669)</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(1,308)</w:t>
            </w:r>
          </w:p>
        </w:tc>
      </w:tr>
      <w:tr>
        <w:trPr>
          <w:trHeight w:val="197"/>
        </w:trPr>
        <w:tc>
          <w:tcPr>
            <w:tcW w:w="3980" w:type="dxa"/>
            <w:vAlign w:val="bottom"/>
          </w:tcPr>
          <w:p>
            <w:pPr>
              <w:ind w:left="120"/>
              <w:spacing w:after="0"/>
              <w:rPr>
                <w:sz w:val="20"/>
                <w:szCs w:val="20"/>
                <w:color w:val="auto"/>
              </w:rPr>
            </w:pPr>
            <w:r>
              <w:rPr>
                <w:rFonts w:ascii="Arial" w:cs="Arial" w:eastAsia="Arial" w:hAnsi="Arial"/>
                <w:sz w:val="14"/>
                <w:szCs w:val="14"/>
                <w:color w:val="auto"/>
              </w:rPr>
              <w:t>Issuance of Class A common stock - equity offering</w:t>
            </w:r>
          </w:p>
        </w:tc>
        <w:tc>
          <w:tcPr>
            <w:tcW w:w="12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w w:val="98"/>
              </w:rPr>
              <w:t>100,446</w:t>
            </w:r>
          </w:p>
        </w:tc>
        <w:tc>
          <w:tcPr>
            <w:tcW w:w="100" w:type="dxa"/>
            <w:vAlign w:val="bottom"/>
          </w:tcPr>
          <w:p>
            <w:pPr>
              <w:spacing w:after="0"/>
              <w:rPr>
                <w:sz w:val="17"/>
                <w:szCs w:val="17"/>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3,565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100,410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Class A common stock - acquisition</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3980" w:type="dxa"/>
            <w:vAlign w:val="bottom"/>
          </w:tcPr>
          <w:p>
            <w:pPr>
              <w:ind w:left="120"/>
              <w:spacing w:after="0"/>
              <w:rPr>
                <w:sz w:val="20"/>
                <w:szCs w:val="20"/>
                <w:color w:val="auto"/>
              </w:rPr>
            </w:pPr>
            <w:r>
              <w:rPr>
                <w:rFonts w:ascii="Arial" w:cs="Arial" w:eastAsia="Arial" w:hAnsi="Arial"/>
                <w:sz w:val="14"/>
                <w:szCs w:val="14"/>
                <w:color w:val="auto"/>
              </w:rPr>
              <w:t>Issuances of Class A common stock</w:t>
            </w:r>
          </w:p>
        </w:tc>
        <w:tc>
          <w:tcPr>
            <w:tcW w:w="12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7"/>
                <w:szCs w:val="17"/>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676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1,431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3980" w:type="dxa"/>
            <w:vAlign w:val="bottom"/>
          </w:tcPr>
          <w:p>
            <w:pPr>
              <w:ind w:left="120"/>
              <w:spacing w:after="0"/>
              <w:rPr>
                <w:sz w:val="20"/>
                <w:szCs w:val="20"/>
                <w:color w:val="auto"/>
              </w:rPr>
            </w:pPr>
            <w:r>
              <w:rPr>
                <w:rFonts w:ascii="Arial" w:cs="Arial" w:eastAsia="Arial" w:hAnsi="Arial"/>
                <w:sz w:val="14"/>
                <w:szCs w:val="14"/>
                <w:color w:val="auto"/>
              </w:rPr>
              <w:t>Comprehensive loss: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8"/>
        </w:trPr>
        <w:tc>
          <w:tcPr>
            <w:tcW w:w="3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3980" w:type="dxa"/>
            <w:vAlign w:val="bottom"/>
          </w:tcPr>
          <w:p>
            <w:pPr>
              <w:ind w:left="120"/>
              <w:spacing w:after="0"/>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Hedging activity</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(1,557)</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(1,557)</w:t>
            </w:r>
          </w:p>
        </w:tc>
      </w:tr>
      <w:tr>
        <w:trPr>
          <w:trHeight w:val="196"/>
        </w:trPr>
        <w:tc>
          <w:tcPr>
            <w:tcW w:w="3980" w:type="dxa"/>
            <w:vAlign w:val="bottom"/>
          </w:tcPr>
          <w:p>
            <w:pPr>
              <w:ind w:left="20"/>
              <w:spacing w:after="0"/>
              <w:rPr>
                <w:sz w:val="20"/>
                <w:szCs w:val="20"/>
                <w:color w:val="auto"/>
              </w:rPr>
            </w:pPr>
            <w:r>
              <w:rPr>
                <w:rFonts w:ascii="Arial" w:cs="Arial" w:eastAsia="Arial" w:hAnsi="Arial"/>
                <w:sz w:val="14"/>
                <w:szCs w:val="14"/>
                <w:color w:val="auto"/>
              </w:rPr>
              <w:t>Balance, March 31, 2019</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83,034</w:t>
            </w:r>
          </w:p>
        </w:tc>
        <w:tc>
          <w:tcPr>
            <w:tcW w:w="100" w:type="dxa"/>
            <w:vAlign w:val="bottom"/>
          </w:tcPr>
          <w:p>
            <w:pPr>
              <w:spacing w:after="0"/>
              <w:rPr>
                <w:sz w:val="17"/>
                <w:szCs w:val="17"/>
                <w:color w:val="auto"/>
              </w:rPr>
            </w:pP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46,252</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17"/>
                <w:szCs w:val="17"/>
                <w:color w:val="auto"/>
              </w:rPr>
            </w:pPr>
          </w:p>
        </w:tc>
        <w:tc>
          <w:tcPr>
            <w:tcW w:w="6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475,809</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(390,383)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(2,865)</w:t>
            </w:r>
          </w:p>
        </w:tc>
      </w:tr>
      <w:tr>
        <w:trPr>
          <w:trHeight w:val="208"/>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Issuances of Class A common stock</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2,318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2,315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398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2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1,889</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1,889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Comprehensive income: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7"/>
        </w:trPr>
        <w:tc>
          <w:tcPr>
            <w:tcW w:w="398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11,915</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11,915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97"/>
        </w:trPr>
        <w:tc>
          <w:tcPr>
            <w:tcW w:w="3980" w:type="dxa"/>
            <w:vAlign w:val="bottom"/>
          </w:tcPr>
          <w:p>
            <w:pPr>
              <w:ind w:left="340"/>
              <w:spacing w:after="0"/>
              <w:rPr>
                <w:sz w:val="20"/>
                <w:szCs w:val="20"/>
                <w:color w:val="auto"/>
              </w:rPr>
            </w:pPr>
            <w:r>
              <w:rPr>
                <w:rFonts w:ascii="Arial" w:cs="Arial" w:eastAsia="Arial" w:hAnsi="Arial"/>
                <w:sz w:val="14"/>
                <w:szCs w:val="14"/>
                <w:color w:val="auto"/>
              </w:rPr>
              <w:t>Hedging activity</w:t>
            </w:r>
          </w:p>
        </w:tc>
        <w:tc>
          <w:tcPr>
            <w:tcW w:w="120" w:type="dxa"/>
            <w:vAlign w:val="bottom"/>
          </w:tcPr>
          <w:p>
            <w:pPr>
              <w:spacing w:after="0"/>
              <w:rPr>
                <w:sz w:val="17"/>
                <w:szCs w:val="17"/>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(2,959)</w:t>
            </w: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(2,959)</w:t>
            </w:r>
          </w:p>
        </w:tc>
      </w:tr>
      <w:tr>
        <w:trPr>
          <w:trHeight w:val="227"/>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2019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96,197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46,599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988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480,013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(378,468)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(5,824)</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40"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13335</wp:posOffset>
            </wp:positionV>
            <wp:extent cx="1877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13,072</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10,201</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6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43,482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37,204</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Depletion of landfill operating lease obligations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3,623</w:t>
            </w:r>
          </w:p>
        </w:tc>
        <w:tc>
          <w:tcPr>
            <w:tcW w:w="0" w:type="dxa"/>
            <w:vAlign w:val="bottom"/>
          </w:tcPr>
          <w:p>
            <w:pPr>
              <w:spacing w:after="0"/>
              <w:rPr>
                <w:sz w:val="1"/>
                <w:szCs w:val="1"/>
                <w:color w:val="auto"/>
              </w:rPr>
            </w:pPr>
          </w:p>
        </w:tc>
      </w:tr>
      <w:tr>
        <w:trPr>
          <w:trHeight w:val="196"/>
        </w:trPr>
        <w:tc>
          <w:tcPr>
            <w:tcW w:w="8260" w:type="dxa"/>
            <w:vAlign w:val="bottom"/>
          </w:tcPr>
          <w:p>
            <w:pPr>
              <w:ind w:left="340"/>
              <w:spacing w:after="0"/>
              <w:rPr>
                <w:sz w:val="20"/>
                <w:szCs w:val="20"/>
                <w:color w:val="auto"/>
              </w:rPr>
            </w:pPr>
            <w:r>
              <w:rPr>
                <w:rFonts w:ascii="Arial" w:cs="Arial" w:eastAsia="Arial" w:hAnsi="Arial"/>
                <w:sz w:val="14"/>
                <w:szCs w:val="14"/>
                <w:color w:val="auto"/>
              </w:rPr>
              <w:t>Interest accretion on landfill and environmental remediation liabilities</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3,542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3,579</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debt issuance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196"/>
        </w:trPr>
        <w:tc>
          <w:tcPr>
            <w:tcW w:w="826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3,380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3,320</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Operating lease right-of-use assets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4,921</w:t>
            </w:r>
          </w:p>
        </w:tc>
        <w:tc>
          <w:tcPr>
            <w:tcW w:w="0" w:type="dxa"/>
            <w:vAlign w:val="bottom"/>
          </w:tcPr>
          <w:p>
            <w:pPr>
              <w:spacing w:after="0"/>
              <w:rPr>
                <w:sz w:val="1"/>
                <w:szCs w:val="1"/>
                <w:color w:val="auto"/>
              </w:rPr>
            </w:pPr>
          </w:p>
        </w:tc>
      </w:tr>
      <w:tr>
        <w:trPr>
          <w:trHeight w:val="196"/>
        </w:trPr>
        <w:tc>
          <w:tcPr>
            <w:tcW w:w="8260" w:type="dxa"/>
            <w:vAlign w:val="bottom"/>
          </w:tcPr>
          <w:p>
            <w:pPr>
              <w:ind w:left="340"/>
              <w:spacing w:after="0"/>
              <w:rPr>
                <w:sz w:val="20"/>
                <w:szCs w:val="20"/>
                <w:color w:val="auto"/>
              </w:rPr>
            </w:pPr>
            <w:r>
              <w:rPr>
                <w:rFonts w:ascii="Arial" w:cs="Arial" w:eastAsia="Arial" w:hAnsi="Arial"/>
                <w:sz w:val="14"/>
                <w:szCs w:val="14"/>
                <w:color w:val="auto"/>
              </w:rPr>
              <w:t>Loss (gain) on sale of property and equipment</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Southbridge Landfill non-cash closure charge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96"/>
        </w:trPr>
        <w:tc>
          <w:tcPr>
            <w:tcW w:w="8260" w:type="dxa"/>
            <w:vAlign w:val="bottom"/>
          </w:tcPr>
          <w:p>
            <w:pPr>
              <w:ind w:left="340"/>
              <w:spacing w:after="0"/>
              <w:rPr>
                <w:sz w:val="20"/>
                <w:szCs w:val="20"/>
                <w:color w:val="auto"/>
              </w:rPr>
            </w:pPr>
            <w:r>
              <w:rPr>
                <w:rFonts w:ascii="Arial" w:cs="Arial" w:eastAsia="Arial" w:hAnsi="Arial"/>
                <w:sz w:val="14"/>
                <w:szCs w:val="14"/>
                <w:color w:val="auto"/>
              </w:rPr>
              <w:t>Non-cash expense from acquisition activities</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196"/>
        </w:trPr>
        <w:tc>
          <w:tcPr>
            <w:tcW w:w="8260" w:type="dxa"/>
            <w:vAlign w:val="bottom"/>
          </w:tcPr>
          <w:p>
            <w:pPr>
              <w:ind w:left="340"/>
              <w:spacing w:after="0"/>
              <w:rPr>
                <w:sz w:val="20"/>
                <w:szCs w:val="20"/>
                <w:color w:val="auto"/>
              </w:rPr>
            </w:pPr>
            <w:r>
              <w:rPr>
                <w:rFonts w:ascii="Arial" w:cs="Arial" w:eastAsia="Arial" w:hAnsi="Arial"/>
                <w:sz w:val="14"/>
                <w:szCs w:val="14"/>
                <w:color w:val="auto"/>
              </w:rPr>
              <w:t>Changes in assets and liabilities, net of effects of acquisitions and divestitures: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receivable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(10,057)</w:t>
            </w:r>
          </w:p>
        </w:tc>
        <w:tc>
          <w:tcPr>
            <w:tcW w:w="0" w:type="dxa"/>
            <w:vAlign w:val="bottom"/>
          </w:tcPr>
          <w:p>
            <w:pPr>
              <w:spacing w:after="0"/>
              <w:rPr>
                <w:sz w:val="1"/>
                <w:szCs w:val="1"/>
                <w:color w:val="auto"/>
              </w:rPr>
            </w:pPr>
          </w:p>
        </w:tc>
      </w:tr>
      <w:tr>
        <w:trPr>
          <w:trHeight w:val="196"/>
        </w:trPr>
        <w:tc>
          <w:tcPr>
            <w:tcW w:w="8260" w:type="dxa"/>
            <w:vAlign w:val="bottom"/>
          </w:tcPr>
          <w:p>
            <w:pPr>
              <w:ind w:left="660"/>
              <w:spacing w:after="0"/>
              <w:rPr>
                <w:sz w:val="20"/>
                <w:szCs w:val="20"/>
                <w:color w:val="auto"/>
              </w:rPr>
            </w:pPr>
            <w:r>
              <w:rPr>
                <w:rFonts w:ascii="Arial" w:cs="Arial" w:eastAsia="Arial" w:hAnsi="Arial"/>
                <w:sz w:val="14"/>
                <w:szCs w:val="14"/>
                <w:color w:val="auto"/>
              </w:rPr>
              <w:t>Landfill operating lease contract expenditures</w:t>
            </w: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(2,140)</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3,995</w:t>
            </w:r>
          </w:p>
        </w:tc>
        <w:tc>
          <w:tcPr>
            <w:tcW w:w="0" w:type="dxa"/>
            <w:vAlign w:val="bottom"/>
          </w:tcPr>
          <w:p>
            <w:pPr>
              <w:spacing w:after="0"/>
              <w:rPr>
                <w:sz w:val="1"/>
                <w:szCs w:val="1"/>
                <w:color w:val="auto"/>
              </w:rPr>
            </w:pPr>
          </w:p>
        </w:tc>
      </w:tr>
      <w:tr>
        <w:trPr>
          <w:trHeight w:val="196"/>
        </w:trPr>
        <w:tc>
          <w:tcPr>
            <w:tcW w:w="8260" w:type="dxa"/>
            <w:vAlign w:val="bottom"/>
          </w:tcPr>
          <w:p>
            <w:pPr>
              <w:ind w:left="660"/>
              <w:spacing w:after="0"/>
              <w:rPr>
                <w:sz w:val="20"/>
                <w:szCs w:val="20"/>
                <w:color w:val="auto"/>
              </w:rPr>
            </w:pPr>
            <w:r>
              <w:rPr>
                <w:rFonts w:ascii="Arial" w:cs="Arial" w:eastAsia="Arial" w:hAnsi="Arial"/>
                <w:sz w:val="14"/>
                <w:szCs w:val="14"/>
                <w:color w:val="auto"/>
              </w:rPr>
              <w:t>Prepaid expenses, inventories and other assets</w:t>
            </w: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(2,309)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(2,975)</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Accrued expenses, contract liabilities and 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(12,788)</w:t>
            </w: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62,493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38,251</w:t>
            </w:r>
          </w:p>
        </w:tc>
        <w:tc>
          <w:tcPr>
            <w:tcW w:w="0" w:type="dxa"/>
            <w:vAlign w:val="bottom"/>
          </w:tcPr>
          <w:p>
            <w:pPr>
              <w:spacing w:after="0"/>
              <w:rPr>
                <w:sz w:val="1"/>
                <w:szCs w:val="1"/>
                <w:color w:val="auto"/>
              </w:rPr>
            </w:pPr>
          </w:p>
        </w:tc>
      </w:tr>
      <w:tr>
        <w:trPr>
          <w:trHeight w:val="188"/>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260" w:type="dxa"/>
            <w:vAlign w:val="bottom"/>
          </w:tcPr>
          <w:p>
            <w:pPr>
              <w:ind w:left="340"/>
              <w:spacing w:after="0"/>
              <w:rPr>
                <w:sz w:val="20"/>
                <w:szCs w:val="20"/>
                <w:color w:val="auto"/>
              </w:rPr>
            </w:pPr>
            <w:r>
              <w:rPr>
                <w:rFonts w:ascii="Arial" w:cs="Arial" w:eastAsia="Arial" w:hAnsi="Arial"/>
                <w:sz w:val="14"/>
                <w:szCs w:val="14"/>
                <w:color w:val="auto"/>
              </w:rPr>
              <w:t>Acquisitions, net of cash acquired</w:t>
            </w: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(20,091)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(27,687)</w:t>
            </w: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Additions to property, plant and equipment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(46,659)</w:t>
            </w:r>
          </w:p>
        </w:tc>
        <w:tc>
          <w:tcPr>
            <w:tcW w:w="0" w:type="dxa"/>
            <w:vAlign w:val="bottom"/>
          </w:tcPr>
          <w:p>
            <w:pPr>
              <w:spacing w:after="0"/>
              <w:rPr>
                <w:sz w:val="1"/>
                <w:szCs w:val="1"/>
                <w:color w:val="auto"/>
              </w:rPr>
            </w:pPr>
          </w:p>
        </w:tc>
      </w:tr>
      <w:tr>
        <w:trPr>
          <w:trHeight w:val="197"/>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Proceeds from sale of property and equipment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(71,461)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(73,983)</w:t>
            </w:r>
          </w:p>
        </w:tc>
        <w:tc>
          <w:tcPr>
            <w:tcW w:w="0" w:type="dxa"/>
            <w:vAlign w:val="bottom"/>
          </w:tcPr>
          <w:p>
            <w:pPr>
              <w:spacing w:after="0"/>
              <w:rPr>
                <w:sz w:val="1"/>
                <w:szCs w:val="1"/>
                <w:color w:val="auto"/>
              </w:rPr>
            </w:pPr>
          </w:p>
        </w:tc>
      </w:tr>
      <w:tr>
        <w:trPr>
          <w:trHeight w:val="177"/>
        </w:trPr>
        <w:tc>
          <w:tcPr>
            <w:tcW w:w="826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debt borrowings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91,200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41,400</w:t>
            </w:r>
          </w:p>
        </w:tc>
        <w:tc>
          <w:tcPr>
            <w:tcW w:w="0" w:type="dxa"/>
            <w:vAlign w:val="bottom"/>
          </w:tcPr>
          <w:p>
            <w:pPr>
              <w:spacing w:after="0"/>
              <w:rPr>
                <w:sz w:val="1"/>
                <w:szCs w:val="1"/>
                <w:color w:val="auto"/>
              </w:rPr>
            </w:pPr>
          </w:p>
        </w:tc>
      </w:tr>
      <w:tr>
        <w:trPr>
          <w:trHeight w:val="197"/>
        </w:trPr>
        <w:tc>
          <w:tcPr>
            <w:tcW w:w="8260" w:type="dxa"/>
            <w:vAlign w:val="bottom"/>
          </w:tcPr>
          <w:p>
            <w:pPr>
              <w:ind w:left="340"/>
              <w:spacing w:after="0"/>
              <w:rPr>
                <w:sz w:val="20"/>
                <w:szCs w:val="20"/>
                <w:color w:val="auto"/>
              </w:rPr>
            </w:pPr>
            <w:r>
              <w:rPr>
                <w:rFonts w:ascii="Arial" w:cs="Arial" w:eastAsia="Arial" w:hAnsi="Arial"/>
                <w:sz w:val="14"/>
                <w:szCs w:val="14"/>
                <w:color w:val="auto"/>
              </w:rPr>
              <w:t>Principal payments on debt</w:t>
            </w: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(82,719)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(109,241)</w:t>
            </w: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Payments of debt issuance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260" w:type="dxa"/>
            <w:vAlign w:val="bottom"/>
          </w:tcPr>
          <w:p>
            <w:pPr>
              <w:ind w:left="340"/>
              <w:spacing w:after="0"/>
              <w:rPr>
                <w:sz w:val="20"/>
                <w:szCs w:val="20"/>
                <w:color w:val="auto"/>
              </w:rPr>
            </w:pPr>
            <w:r>
              <w:rPr>
                <w:rFonts w:ascii="Arial" w:cs="Arial" w:eastAsia="Arial" w:hAnsi="Arial"/>
                <w:sz w:val="14"/>
                <w:szCs w:val="14"/>
                <w:color w:val="auto"/>
              </w:rPr>
              <w:t>Proceeds from the exercise of share based awards</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2,277</w:t>
            </w: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the public issuance of Class A Common Stock</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100,446</w:t>
            </w: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8,570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34,882</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3,471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4,007</w:t>
            </w:r>
          </w:p>
        </w:tc>
        <w:tc>
          <w:tcPr>
            <w:tcW w:w="0" w:type="dxa"/>
            <w:vAlign w:val="bottom"/>
          </w:tcPr>
          <w:p>
            <w:pPr>
              <w:spacing w:after="0"/>
              <w:rPr>
                <w:sz w:val="1"/>
                <w:szCs w:val="1"/>
                <w:color w:val="auto"/>
              </w:rPr>
            </w:pPr>
          </w:p>
        </w:tc>
      </w:tr>
      <w:tr>
        <w:trPr>
          <w:trHeight w:val="22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3,073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3,157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paid during the period for: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260" w:type="dxa"/>
            <w:vAlign w:val="bottom"/>
          </w:tcPr>
          <w:p>
            <w:pPr>
              <w:ind w:left="660"/>
              <w:spacing w:after="0"/>
              <w:rPr>
                <w:sz w:val="20"/>
                <w:szCs w:val="20"/>
                <w:color w:val="auto"/>
              </w:rPr>
            </w:pPr>
            <w:r>
              <w:rPr>
                <w:rFonts w:ascii="Arial" w:cs="Arial" w:eastAsia="Arial" w:hAnsi="Arial"/>
                <w:sz w:val="14"/>
                <w:szCs w:val="14"/>
                <w:color w:val="auto"/>
              </w:rPr>
              <w:t>Interest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10,733</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11,672</w:t>
            </w: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Income taxes, net of refunds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7"/>
        </w:trPr>
        <w:tc>
          <w:tcPr>
            <w:tcW w:w="8260" w:type="dxa"/>
            <w:vAlign w:val="bottom"/>
          </w:tcPr>
          <w:p>
            <w:pPr>
              <w:ind w:left="2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Non-current assets obtained through long-term obligations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9,333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Casella Waste Systems, Inc. (“Parent”), and its consolidated subsidiaries (collectively, “we”, “us” or “our”), is a regional, vertically integrated solid waste services company that provides collection, transfer, disposal, landfill, landfill gas-to-energy, recycling and organics services in the northeastern United States. We market recyclable metals, aluminum, plastics, paper, and corrugated cardboard, which have been processed at our recycling facilities, as well as recyclables purchased from third-parties. Effective January 1, 2020, we reorganized our operations to consist of a single resource-renewal focused operation by combining our larger-scale recycling and commodity brokerage operations along with our organics services and major account and industrial services into our Resource Solutions segment. We continue to manage our solid waste operations on a geographic basis through two regional operating segments, the Eastern and Western regions, each of which provides a full range of solid waste services. Legal, tax, information technology, human resources, certain finance and accounting and other administrative functions are included in our Corporate Entities segment. Segment information reported in the three and six months ended June 30, 2019 and as of December 31, 2019 has been reclassified to conform with the three and six months ended June 30, 2020 and as of June 30, 2020 presentation.</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of our Annual Report on Form 10-K for the fiscal year ended December 31, 2019, which was filed with the SEC on February 21, 2020.</w:t>
      </w:r>
    </w:p>
    <w:p>
      <w:pPr>
        <w:spacing w:after="0" w:line="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which include normal recurring and nonrecurring adjustments, necessary for a fair presentation of the financial position, results of operations and cash flows for the periods presented. The results for the three and six months ended June 30, 2020 may not be indicative of the results for any other interim period or the entire fiscal year. The consolidated financial statements presented herein should be read in conjunction with our audited consolidated financial statements included in our Annual Report on Form 10-K for the fiscal year ended December 31, 2019.</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With the global outbreak of the novel coronavirus ("COVID-19") and the declaration of a pandemic by the World Health Organization in March 2020, the U.S. Government and all of the states in which we operate have declared the waste services industry as an essential services provider and as a result we are committed to continue to operate and provide our full breadth of services. We have prioritized the safety and well-being of our employees by strictly adhering to recommendations of the Centers for Disease Control and Prevention as well as executive orders of the states in which we operate.</w:t>
      </w:r>
    </w:p>
    <w:p>
      <w:pPr>
        <w:spacing w:after="0" w:line="4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COVID-19 outbreak has caused, and is likely to continue to cause, significant economic disruption across our geographic footprint and has adversely affected, and is expected to continue to adversely affect, our business. COVID-19 negatively impacted our revenues starting at the end of the quarter ended March 31, 2020 as many collection customers required service level changes and volumes into our landfills declined. We did experience improved demand for services in the quarter ended June 30, 2020 as local economies started to reopen as allowed by State Governments. This demand has continued to grow at a fairly steady rate, but our collection and disposal operations remain negatively impacted by lower volumes attributable to COVID-19. We continue to experience increased costs associated with the protection of our employees including costs for additional safety equipment, hygiene products and enhanced facility cleaning. These costs are expected to continue throughout the remainder of the year. We have taken measures to reduce costs in other areas and preserve liquidity during this period of uncertainty. As of the date of this filing, we are unable to determine or predict the nature, duration or scope of the overall impact that COVID-19 will have on our business, results of operations, liquidity and capital resources.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evaluated subsequent events or transactions that have occurred after the consolidated balance sheet date of June 30, 2020 through the date of filing of the consolidated financial statements with the SEC on this Quarterly Report on Form 10-Q. We have determined that there are no subsequent events that require disclosure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CHANGES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 table providing a brief description of recent Accounting Standards Updates ("ASUs") to the Accounting Standards Codification (“ASC”) issued by the Financial Accounting Standards Board (“FASB”) that we adopted and deemed to have a material impact on our consolidated financial statements based on current account balances and activity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26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Description</w:t>
            </w:r>
          </w:p>
        </w:tc>
        <w:tc>
          <w:tcPr>
            <w:tcW w:w="4540" w:type="dxa"/>
            <w:vAlign w:val="bottom"/>
          </w:tcPr>
          <w:p>
            <w:pPr>
              <w:jc w:val="center"/>
              <w:ind w:left="468"/>
              <w:spacing w:after="0"/>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auto"/>
            </w:tcBorders>
            <w:vMerge w:val="continue"/>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454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5"/>
              </w:rPr>
              <w:t>Significant Matters</w:t>
            </w:r>
          </w:p>
        </w:tc>
        <w:tc>
          <w:tcPr>
            <w:tcW w:w="0" w:type="dxa"/>
            <w:vAlign w:val="bottom"/>
          </w:tcPr>
          <w:p>
            <w:pPr>
              <w:spacing w:after="0"/>
              <w:rPr>
                <w:sz w:val="1"/>
                <w:szCs w:val="1"/>
                <w:color w:val="auto"/>
              </w:rPr>
            </w:pPr>
          </w:p>
        </w:tc>
      </w:tr>
      <w:tr>
        <w:trPr>
          <w:trHeight w:val="190"/>
        </w:trPr>
        <w:tc>
          <w:tcPr>
            <w:tcW w:w="4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Accounting standards adopted effective January 1, 2020</w:t>
            </w:r>
          </w:p>
        </w:tc>
        <w:tc>
          <w:tcPr>
            <w:tcW w:w="26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40"/>
          </w:cols>
          <w:pgMar w:left="320" w:top="999" w:right="339" w:bottom="1440" w:gutter="0" w:footer="0" w:header="0"/>
        </w:sectPr>
      </w:pPr>
    </w:p>
    <w:p>
      <w:pPr>
        <w:spacing w:after="0" w:line="4" w:lineRule="exact"/>
        <w:rPr>
          <w:sz w:val="20"/>
          <w:szCs w:val="20"/>
          <w:color w:val="auto"/>
        </w:rPr>
      </w:pPr>
    </w:p>
    <w:p>
      <w:pPr>
        <w:ind w:left="20"/>
        <w:spacing w:after="0" w:line="237" w:lineRule="auto"/>
        <w:rPr>
          <w:sz w:val="20"/>
          <w:szCs w:val="20"/>
          <w:color w:val="auto"/>
        </w:rPr>
      </w:pPr>
      <w:r>
        <w:rPr>
          <w:rFonts w:ascii="Arial" w:cs="Arial" w:eastAsia="Arial" w:hAnsi="Arial"/>
          <w:sz w:val="17"/>
          <w:szCs w:val="17"/>
          <w:color w:val="auto"/>
        </w:rPr>
        <w:t>ASU No. 2016-13, as amended through March 2020: Financial Instrument Credit Losses (Topic 326)</w:t>
      </w:r>
    </w:p>
    <w:p>
      <w:pPr>
        <w:spacing w:after="0" w:line="20" w:lineRule="exact"/>
        <w:rPr>
          <w:sz w:val="20"/>
          <w:szCs w:val="20"/>
          <w:color w:val="auto"/>
        </w:rPr>
      </w:pPr>
      <w:r>
        <w:rPr>
          <w:sz w:val="20"/>
          <w:szCs w:val="20"/>
          <w:color w:val="auto"/>
        </w:rPr>
        <w:br w:type="column"/>
      </w:r>
    </w:p>
    <w:p>
      <w:pPr>
        <w:spacing w:after="0" w:line="301" w:lineRule="auto"/>
        <w:rPr>
          <w:sz w:val="20"/>
          <w:szCs w:val="20"/>
          <w:color w:val="auto"/>
        </w:rPr>
      </w:pPr>
      <w:r>
        <w:rPr>
          <w:rFonts w:ascii="Arial" w:cs="Arial" w:eastAsia="Arial" w:hAnsi="Arial"/>
          <w:sz w:val="16"/>
          <w:szCs w:val="16"/>
          <w:color w:val="auto"/>
        </w:rPr>
        <w:t>Requires that an entity measures all of its expected credit losses for financial assets held based on historical experience, current conditions, and reasonable and supportable forecasts.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We adopted this guidance effective January 1, 2020</w:t>
      </w:r>
    </w:p>
    <w:p>
      <w:pPr>
        <w:spacing w:after="0" w:line="215" w:lineRule="auto"/>
        <w:rPr>
          <w:sz w:val="20"/>
          <w:szCs w:val="20"/>
          <w:color w:val="auto"/>
        </w:rPr>
      </w:pPr>
      <w:r>
        <w:rPr>
          <w:rFonts w:ascii="Arial" w:cs="Arial" w:eastAsia="Arial" w:hAnsi="Arial"/>
          <w:sz w:val="17"/>
          <w:szCs w:val="17"/>
          <w:color w:val="auto"/>
        </w:rPr>
        <w:t>using the required modified-retrospective approach.</w:t>
      </w:r>
    </w:p>
    <w:p>
      <w:pPr>
        <w:spacing w:after="0" w:line="203" w:lineRule="auto"/>
        <w:rPr>
          <w:sz w:val="20"/>
          <w:szCs w:val="20"/>
          <w:color w:val="auto"/>
        </w:rPr>
      </w:pPr>
      <w:r>
        <w:rPr>
          <w:rFonts w:ascii="Arial" w:cs="Arial" w:eastAsia="Arial" w:hAnsi="Arial"/>
          <w:sz w:val="18"/>
          <w:szCs w:val="18"/>
          <w:color w:val="auto"/>
        </w:rPr>
        <w:t>We recognized a cumulative effect adjustment of</w:t>
      </w:r>
    </w:p>
    <w:p>
      <w:pPr>
        <w:spacing w:after="0" w:line="229" w:lineRule="auto"/>
        <w:rPr>
          <w:sz w:val="20"/>
          <w:szCs w:val="20"/>
          <w:color w:val="auto"/>
        </w:rPr>
      </w:pPr>
      <w:r>
        <w:rPr>
          <w:rFonts w:ascii="Arial" w:cs="Arial" w:eastAsia="Arial" w:hAnsi="Arial"/>
          <w:sz w:val="16"/>
          <w:szCs w:val="16"/>
          <w:color w:val="auto"/>
        </w:rPr>
        <w:t>$(189) to retained earnings upon implementation. This</w:t>
      </w:r>
    </w:p>
    <w:p>
      <w:pPr>
        <w:spacing w:after="0" w:line="229" w:lineRule="auto"/>
        <w:rPr>
          <w:sz w:val="20"/>
          <w:szCs w:val="20"/>
          <w:color w:val="auto"/>
        </w:rPr>
      </w:pPr>
      <w:r>
        <w:rPr>
          <w:rFonts w:ascii="Arial" w:cs="Arial" w:eastAsia="Arial" w:hAnsi="Arial"/>
          <w:sz w:val="16"/>
          <w:szCs w:val="16"/>
          <w:color w:val="auto"/>
        </w:rPr>
        <w:t>guidance replaces the incurred loss methodology with</w:t>
      </w:r>
    </w:p>
    <w:p>
      <w:pPr>
        <w:spacing w:after="0" w:line="216" w:lineRule="auto"/>
        <w:rPr>
          <w:sz w:val="20"/>
          <w:szCs w:val="20"/>
          <w:color w:val="auto"/>
        </w:rPr>
      </w:pPr>
      <w:r>
        <w:rPr>
          <w:rFonts w:ascii="Arial" w:cs="Arial" w:eastAsia="Arial" w:hAnsi="Arial"/>
          <w:sz w:val="17"/>
          <w:szCs w:val="17"/>
          <w:color w:val="auto"/>
        </w:rPr>
        <w:t>an expected loss methodology that is referred to as</w:t>
      </w:r>
    </w:p>
    <w:p>
      <w:pPr>
        <w:spacing w:after="0" w:line="215" w:lineRule="auto"/>
        <w:rPr>
          <w:sz w:val="20"/>
          <w:szCs w:val="20"/>
          <w:color w:val="auto"/>
        </w:rPr>
      </w:pPr>
      <w:r>
        <w:rPr>
          <w:rFonts w:ascii="Arial" w:cs="Arial" w:eastAsia="Arial" w:hAnsi="Arial"/>
          <w:sz w:val="17"/>
          <w:szCs w:val="17"/>
          <w:color w:val="auto"/>
        </w:rPr>
        <w:t>current expected credit loss ("CECL") methodology.</w:t>
      </w:r>
    </w:p>
    <w:p>
      <w:pPr>
        <w:spacing w:after="0" w:line="216" w:lineRule="auto"/>
        <w:rPr>
          <w:sz w:val="20"/>
          <w:szCs w:val="20"/>
          <w:color w:val="auto"/>
        </w:rPr>
      </w:pPr>
      <w:r>
        <w:rPr>
          <w:rFonts w:ascii="Arial" w:cs="Arial" w:eastAsia="Arial" w:hAnsi="Arial"/>
          <w:sz w:val="17"/>
          <w:szCs w:val="17"/>
          <w:color w:val="auto"/>
        </w:rPr>
        <w:t>CECL requires consideration of past events, current</w:t>
      </w:r>
    </w:p>
    <w:p>
      <w:pPr>
        <w:spacing w:after="0" w:line="229" w:lineRule="auto"/>
        <w:rPr>
          <w:sz w:val="20"/>
          <w:szCs w:val="20"/>
          <w:color w:val="auto"/>
        </w:rPr>
      </w:pPr>
      <w:r>
        <w:rPr>
          <w:rFonts w:ascii="Arial" w:cs="Arial" w:eastAsia="Arial" w:hAnsi="Arial"/>
          <w:sz w:val="16"/>
          <w:szCs w:val="16"/>
          <w:color w:val="auto"/>
        </w:rPr>
        <w:t>conditions, and reasonable and supportable forecasts</w:t>
      </w:r>
    </w:p>
    <w:p>
      <w:pPr>
        <w:spacing w:after="0" w:line="229" w:lineRule="auto"/>
        <w:rPr>
          <w:sz w:val="20"/>
          <w:szCs w:val="20"/>
          <w:color w:val="auto"/>
        </w:rPr>
      </w:pPr>
      <w:r>
        <w:rPr>
          <w:rFonts w:ascii="Arial" w:cs="Arial" w:eastAsia="Arial" w:hAnsi="Arial"/>
          <w:sz w:val="16"/>
          <w:szCs w:val="16"/>
          <w:color w:val="auto"/>
        </w:rPr>
        <w:t>about the future to assess credit loss estimates and will</w:t>
      </w:r>
    </w:p>
    <w:p>
      <w:pPr>
        <w:spacing w:after="0" w:line="203" w:lineRule="auto"/>
        <w:rPr>
          <w:sz w:val="20"/>
          <w:szCs w:val="20"/>
          <w:color w:val="auto"/>
        </w:rPr>
      </w:pPr>
      <w:r>
        <w:rPr>
          <w:rFonts w:ascii="Arial" w:cs="Arial" w:eastAsia="Arial" w:hAnsi="Arial"/>
          <w:sz w:val="18"/>
          <w:szCs w:val="18"/>
          <w:color w:val="auto"/>
        </w:rPr>
        <w:t>generally result in the earlier recognition of an</w:t>
      </w:r>
    </w:p>
    <w:p>
      <w:pPr>
        <w:spacing w:after="0" w:line="204" w:lineRule="auto"/>
        <w:rPr>
          <w:sz w:val="20"/>
          <w:szCs w:val="20"/>
          <w:color w:val="auto"/>
        </w:rPr>
      </w:pPr>
      <w:r>
        <w:rPr>
          <w:rFonts w:ascii="Arial" w:cs="Arial" w:eastAsia="Arial" w:hAnsi="Arial"/>
          <w:sz w:val="18"/>
          <w:szCs w:val="18"/>
          <w:color w:val="auto"/>
        </w:rPr>
        <w:t>allowance for credit losses. We have updated our</w:t>
      </w:r>
    </w:p>
    <w:p>
      <w:pPr>
        <w:spacing w:after="0" w:line="203" w:lineRule="auto"/>
        <w:rPr>
          <w:sz w:val="20"/>
          <w:szCs w:val="20"/>
          <w:color w:val="auto"/>
        </w:rPr>
      </w:pPr>
      <w:r>
        <w:rPr>
          <w:rFonts w:ascii="Arial" w:cs="Arial" w:eastAsia="Arial" w:hAnsi="Arial"/>
          <w:sz w:val="18"/>
          <w:szCs w:val="18"/>
          <w:color w:val="auto"/>
        </w:rPr>
        <w:t>business processes and systems and controls to</w:t>
      </w:r>
    </w:p>
    <w:p>
      <w:pPr>
        <w:spacing w:after="0" w:line="204" w:lineRule="auto"/>
        <w:rPr>
          <w:sz w:val="20"/>
          <w:szCs w:val="20"/>
          <w:color w:val="auto"/>
        </w:rPr>
      </w:pPr>
      <w:r>
        <w:rPr>
          <w:rFonts w:ascii="Arial" w:cs="Arial" w:eastAsia="Arial" w:hAnsi="Arial"/>
          <w:sz w:val="18"/>
          <w:szCs w:val="18"/>
          <w:color w:val="auto"/>
        </w:rPr>
        <w:t>support recognition and disclosure under the new</w:t>
      </w:r>
    </w:p>
    <w:p>
      <w:pPr>
        <w:spacing w:after="0" w:line="215" w:lineRule="auto"/>
        <w:rPr>
          <w:sz w:val="20"/>
          <w:szCs w:val="20"/>
          <w:color w:val="auto"/>
        </w:rPr>
      </w:pPr>
      <w:r>
        <w:rPr>
          <w:rFonts w:ascii="Arial" w:cs="Arial" w:eastAsia="Arial" w:hAnsi="Arial"/>
          <w:sz w:val="17"/>
          <w:szCs w:val="17"/>
          <w:color w:val="auto"/>
        </w:rPr>
        <w:t>guidance. See Note 5, Accounts Receivable, Net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Allowance for Credit Losses for additional disclosure.</w:t>
      </w:r>
    </w:p>
    <w:p>
      <w:pPr>
        <w:spacing w:after="0" w:line="200" w:lineRule="exact"/>
        <w:rPr>
          <w:sz w:val="20"/>
          <w:szCs w:val="20"/>
          <w:color w:val="auto"/>
        </w:rPr>
      </w:pPr>
    </w:p>
    <w:p>
      <w:pPr>
        <w:sectPr>
          <w:pgSz w:w="11900" w:h="16838" w:orient="portrait"/>
          <w:cols w:equalWidth="0" w:num="3">
            <w:col w:w="2980" w:space="200"/>
            <w:col w:w="3660" w:space="420"/>
            <w:col w:w="3980"/>
          </w:cols>
          <w:pgMar w:left="320" w:top="999" w:right="339" w:bottom="1440" w:gutter="0" w:footer="0" w:header="0"/>
          <w:type w:val="continuous"/>
        </w:sectPr>
      </w:pPr>
    </w:p>
    <w:p>
      <w:pPr>
        <w:spacing w:after="0" w:line="275"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A table providing a brief description of recent ASUs to the ASC issued by the FASB that are pending adoption and deemed to have a possible material impact on our consolidated financial statements based on current account balances and activity follows:</w:t>
      </w:r>
    </w:p>
    <w:tbl>
      <w:tblPr>
        <w:tblLayout w:type="fixed"/>
        <w:tblInd w:w="0" w:type="dxa"/>
        <w:tblCellMar>
          <w:top w:w="0" w:type="dxa"/>
          <w:left w:w="0" w:type="dxa"/>
          <w:bottom w:w="0" w:type="dxa"/>
          <w:right w:w="0" w:type="dxa"/>
        </w:tblCellMar>
      </w:tblPr>
      <w:tr>
        <w:trPr>
          <w:trHeight w:val="150"/>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404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Description</w:t>
            </w:r>
          </w:p>
        </w:tc>
        <w:tc>
          <w:tcPr>
            <w:tcW w:w="4140" w:type="dxa"/>
            <w:vAlign w:val="bottom"/>
          </w:tcPr>
          <w:p>
            <w:pPr>
              <w:ind w:left="800"/>
              <w:spacing w:after="0" w:line="150" w:lineRule="exact"/>
              <w:rPr>
                <w:sz w:val="20"/>
                <w:szCs w:val="20"/>
                <w:color w:val="auto"/>
              </w:rPr>
            </w:pPr>
            <w:r>
              <w:rPr>
                <w:rFonts w:ascii="Arial" w:cs="Arial" w:eastAsia="Arial" w:hAnsi="Arial"/>
                <w:sz w:val="14"/>
                <w:szCs w:val="14"/>
                <w:b w:val="1"/>
                <w:bCs w:val="1"/>
                <w:color w:val="auto"/>
              </w:rPr>
              <w:t>Effect on the Financial Statements or Other</w:t>
            </w:r>
          </w:p>
        </w:tc>
        <w:tc>
          <w:tcPr>
            <w:tcW w:w="0" w:type="dxa"/>
            <w:vAlign w:val="bottom"/>
          </w:tcPr>
          <w:p>
            <w:pPr>
              <w:spacing w:after="0"/>
              <w:rPr>
                <w:sz w:val="1"/>
                <w:szCs w:val="1"/>
                <w:color w:val="auto"/>
              </w:rPr>
            </w:pPr>
          </w:p>
        </w:tc>
      </w:tr>
      <w:tr>
        <w:trPr>
          <w:trHeight w:val="192"/>
        </w:trPr>
        <w:tc>
          <w:tcPr>
            <w:tcW w:w="3060" w:type="dxa"/>
            <w:vAlign w:val="bottom"/>
            <w:tcBorders>
              <w:bottom w:val="single" w:sz="8" w:color="auto"/>
            </w:tcBorders>
            <w:vMerge w:val="continue"/>
          </w:tcPr>
          <w:p>
            <w:pPr>
              <w:spacing w:after="0"/>
              <w:rPr>
                <w:sz w:val="16"/>
                <w:szCs w:val="16"/>
                <w:color w:val="auto"/>
              </w:rPr>
            </w:pPr>
          </w:p>
        </w:tc>
        <w:tc>
          <w:tcPr>
            <w:tcW w:w="4040" w:type="dxa"/>
            <w:vAlign w:val="bottom"/>
            <w:tcBorders>
              <w:bottom w:val="single" w:sz="8" w:color="auto"/>
            </w:tcBorders>
            <w:vMerge w:val="continue"/>
          </w:tcPr>
          <w:p>
            <w:pPr>
              <w:spacing w:after="0"/>
              <w:rPr>
                <w:sz w:val="16"/>
                <w:szCs w:val="16"/>
                <w:color w:val="auto"/>
              </w:rPr>
            </w:pPr>
          </w:p>
        </w:tc>
        <w:tc>
          <w:tcPr>
            <w:tcW w:w="41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Significant Matters</w:t>
            </w:r>
          </w:p>
        </w:tc>
        <w:tc>
          <w:tcPr>
            <w:tcW w:w="0" w:type="dxa"/>
            <w:vAlign w:val="bottom"/>
          </w:tcPr>
          <w:p>
            <w:pPr>
              <w:spacing w:after="0"/>
              <w:rPr>
                <w:sz w:val="1"/>
                <w:szCs w:val="1"/>
                <w:color w:val="auto"/>
              </w:rPr>
            </w:pPr>
          </w:p>
        </w:tc>
      </w:tr>
      <w:tr>
        <w:trPr>
          <w:trHeight w:val="190"/>
        </w:trPr>
        <w:tc>
          <w:tcPr>
            <w:tcW w:w="3060" w:type="dxa"/>
            <w:vAlign w:val="bottom"/>
          </w:tcPr>
          <w:p>
            <w:pPr>
              <w:ind w:left="20"/>
              <w:spacing w:after="0"/>
              <w:rPr>
                <w:sz w:val="20"/>
                <w:szCs w:val="20"/>
                <w:color w:val="auto"/>
              </w:rPr>
            </w:pPr>
            <w:r>
              <w:rPr>
                <w:rFonts w:ascii="Arial" w:cs="Arial" w:eastAsia="Arial" w:hAnsi="Arial"/>
                <w:sz w:val="14"/>
                <w:szCs w:val="14"/>
                <w:b w:val="1"/>
                <w:bCs w:val="1"/>
                <w:i w:val="1"/>
                <w:iCs w:val="1"/>
                <w:color w:val="auto"/>
                <w:w w:val="95"/>
              </w:rPr>
              <w:t>Accounting standards issued pending adoption</w:t>
            </w:r>
          </w:p>
        </w:tc>
        <w:tc>
          <w:tcPr>
            <w:tcW w:w="40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3060" w:type="dxa"/>
            <w:vAlign w:val="bottom"/>
          </w:tcPr>
          <w:p>
            <w:pPr>
              <w:ind w:left="20"/>
              <w:spacing w:after="0"/>
              <w:rPr>
                <w:sz w:val="20"/>
                <w:szCs w:val="20"/>
                <w:color w:val="auto"/>
              </w:rPr>
            </w:pPr>
            <w:r>
              <w:rPr>
                <w:rFonts w:ascii="Arial" w:cs="Arial" w:eastAsia="Arial" w:hAnsi="Arial"/>
                <w:sz w:val="18"/>
                <w:szCs w:val="18"/>
                <w:color w:val="auto"/>
              </w:rPr>
              <w:t>ASU No. 2020-04: Reference Rate</w:t>
            </w:r>
          </w:p>
        </w:tc>
        <w:tc>
          <w:tcPr>
            <w:tcW w:w="4040" w:type="dxa"/>
            <w:vAlign w:val="bottom"/>
          </w:tcPr>
          <w:p>
            <w:pPr>
              <w:ind w:left="120"/>
              <w:spacing w:after="0"/>
              <w:rPr>
                <w:sz w:val="20"/>
                <w:szCs w:val="20"/>
                <w:color w:val="auto"/>
              </w:rPr>
            </w:pPr>
            <w:r>
              <w:rPr>
                <w:rFonts w:ascii="Arial" w:cs="Arial" w:eastAsia="Arial" w:hAnsi="Arial"/>
                <w:sz w:val="18"/>
                <w:szCs w:val="18"/>
                <w:color w:val="auto"/>
                <w:w w:val="98"/>
              </w:rPr>
              <w:t>Provides temporary optional guidance to ease the</w:t>
            </w:r>
          </w:p>
        </w:tc>
        <w:tc>
          <w:tcPr>
            <w:tcW w:w="4140" w:type="dxa"/>
            <w:vAlign w:val="bottom"/>
          </w:tcPr>
          <w:p>
            <w:pPr>
              <w:ind w:left="160"/>
              <w:spacing w:after="0"/>
              <w:rPr>
                <w:sz w:val="20"/>
                <w:szCs w:val="20"/>
                <w:color w:val="auto"/>
              </w:rPr>
            </w:pPr>
            <w:r>
              <w:rPr>
                <w:rFonts w:ascii="Arial" w:cs="Arial" w:eastAsia="Arial" w:hAnsi="Arial"/>
                <w:sz w:val="18"/>
                <w:szCs w:val="18"/>
                <w:color w:val="auto"/>
              </w:rPr>
              <w:t>We are currently assessing the provisions of this</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Reform (Topic 848)</w:t>
            </w:r>
          </w:p>
        </w:tc>
        <w:tc>
          <w:tcPr>
            <w:tcW w:w="4040" w:type="dxa"/>
            <w:vAlign w:val="bottom"/>
          </w:tcPr>
          <w:p>
            <w:pPr>
              <w:ind w:left="120"/>
              <w:spacing w:after="0"/>
              <w:rPr>
                <w:sz w:val="20"/>
                <w:szCs w:val="20"/>
                <w:color w:val="auto"/>
              </w:rPr>
            </w:pPr>
            <w:r>
              <w:rPr>
                <w:rFonts w:ascii="Arial" w:cs="Arial" w:eastAsia="Arial" w:hAnsi="Arial"/>
                <w:sz w:val="18"/>
                <w:szCs w:val="18"/>
                <w:color w:val="auto"/>
              </w:rPr>
              <w:t>potential burden in applying GAAP to contract</w:t>
            </w:r>
          </w:p>
        </w:tc>
        <w:tc>
          <w:tcPr>
            <w:tcW w:w="4140" w:type="dxa"/>
            <w:vAlign w:val="bottom"/>
          </w:tcPr>
          <w:p>
            <w:pPr>
              <w:ind w:left="160"/>
              <w:spacing w:after="0"/>
              <w:rPr>
                <w:sz w:val="20"/>
                <w:szCs w:val="20"/>
                <w:color w:val="auto"/>
              </w:rPr>
            </w:pPr>
            <w:r>
              <w:rPr>
                <w:rFonts w:ascii="Arial" w:cs="Arial" w:eastAsia="Arial" w:hAnsi="Arial"/>
                <w:sz w:val="18"/>
                <w:szCs w:val="18"/>
                <w:color w:val="auto"/>
                <w:w w:val="92"/>
              </w:rPr>
              <w:t>guidance and do not expect that its adoption will have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w w:val="96"/>
              </w:rPr>
              <w:t>modifications and hedging relationships, subject to</w:t>
            </w:r>
          </w:p>
        </w:tc>
        <w:tc>
          <w:tcPr>
            <w:tcW w:w="4140" w:type="dxa"/>
            <w:vAlign w:val="bottom"/>
          </w:tcPr>
          <w:p>
            <w:pPr>
              <w:ind w:left="160"/>
              <w:spacing w:after="0"/>
              <w:rPr>
                <w:sz w:val="20"/>
                <w:szCs w:val="20"/>
                <w:color w:val="auto"/>
              </w:rPr>
            </w:pPr>
            <w:r>
              <w:rPr>
                <w:rFonts w:ascii="Arial" w:cs="Arial" w:eastAsia="Arial" w:hAnsi="Arial"/>
                <w:sz w:val="18"/>
                <w:szCs w:val="18"/>
                <w:color w:val="auto"/>
                <w:w w:val="90"/>
              </w:rPr>
              <w:t>an impact on our consolidated financial statements and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rPr>
              <w:t>meeting certain criteria, that reference LIBOR or</w:t>
            </w:r>
          </w:p>
        </w:tc>
        <w:tc>
          <w:tcPr>
            <w:tcW w:w="4140" w:type="dxa"/>
            <w:vAlign w:val="bottom"/>
          </w:tcPr>
          <w:p>
            <w:pPr>
              <w:ind w:left="160"/>
              <w:spacing w:after="0"/>
              <w:rPr>
                <w:sz w:val="20"/>
                <w:szCs w:val="20"/>
                <w:color w:val="auto"/>
              </w:rPr>
            </w:pPr>
            <w:r>
              <w:rPr>
                <w:rFonts w:ascii="Arial" w:cs="Arial" w:eastAsia="Arial" w:hAnsi="Arial"/>
                <w:sz w:val="18"/>
                <w:szCs w:val="18"/>
                <w:color w:val="auto"/>
              </w:rPr>
              <w:t>related disclosures. This guidance will be in effect</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w w:val="94"/>
              </w:rPr>
              <w:t>another reference rate expected to be discontinued.</w:t>
            </w:r>
          </w:p>
        </w:tc>
        <w:tc>
          <w:tcPr>
            <w:tcW w:w="4140" w:type="dxa"/>
            <w:vAlign w:val="bottom"/>
          </w:tcPr>
          <w:p>
            <w:pPr>
              <w:ind w:left="160"/>
              <w:spacing w:after="0"/>
              <w:rPr>
                <w:sz w:val="20"/>
                <w:szCs w:val="20"/>
                <w:color w:val="auto"/>
              </w:rPr>
            </w:pPr>
            <w:r>
              <w:rPr>
                <w:rFonts w:ascii="Arial" w:cs="Arial" w:eastAsia="Arial" w:hAnsi="Arial"/>
                <w:sz w:val="18"/>
                <w:szCs w:val="18"/>
                <w:color w:val="auto"/>
                <w:w w:val="98"/>
              </w:rPr>
              <w:t>from March 12, 2020 through December 31, 2022.</w:t>
            </w:r>
          </w:p>
        </w:tc>
        <w:tc>
          <w:tcPr>
            <w:tcW w:w="0" w:type="dxa"/>
            <w:vAlign w:val="bottom"/>
          </w:tcPr>
          <w:p>
            <w:pPr>
              <w:spacing w:after="0"/>
              <w:rPr>
                <w:sz w:val="1"/>
                <w:szCs w:val="1"/>
                <w:color w:val="auto"/>
              </w:rPr>
            </w:pPr>
          </w:p>
        </w:tc>
      </w:tr>
      <w:tr>
        <w:trPr>
          <w:trHeight w:val="310"/>
        </w:trPr>
        <w:tc>
          <w:tcPr>
            <w:tcW w:w="3060" w:type="dxa"/>
            <w:vAlign w:val="bottom"/>
          </w:tcPr>
          <w:p>
            <w:pPr>
              <w:ind w:left="20"/>
              <w:spacing w:after="0"/>
              <w:rPr>
                <w:sz w:val="20"/>
                <w:szCs w:val="20"/>
                <w:color w:val="auto"/>
              </w:rPr>
            </w:pPr>
            <w:r>
              <w:rPr>
                <w:rFonts w:ascii="Arial" w:cs="Arial" w:eastAsia="Arial" w:hAnsi="Arial"/>
                <w:sz w:val="18"/>
                <w:szCs w:val="18"/>
                <w:color w:val="auto"/>
                <w:w w:val="94"/>
              </w:rPr>
              <w:t>ASU No. 2019-12: Income Taxes (Topic</w:t>
            </w:r>
          </w:p>
        </w:tc>
        <w:tc>
          <w:tcPr>
            <w:tcW w:w="4040" w:type="dxa"/>
            <w:vAlign w:val="bottom"/>
          </w:tcPr>
          <w:p>
            <w:pPr>
              <w:ind w:left="120"/>
              <w:spacing w:after="0"/>
              <w:rPr>
                <w:sz w:val="20"/>
                <w:szCs w:val="20"/>
                <w:color w:val="auto"/>
              </w:rPr>
            </w:pPr>
            <w:r>
              <w:rPr>
                <w:rFonts w:ascii="Arial" w:cs="Arial" w:eastAsia="Arial" w:hAnsi="Arial"/>
                <w:sz w:val="18"/>
                <w:szCs w:val="18"/>
                <w:color w:val="auto"/>
                <w:w w:val="94"/>
              </w:rPr>
              <w:t>Reduces the complexity over accounting for income</w:t>
            </w:r>
          </w:p>
        </w:tc>
        <w:tc>
          <w:tcPr>
            <w:tcW w:w="4140" w:type="dxa"/>
            <w:vAlign w:val="bottom"/>
          </w:tcPr>
          <w:p>
            <w:pPr>
              <w:ind w:left="160"/>
              <w:spacing w:after="0"/>
              <w:rPr>
                <w:sz w:val="20"/>
                <w:szCs w:val="20"/>
                <w:color w:val="auto"/>
              </w:rPr>
            </w:pPr>
            <w:r>
              <w:rPr>
                <w:rFonts w:ascii="Arial" w:cs="Arial" w:eastAsia="Arial" w:hAnsi="Arial"/>
                <w:sz w:val="18"/>
                <w:szCs w:val="18"/>
                <w:color w:val="auto"/>
              </w:rPr>
              <w:t>We are currently assessing the provisions of this</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740)</w:t>
            </w:r>
          </w:p>
        </w:tc>
        <w:tc>
          <w:tcPr>
            <w:tcW w:w="4040" w:type="dxa"/>
            <w:vAlign w:val="bottom"/>
          </w:tcPr>
          <w:p>
            <w:pPr>
              <w:ind w:left="120"/>
              <w:spacing w:after="0"/>
              <w:rPr>
                <w:sz w:val="20"/>
                <w:szCs w:val="20"/>
                <w:color w:val="auto"/>
              </w:rPr>
            </w:pPr>
            <w:r>
              <w:rPr>
                <w:rFonts w:ascii="Arial" w:cs="Arial" w:eastAsia="Arial" w:hAnsi="Arial"/>
                <w:sz w:val="18"/>
                <w:szCs w:val="18"/>
                <w:color w:val="auto"/>
                <w:w w:val="93"/>
              </w:rPr>
              <w:t>taxes by removing certain exceptions and amending</w:t>
            </w:r>
          </w:p>
        </w:tc>
        <w:tc>
          <w:tcPr>
            <w:tcW w:w="4140" w:type="dxa"/>
            <w:vAlign w:val="bottom"/>
          </w:tcPr>
          <w:p>
            <w:pPr>
              <w:ind w:left="160"/>
              <w:spacing w:after="0"/>
              <w:rPr>
                <w:sz w:val="20"/>
                <w:szCs w:val="20"/>
                <w:color w:val="auto"/>
              </w:rPr>
            </w:pPr>
            <w:r>
              <w:rPr>
                <w:rFonts w:ascii="Arial" w:cs="Arial" w:eastAsia="Arial" w:hAnsi="Arial"/>
                <w:sz w:val="18"/>
                <w:szCs w:val="18"/>
                <w:color w:val="auto"/>
                <w:w w:val="93"/>
              </w:rPr>
              <w:t>guidance to determine whether or not its adoption will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rPr>
              <w:t>guidance to improve consistent application of</w:t>
            </w:r>
          </w:p>
        </w:tc>
        <w:tc>
          <w:tcPr>
            <w:tcW w:w="4140" w:type="dxa"/>
            <w:vAlign w:val="bottom"/>
          </w:tcPr>
          <w:p>
            <w:pPr>
              <w:ind w:left="160"/>
              <w:spacing w:after="0"/>
              <w:rPr>
                <w:sz w:val="20"/>
                <w:szCs w:val="20"/>
                <w:color w:val="auto"/>
              </w:rPr>
            </w:pPr>
            <w:r>
              <w:rPr>
                <w:rFonts w:ascii="Arial" w:cs="Arial" w:eastAsia="Arial" w:hAnsi="Arial"/>
                <w:sz w:val="18"/>
                <w:szCs w:val="18"/>
                <w:color w:val="auto"/>
              </w:rPr>
              <w:t>have an impact on our consolidated financial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rPr>
              <w:t>accounting over income taxes.</w:t>
            </w:r>
          </w:p>
        </w:tc>
        <w:tc>
          <w:tcPr>
            <w:tcW w:w="4140" w:type="dxa"/>
            <w:vAlign w:val="bottom"/>
          </w:tcPr>
          <w:p>
            <w:pPr>
              <w:ind w:left="160"/>
              <w:spacing w:after="0"/>
              <w:rPr>
                <w:sz w:val="20"/>
                <w:szCs w:val="20"/>
                <w:color w:val="auto"/>
              </w:rPr>
            </w:pPr>
            <w:r>
              <w:rPr>
                <w:rFonts w:ascii="Arial" w:cs="Arial" w:eastAsia="Arial" w:hAnsi="Arial"/>
                <w:sz w:val="18"/>
                <w:szCs w:val="18"/>
                <w:color w:val="auto"/>
                <w:w w:val="94"/>
              </w:rPr>
              <w:t>statements and related disclosures. This guidance is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effective January 1, 2021 with early adoption</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permitted.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table of revenues disaggregated by service line and timing of revenue recognition by operating segment for each of the three and six months ended June 30, 2020 and 2019 follows: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Eastern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Western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8"/>
              </w:rPr>
              <w:t>Resource Solutions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37,115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58,546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95,661</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4,568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15,218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19,786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11,451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20,467</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Customer solutions</w:t>
            </w: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20,239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20,239</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12,823</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Organics</w:t>
            </w: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15,419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15,419</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Landfill gas-to-energy</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53,336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87,286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48,145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188,767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Transferred at a point-in-time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8,667</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Transferred over time</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53,267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86,919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39,914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180,100</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53,336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87,286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48,145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188,767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Three Months Ended June 30, 2019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Eastern</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Western</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8"/>
              </w:rPr>
              <w:t>Resource Solutions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38,955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54,151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93,106</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5,427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18,855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24,282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11,923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20,520</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Customer solutions</w:t>
            </w: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19,216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19,216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11,432</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Organics</w:t>
            </w: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14,905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14,905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Landfill gas-to-energy</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57,076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85,748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44,635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187,459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Transferred at a point-in-time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6,735</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Transferred over time</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57,024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85,570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38,130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180,724</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57,076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85,748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44,635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187,459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Six Months Ended June 30,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Eastern</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Western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8"/>
              </w:rPr>
              <w:t>Resource Solutions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73,944</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117,185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191,129</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8,112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31,528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39,640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20,834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Customer solutions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41,902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41,902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24,030</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Organics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30,351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30,351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6,124</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Landfill gas-to-energy</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103,479</w:t>
            </w:r>
          </w:p>
        </w:tc>
        <w:tc>
          <w:tcPr>
            <w:tcW w:w="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172,491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95,706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371,676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13,419</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Transferred over time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103,354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171,889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83,014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358,257</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103,479</w:t>
            </w:r>
          </w:p>
        </w:tc>
        <w:tc>
          <w:tcPr>
            <w:tcW w:w="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172,491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95,706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371,676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Six Months Ended June 30, 2019</w:t>
            </w: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2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2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Eastern</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Western</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8"/>
              </w:rPr>
              <w:t>Resource Solutions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72,919</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103,746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176,665</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9,144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34,323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43,467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20,909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34,781</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Customer solutions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37,370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37,370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22,640</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Organics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28,501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28,501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5,852</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Landfill gas-to-energy</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523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104,073</w:t>
            </w:r>
          </w:p>
        </w:tc>
        <w:tc>
          <w:tcPr>
            <w:tcW w:w="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159,899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87,151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351,123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88</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13,471</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Transferred over time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103,985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159,412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74,255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337,652</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104,073</w:t>
            </w:r>
          </w:p>
        </w:tc>
        <w:tc>
          <w:tcPr>
            <w:tcW w:w="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159,899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87,151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351,123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$1,546 and $2,537 in the three and six months ended June 30, 2020, respectively, and $1,109 and $2,447 in the three and six months ended June 30, 2019, respectively. Rebates are generally recorded as a reduction of revenues upon the sale of such materials, or upon receipt of the recycled materials at our facilities. We did not record any revenues in the three and six months ended June 30, 2020 and June 30, 2019 from performance obligations satisfied in previous periods.</w:t>
      </w:r>
    </w:p>
    <w:p>
      <w:pPr>
        <w:spacing w:after="0" w:line="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Contract receivables, which are included in Accounts receivable, net are recorded when billed or when related revenue is earned, if earlier, and represent claims against third-parties that will be settled in cash. Accounts receivable, net includes gross receivables from contracts of $74,091 and $80,191 as of June 30, 2020 and December 31, 2019, respectively. Certain customers are billed in advance and, accordingly, recognition of the related revenues is deferred as a contract liability until the services are provided and control transferred to the customer. We recognized contract liabilities of $3,056 and $2,299 as of June 30, 2020 and December 31, 2019, respectively. Due to the short term nature of advanced billings, substantially all of the deferred revenue recognized as a contract liability as of December 31, 2019 and December 31, 2018 was recognized as revenue during the three and six months ended June 30, 2020 and June 30, 2019, respectively, when the services were performed.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BUSINESS COMBINATIONS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six months ended June 30, 2020, we acquired four businesses: three tuck-in solid waste collection businesses in our Western region and one recycling operation in our Resource Solutions segment. In the six months ended June 30, 2019, we acquired three tuck-in solid waste collection businesses in our Eastern region and a business comprised of solid waste collection, transfer and recycling operations in our Western region. The operating results of the acquired businesses are included in the accompanying unaudited consolidated statements of operations from each date of acquisition, and the purchase price has been allocated to the net assets acquired based on fair values at each date of acquisition, with the residual amounts recorded as goodwill. Acquired intangible assets other than goodwill that are subject to amortization include client lists and non-compete covenants. Such assets are amortized over a five to ten year period from the date of acquisition. All amounts recorded to goodwill are expected to be deductible for tax purposes.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purchase price paid for these acquisitions and the allocation of the purchase price for these acquisitions follows:</w:t>
      </w:r>
    </w:p>
    <w:p>
      <w:pPr>
        <w:spacing w:after="0" w:line="55"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13335</wp:posOffset>
            </wp:positionV>
            <wp:extent cx="18859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Cash used in acquisitions, net of cash acquired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19,212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25,546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Notes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2,250</w:t>
            </w: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Contingent consideration and holdbacks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1,120</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22,049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28,916</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Allocated as follows: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1,865</w:t>
            </w: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Land</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726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Buildings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2,602</w:t>
            </w: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Equipment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8,277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8,655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11,619</w:t>
            </w: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Other liabilities, net</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(1,546)</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tax liability</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(2,137)</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Fair value of assets acquired and liabilities assumed</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16,902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21,784</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purchase price allocated to goodwill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5,147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7,132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500"/>
        <w:spacing w:after="0" w:line="301" w:lineRule="auto"/>
        <w:rPr>
          <w:sz w:val="20"/>
          <w:szCs w:val="20"/>
          <w:color w:val="auto"/>
        </w:rPr>
      </w:pPr>
      <w:r>
        <w:rPr>
          <w:rFonts w:ascii="Arial" w:cs="Arial" w:eastAsia="Arial" w:hAnsi="Arial"/>
          <w:sz w:val="16"/>
          <w:szCs w:val="16"/>
          <w:color w:val="auto"/>
        </w:rPr>
        <w:t>Certain purchase price allocations are preliminary and are based on information existing at the acquisition dates or upon closing the transaction. Accordingly, these purchase price allocations are subject to change. Unaudited pro forma combined information that shows our operational results as though each acquisition completed since the beginning of the prior fiscal year had occurred as of January 1, 2019 is as follows:</w:t>
      </w:r>
    </w:p>
    <w:tbl>
      <w:tblPr>
        <w:tblLayout w:type="fixed"/>
        <w:tblInd w:w="0" w:type="dxa"/>
        <w:tblCellMar>
          <w:top w:w="0" w:type="dxa"/>
          <w:left w:w="0" w:type="dxa"/>
          <w:bottom w:w="0" w:type="dxa"/>
          <w:right w:w="0" w:type="dxa"/>
        </w:tblCellMar>
      </w:tblPr>
      <w:tr>
        <w:trPr>
          <w:trHeight w:val="150"/>
        </w:trPr>
        <w:tc>
          <w:tcPr>
            <w:tcW w:w="5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5"/>
          </w:tcPr>
          <w:p>
            <w:pPr>
              <w:ind w:left="360"/>
              <w:spacing w:after="0" w:line="150" w:lineRule="exact"/>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3"/>
                <w:szCs w:val="13"/>
                <w:color w:val="auto"/>
              </w:rPr>
            </w:pPr>
          </w:p>
        </w:tc>
        <w:tc>
          <w:tcPr>
            <w:tcW w:w="2340" w:type="dxa"/>
            <w:vAlign w:val="bottom"/>
            <w:gridSpan w:val="4"/>
          </w:tcPr>
          <w:p>
            <w:pPr>
              <w:jc w:val="right"/>
              <w:ind w:right="672"/>
              <w:spacing w:after="0" w:line="150"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189,026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201,608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373,623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381,518</w:t>
            </w: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17,448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16,850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24,517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22,751</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12,115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12,629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13,087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11,709</w:t>
            </w: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48,348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47,464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48,176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46,693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share attributable to common stockholders: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48,563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48,221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48,411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47,424</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4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12" w:name="page13"/>
    <w:bookmarkEnd w:id="12"/>
    <w:p>
      <w:pPr>
        <w:ind w:right="380"/>
        <w:spacing w:after="0" w:line="291" w:lineRule="auto"/>
        <w:rPr>
          <w:sz w:val="20"/>
          <w:szCs w:val="20"/>
          <w:color w:val="auto"/>
        </w:rPr>
      </w:pPr>
      <w:r>
        <w:rPr>
          <w:rFonts w:ascii="Arial" w:cs="Arial" w:eastAsia="Arial" w:hAnsi="Arial"/>
          <w:sz w:val="16"/>
          <w:szCs w:val="16"/>
          <w:color w:val="auto"/>
        </w:rPr>
        <w:t>The unaudited pro forma results set forth in the table above have been prepared for comparative purposes only and are not necessarily indicative of the actual results of operations had the acquisitions occurred as of January 1, 2019 or of the results of our future operations. Furthermore, the unaudited</w:t>
      </w:r>
    </w:p>
    <w:p>
      <w:pPr>
        <w:ind w:right="140"/>
        <w:spacing w:after="0" w:line="260" w:lineRule="auto"/>
        <w:rPr>
          <w:sz w:val="20"/>
          <w:szCs w:val="20"/>
          <w:color w:val="auto"/>
        </w:rPr>
      </w:pPr>
      <w:r>
        <w:rPr>
          <w:rFonts w:ascii="Arial" w:cs="Arial" w:eastAsia="Arial" w:hAnsi="Arial"/>
          <w:sz w:val="18"/>
          <w:szCs w:val="18"/>
          <w:color w:val="auto"/>
        </w:rPr>
        <w:t>pro forma results do not give effect to all cost savings or incremental costs that may occur as a result of the integration and consolidation of the completed acquisitions.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 NET OF ALLOWANCE FOR CREDIT LOSSES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Accounts receivable represent receivables from customers for collection, transfer, recycling, disposal and other services. Our accounts receivable are recorded when billed or when related revenue is earned, if earlier, and represent claims against third-parties that will be settled in cash. The carrying value of our accounts receivable, net of allowance for credit losses represents its estimated net realizable value. Estimates are used in determining our allowance for credit losses based on, among other things, our historical loss trends, the age of outstanding accounts receivable, and current and expected economic conditions. Additions – charged to expense in the six months ended June 30, 2020 considers the current economic conditions associated with the COVID-19 pandemic and the potential impact to our customers’ ability to pay for services that we have provided. Our reserve is evaluated and revised on a monthly basis. Past due accounts receivable are written off when deemed to be uncollectible.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allowance for credit losses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55"/>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9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June 30, 2020</w:t>
            </w:r>
          </w:p>
        </w:tc>
      </w:tr>
      <w:tr>
        <w:trPr>
          <w:trHeight w:val="249"/>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1,468</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Cumulative effect of new accounting principle</w:t>
            </w:r>
          </w:p>
        </w:tc>
        <w:tc>
          <w:tcPr>
            <w:tcW w:w="140" w:type="dxa"/>
            <w:vAlign w:val="bottom"/>
          </w:tcPr>
          <w:p>
            <w:pPr>
              <w:spacing w:after="0"/>
              <w:rPr>
                <w:sz w:val="21"/>
                <w:szCs w:val="21"/>
                <w:color w:val="auto"/>
              </w:rPr>
            </w:pP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189</w:t>
            </w:r>
          </w:p>
        </w:tc>
      </w:tr>
      <w:tr>
        <w:trPr>
          <w:trHeight w:val="27"/>
        </w:trPr>
        <w:tc>
          <w:tcPr>
            <w:tcW w:w="9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 charged to expense</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1,697</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Deductions - bad debts written off, net of recoveries</w:t>
            </w:r>
          </w:p>
        </w:tc>
        <w:tc>
          <w:tcPr>
            <w:tcW w:w="14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(739)</w:t>
            </w:r>
          </w:p>
        </w:tc>
      </w:tr>
      <w:tr>
        <w:trPr>
          <w:trHeight w:val="27"/>
        </w:trPr>
        <w:tc>
          <w:tcPr>
            <w:tcW w:w="9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2,615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lease vehicles, equipment, property and other non-core equipment in the ordinary course of our business. Leases are classified as either operating leases or finance leases, as appropriate. Our leases have varying terms and may include renewal or purchase options, escalation clauses, restrictions, lease concessions, capital project funding, penalties or other obligations that we considered historically in determining minimum rental payments. We recognize lease expense for operating leases on a straight-line basis over the lease term. We recognize depreciation expense for finance leases over either the useful life of the asset or the lease term based on the terms of the lease agreement.</w:t>
      </w:r>
    </w:p>
    <w:p>
      <w:pPr>
        <w:spacing w:after="0" w:line="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also party to three landfill operation and management agreements. These agreements are long-term landfill operating contracts with government bodies whereby we receive tipping revenue, pay normal operating expenses and assume future final capping, closure and post-closure obligations. The government body retains ownership of the landfill. There is no bargain purchase option and title to the property does not pass to us at the end of the lease term. We allocate the consideration paid to the landfill airspace rights and underlying land lease based on the relative fair values. In addition to up-front or one-time payments, the landfill operating agreements may require us to make future minimum rental payments, including success/expansion fees, other direct costs and final capping, closure and post-closure costs. The value of all future minimum rental payments is amortized and charged to cost of operations over the life of the contract. We amortize the consideration allocated to airspace rights as airspace is utilized on a units-of-consumption basis and such amortization is charged to cost of operations as airspace is consumed (e.g., as tons are placed into the landfill). The underlying value of any land lease is amortized to cost of operations on a straight-line basis over the estimated life of the operating agreement.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 schedule of lease costs and other lease information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38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6"/>
          </w:tcPr>
          <w:p>
            <w:pPr>
              <w:jc w:val="right"/>
              <w:ind w:right="653"/>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right"/>
              <w:ind w:right="973"/>
              <w:spacing w:after="0"/>
              <w:rPr>
                <w:sz w:val="20"/>
                <w:szCs w:val="20"/>
                <w:color w:val="auto"/>
              </w:rPr>
            </w:pPr>
            <w:r>
              <w:rPr>
                <w:rFonts w:ascii="Arial" w:cs="Arial" w:eastAsia="Arial" w:hAnsi="Arial"/>
                <w:sz w:val="14"/>
                <w:szCs w:val="14"/>
                <w:b w:val="1"/>
                <w:bCs w:val="1"/>
                <w:color w:val="auto"/>
                <w:w w:val="99"/>
              </w:rPr>
              <w:t>June 30,</w:t>
            </w:r>
          </w:p>
        </w:tc>
        <w:tc>
          <w:tcPr>
            <w:tcW w:w="200" w:type="dxa"/>
            <w:vAlign w:val="bottom"/>
            <w:tcBorders>
              <w:bottom w:val="single" w:sz="8" w:color="auto"/>
            </w:tcBorders>
          </w:tcPr>
          <w:p>
            <w:pPr>
              <w:spacing w:after="0"/>
              <w:rPr>
                <w:sz w:val="16"/>
                <w:szCs w:val="16"/>
                <w:color w:val="auto"/>
              </w:rPr>
            </w:pPr>
          </w:p>
        </w:tc>
      </w:tr>
      <w:tr>
        <w:trPr>
          <w:trHeight w:val="196"/>
        </w:trPr>
        <w:tc>
          <w:tcPr>
            <w:tcW w:w="5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3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cost:</w:t>
            </w:r>
          </w:p>
        </w:tc>
        <w:tc>
          <w:tcPr>
            <w:tcW w:w="8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Amortization of right-of-use assets</w:t>
            </w:r>
          </w:p>
        </w:tc>
        <w:tc>
          <w:tcPr>
            <w:tcW w:w="860" w:type="dxa"/>
            <w:vAlign w:val="bottom"/>
          </w:tcPr>
          <w:p>
            <w:pPr>
              <w:jc w:val="right"/>
              <w:ind w:right="655"/>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1"/>
                <w:szCs w:val="21"/>
                <w:color w:val="auto"/>
              </w:rPr>
            </w:pP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503</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1,591</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20"/>
              <w:spacing w:after="0"/>
              <w:rPr>
                <w:sz w:val="20"/>
                <w:szCs w:val="20"/>
                <w:color w:val="auto"/>
              </w:rPr>
            </w:pPr>
            <w:r>
              <w:rPr>
                <w:rFonts w:ascii="Arial" w:cs="Arial" w:eastAsia="Arial" w:hAnsi="Arial"/>
                <w:sz w:val="18"/>
                <w:szCs w:val="18"/>
                <w:color w:val="auto"/>
              </w:rPr>
              <w:t>Fixed lease cost - vehicles, equipment and property</w:t>
            </w:r>
          </w:p>
        </w:tc>
        <w:tc>
          <w:tcPr>
            <w:tcW w:w="860" w:type="dxa"/>
            <w:vAlign w:val="bottom"/>
          </w:tcPr>
          <w:p>
            <w:pPr>
              <w:spacing w:after="0"/>
              <w:rPr>
                <w:sz w:val="21"/>
                <w:szCs w:val="21"/>
                <w:color w:val="auto"/>
              </w:rPr>
            </w:pPr>
          </w:p>
        </w:tc>
        <w:tc>
          <w:tcPr>
            <w:tcW w:w="560" w:type="dxa"/>
            <w:vAlign w:val="bottom"/>
          </w:tcPr>
          <w:p>
            <w:pPr>
              <w:jc w:val="right"/>
              <w:ind w:right="71"/>
              <w:spacing w:after="0"/>
              <w:rPr>
                <w:sz w:val="20"/>
                <w:szCs w:val="20"/>
                <w:color w:val="auto"/>
              </w:rPr>
            </w:pPr>
            <w:r>
              <w:rPr>
                <w:rFonts w:ascii="Arial" w:cs="Arial" w:eastAsia="Arial" w:hAnsi="Arial"/>
                <w:sz w:val="18"/>
                <w:szCs w:val="18"/>
                <w:color w:val="auto"/>
                <w:w w:val="84"/>
              </w:rPr>
              <w:t>2,171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2,342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4,921</w:t>
            </w:r>
          </w:p>
        </w:tc>
        <w:tc>
          <w:tcPr>
            <w:tcW w:w="2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Fixed lease cost - landfill operating leases</w:t>
            </w: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4"/>
              </w:rPr>
              <w:t>1,795</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1,975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5160" w:type="dxa"/>
            <w:vAlign w:val="bottom"/>
          </w:tcPr>
          <w:p>
            <w:pPr>
              <w:ind w:left="220"/>
              <w:spacing w:after="0"/>
              <w:rPr>
                <w:sz w:val="20"/>
                <w:szCs w:val="20"/>
                <w:color w:val="auto"/>
              </w:rPr>
            </w:pPr>
            <w:r>
              <w:rPr>
                <w:rFonts w:ascii="Arial" w:cs="Arial" w:eastAsia="Arial" w:hAnsi="Arial"/>
                <w:sz w:val="18"/>
                <w:szCs w:val="18"/>
                <w:color w:val="auto"/>
              </w:rPr>
              <w:t>Fixed lease cost</w:t>
            </w:r>
          </w:p>
        </w:tc>
        <w:tc>
          <w:tcPr>
            <w:tcW w:w="8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84"/>
              </w:rPr>
              <w:t>3,966</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8"/>
              </w:rPr>
              <w:t>4,317</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8,056</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8,544</w:t>
            </w:r>
          </w:p>
        </w:tc>
        <w:tc>
          <w:tcPr>
            <w:tcW w:w="200" w:type="dxa"/>
            <w:vAlign w:val="bottom"/>
            <w:tcBorders>
              <w:top w:val="single" w:sz="8" w:color="auto"/>
            </w:tcBorders>
          </w:tcPr>
          <w:p>
            <w:pPr>
              <w:spacing w:after="0"/>
              <w:rPr>
                <w:sz w:val="20"/>
                <w:szCs w:val="20"/>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Short-term lease cost</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Variable lease cost</w:t>
            </w:r>
          </w:p>
        </w:tc>
        <w:tc>
          <w:tcPr>
            <w:tcW w:w="860" w:type="dxa"/>
            <w:vAlign w:val="bottom"/>
          </w:tcPr>
          <w:p>
            <w:pPr>
              <w:spacing w:after="0"/>
              <w:rPr>
                <w:sz w:val="21"/>
                <w:szCs w:val="21"/>
                <w:color w:val="auto"/>
              </w:rPr>
            </w:pP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84"/>
              </w:rPr>
              <w:t>5,973</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6,133</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12,102</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11,590</w:t>
            </w:r>
          </w:p>
        </w:tc>
        <w:tc>
          <w:tcPr>
            <w:tcW w:w="200" w:type="dxa"/>
            <w:vAlign w:val="bottom"/>
            <w:shd w:val="clear" w:color="auto" w:fill="CCEEFF"/>
          </w:tcPr>
          <w:p>
            <w:pPr>
              <w:spacing w:after="0"/>
              <w:rPr>
                <w:sz w:val="24"/>
                <w:szCs w:val="24"/>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information:</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w w:val="90"/>
              </w:rPr>
              <w:t>Cash paid for amounts included in the measurement of lease liabilities:</w:t>
            </w: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Financing cash flows for finance leases</w:t>
            </w:r>
          </w:p>
        </w:tc>
        <w:tc>
          <w:tcPr>
            <w:tcW w:w="860" w:type="dxa"/>
            <w:vAlign w:val="bottom"/>
            <w:tcBorders>
              <w:bottom w:val="single" w:sz="8" w:color="CCEEFF"/>
            </w:tcBorders>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Operating cash flows for operating leases</w:t>
            </w:r>
          </w:p>
        </w:tc>
        <w:tc>
          <w:tcPr>
            <w:tcW w:w="860" w:type="dxa"/>
            <w:vAlign w:val="bottom"/>
          </w:tcPr>
          <w:p>
            <w:pPr>
              <w:jc w:val="right"/>
              <w:ind w:right="655"/>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w w:val="84"/>
              </w:rPr>
              <w:t>3,272</w:t>
            </w:r>
          </w:p>
        </w:tc>
        <w:tc>
          <w:tcPr>
            <w:tcW w:w="120" w:type="dxa"/>
            <w:vAlign w:val="bottom"/>
          </w:tcPr>
          <w:p>
            <w:pPr>
              <w:spacing w:after="0"/>
              <w:rPr>
                <w:sz w:val="21"/>
                <w:szCs w:val="21"/>
                <w:color w:val="auto"/>
              </w:rPr>
            </w:pP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4,831</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5,714</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6,874</w:t>
            </w:r>
          </w:p>
        </w:tc>
        <w:tc>
          <w:tcPr>
            <w:tcW w:w="2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860" w:type="dxa"/>
            <w:vAlign w:val="bottom"/>
            <w:tcBorders>
              <w:bottom w:val="single" w:sz="8" w:color="CCEEFF"/>
            </w:tcBorders>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4"/>
              </w:rPr>
              <w:t>5,391</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4,384</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11,793</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w w:val="97"/>
              </w:rPr>
              <w:t>Right-of-use assets obtained in exchange for new operating lease</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860" w:type="dxa"/>
            <w:vAlign w:val="bottom"/>
          </w:tcPr>
          <w:p>
            <w:pPr>
              <w:jc w:val="right"/>
              <w:ind w:right="655"/>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0"/>
                <w:szCs w:val="20"/>
                <w:color w:val="auto"/>
              </w:rPr>
            </w:pPr>
          </w:p>
        </w:tc>
        <w:tc>
          <w:tcPr>
            <w:tcW w:w="840" w:type="dxa"/>
            <w:vAlign w:val="bottom"/>
          </w:tcPr>
          <w:p>
            <w:pPr>
              <w:jc w:val="right"/>
              <w:ind w:right="653"/>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3,142</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153"/>
        </w:trPr>
        <w:tc>
          <w:tcPr>
            <w:tcW w:w="5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Weighted-average remaining lease term - finance leases (years)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w w:val="96"/>
              </w:rPr>
              <w:t>Weighted-average remaining lease term - operating leases (years)</w:t>
            </w: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5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finance leases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594"/>
        </w:trPr>
        <w:tc>
          <w:tcPr>
            <w:tcW w:w="5160" w:type="dxa"/>
            <w:vAlign w:val="bottom"/>
          </w:tcPr>
          <w:p>
            <w:pPr>
              <w:spacing w:after="0"/>
              <w:rPr>
                <w:sz w:val="20"/>
                <w:szCs w:val="20"/>
                <w:color w:val="auto"/>
              </w:rPr>
            </w:pPr>
            <w:r>
              <w:rPr>
                <w:rFonts w:ascii="Arial" w:cs="Arial" w:eastAsia="Arial" w:hAnsi="Arial"/>
                <w:sz w:val="18"/>
                <w:szCs w:val="18"/>
                <w:color w:val="auto"/>
              </w:rPr>
              <w:t>Estimated minimum future lease obligations are as follows:</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w w:val="91"/>
              </w:rPr>
              <w:t>Operating Leases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0"/>
              </w:rPr>
              <w:t>Finance Leases</w:t>
            </w:r>
          </w:p>
        </w:tc>
        <w:tc>
          <w:tcPr>
            <w:tcW w:w="200" w:type="dxa"/>
            <w:vAlign w:val="bottom"/>
            <w:tcBorders>
              <w:bottom w:val="single" w:sz="8" w:color="auto"/>
            </w:tcBorders>
          </w:tcPr>
          <w:p>
            <w:pPr>
              <w:spacing w:after="0"/>
              <w:rPr>
                <w:sz w:val="19"/>
                <w:szCs w:val="19"/>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2020</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7,512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2,928</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Fiscal year ending December 31, 2021</w:t>
            </w: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12,145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5,706</w:t>
            </w:r>
          </w:p>
        </w:tc>
      </w:tr>
      <w:tr>
        <w:trPr>
          <w:trHeight w:val="27"/>
        </w:trPr>
        <w:tc>
          <w:tcPr>
            <w:tcW w:w="5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2022</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9,486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5,113</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Fiscal year ending December 31, 2023</w:t>
            </w: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7,296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4,947</w:t>
            </w:r>
          </w:p>
        </w:tc>
      </w:tr>
      <w:tr>
        <w:trPr>
          <w:trHeight w:val="27"/>
        </w:trPr>
        <w:tc>
          <w:tcPr>
            <w:tcW w:w="5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2024</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4,847</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63,964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9,778</w:t>
            </w:r>
          </w:p>
        </w:tc>
      </w:tr>
      <w:tr>
        <w:trPr>
          <w:trHeight w:val="27"/>
        </w:trPr>
        <w:tc>
          <w:tcPr>
            <w:tcW w:w="5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107,041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33,319</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Less: interest expense</w:t>
            </w: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(28,416)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(5,056)</w:t>
            </w:r>
          </w:p>
        </w:tc>
      </w:tr>
      <w:tr>
        <w:trPr>
          <w:trHeight w:val="27"/>
        </w:trPr>
        <w:tc>
          <w:tcPr>
            <w:tcW w:w="5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8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liability balance</w:t>
            </w:r>
          </w:p>
        </w:tc>
        <w:tc>
          <w:tcPr>
            <w:tcW w:w="8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78,625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28,263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related to goodwill by reporting segment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4"/>
                <w:szCs w:val="14"/>
                <w:color w:val="auto"/>
              </w:rPr>
            </w:pPr>
          </w:p>
        </w:tc>
        <w:tc>
          <w:tcPr>
            <w:tcW w:w="136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0"/>
              </w:rPr>
              <w:t>Acquisitions</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center"/>
              <w:ind w:right="255"/>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6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 region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30,720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30,720</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Western region</w:t>
            </w:r>
          </w:p>
        </w:tc>
        <w:tc>
          <w:tcPr>
            <w:tcW w:w="220" w:type="dxa"/>
            <w:vAlign w:val="bottom"/>
          </w:tcPr>
          <w:p>
            <w:pPr>
              <w:spacing w:after="0"/>
              <w:rPr>
                <w:sz w:val="21"/>
                <w:szCs w:val="21"/>
                <w:color w:val="auto"/>
              </w:rPr>
            </w:pPr>
          </w:p>
        </w:tc>
        <w:tc>
          <w:tcPr>
            <w:tcW w:w="1420" w:type="dxa"/>
            <w:vAlign w:val="bottom"/>
          </w:tcPr>
          <w:p>
            <w:pPr>
              <w:jc w:val="right"/>
              <w:ind w:right="57"/>
              <w:spacing w:after="0"/>
              <w:rPr>
                <w:sz w:val="20"/>
                <w:szCs w:val="20"/>
                <w:color w:val="auto"/>
              </w:rPr>
            </w:pPr>
            <w:r>
              <w:rPr>
                <w:rFonts w:ascii="Arial" w:cs="Arial" w:eastAsia="Arial" w:hAnsi="Arial"/>
                <w:sz w:val="18"/>
                <w:szCs w:val="18"/>
                <w:color w:val="auto"/>
              </w:rPr>
              <w:t>141,055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5,147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146,202</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14,044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14,044</w:t>
            </w:r>
          </w:p>
        </w:tc>
        <w:tc>
          <w:tcPr>
            <w:tcW w:w="0" w:type="dxa"/>
            <w:vAlign w:val="bottom"/>
          </w:tcPr>
          <w:p>
            <w:pPr>
              <w:spacing w:after="0"/>
              <w:rPr>
                <w:sz w:val="1"/>
                <w:szCs w:val="1"/>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185,819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5,147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190,966</w:t>
            </w:r>
          </w:p>
        </w:tc>
        <w:tc>
          <w:tcPr>
            <w:tcW w:w="0" w:type="dxa"/>
            <w:vAlign w:val="bottom"/>
          </w:tcPr>
          <w:p>
            <w:pPr>
              <w:spacing w:after="0"/>
              <w:rPr>
                <w:sz w:val="1"/>
                <w:szCs w:val="1"/>
                <w:color w:val="auto"/>
              </w:rPr>
            </w:pPr>
          </w:p>
        </w:tc>
      </w:tr>
      <w:tr>
        <w:trPr>
          <w:trHeight w:val="27"/>
        </w:trPr>
        <w:tc>
          <w:tcPr>
            <w:tcW w:w="6100" w:type="dxa"/>
            <w:vAlign w:val="bottom"/>
            <w:vMerge w:val="restart"/>
          </w:tcPr>
          <w:p>
            <w:pPr>
              <w:spacing w:after="0"/>
              <w:rPr>
                <w:sz w:val="20"/>
                <w:szCs w:val="20"/>
                <w:color w:val="auto"/>
              </w:rPr>
            </w:pPr>
            <w:r>
              <w:rPr>
                <w:rFonts w:ascii="Arial" w:cs="Arial" w:eastAsia="Arial" w:hAnsi="Arial"/>
                <w:sz w:val="18"/>
                <w:szCs w:val="18"/>
                <w:color w:val="auto"/>
              </w:rPr>
              <w:t>A summary of intangible assets by intangible asset type follows:</w:t>
            </w: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6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Covenants</w:t>
            </w:r>
          </w:p>
        </w:tc>
        <w:tc>
          <w:tcPr>
            <w:tcW w:w="260" w:type="dxa"/>
            <w:vAlign w:val="bottom"/>
          </w:tcPr>
          <w:p>
            <w:pPr>
              <w:spacing w:after="0"/>
              <w:rPr>
                <w:sz w:val="15"/>
                <w:szCs w:val="15"/>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Client Lists</w:t>
            </w:r>
          </w:p>
        </w:tc>
        <w:tc>
          <w:tcPr>
            <w:tcW w:w="340" w:type="dxa"/>
            <w:vAlign w:val="bottom"/>
          </w:tcPr>
          <w:p>
            <w:pPr>
              <w:spacing w:after="0"/>
              <w:rPr>
                <w:sz w:val="15"/>
                <w:szCs w:val="15"/>
                <w:color w:val="auto"/>
              </w:rPr>
            </w:pPr>
          </w:p>
        </w:tc>
        <w:tc>
          <w:tcPr>
            <w:tcW w:w="1300" w:type="dxa"/>
            <w:vAlign w:val="bottom"/>
            <w:vMerge w:val="restart"/>
          </w:tcPr>
          <w:p>
            <w:pPr>
              <w:jc w:val="center"/>
              <w:ind w:right="2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6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Not-to-Compete</w:t>
            </w:r>
          </w:p>
        </w:tc>
        <w:tc>
          <w:tcPr>
            <w:tcW w:w="2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Balance, June 30, 2020</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26,652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76,635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103,287</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Less accumulated amortization</w:t>
            </w:r>
          </w:p>
        </w:tc>
        <w:tc>
          <w:tcPr>
            <w:tcW w:w="22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(19,756)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(23,123)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(42,879)</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6,896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53,512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60,408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6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Covenants</w:t>
            </w:r>
          </w:p>
        </w:tc>
        <w:tc>
          <w:tcPr>
            <w:tcW w:w="260" w:type="dxa"/>
            <w:vAlign w:val="bottom"/>
          </w:tcPr>
          <w:p>
            <w:pPr>
              <w:spacing w:after="0"/>
              <w:rPr>
                <w:sz w:val="24"/>
                <w:szCs w:val="24"/>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Client Lists</w:t>
            </w:r>
          </w:p>
        </w:tc>
        <w:tc>
          <w:tcPr>
            <w:tcW w:w="340" w:type="dxa"/>
            <w:vAlign w:val="bottom"/>
          </w:tcPr>
          <w:p>
            <w:pPr>
              <w:spacing w:after="0"/>
              <w:rPr>
                <w:sz w:val="24"/>
                <w:szCs w:val="24"/>
                <w:color w:val="auto"/>
              </w:rPr>
            </w:pPr>
          </w:p>
        </w:tc>
        <w:tc>
          <w:tcPr>
            <w:tcW w:w="1300" w:type="dxa"/>
            <w:vAlign w:val="bottom"/>
            <w:vMerge w:val="restart"/>
          </w:tcPr>
          <w:p>
            <w:pPr>
              <w:jc w:val="center"/>
              <w:ind w:right="2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6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Not-to-Compete</w:t>
            </w:r>
          </w:p>
        </w:tc>
        <w:tc>
          <w:tcPr>
            <w:tcW w:w="2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Balance, December 31, 2019</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26,162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71,122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97,284</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Less accumulated amortization</w:t>
            </w:r>
          </w:p>
        </w:tc>
        <w:tc>
          <w:tcPr>
            <w:tcW w:w="22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(18,968)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(19,595)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(38,563)</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7,194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51,527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58,721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Intangible amortization expense was $2,222 and $4,316 during the three and six months ended June 30, 2020, respectively, as compared to $1,639 and $3,039 during the three and six months ended June 30, 2019,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intangible amortization expense estimated for the five fiscal years following the fiscal year ended December 31, 2019 and thereafter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Estimated Future Amortization Expense as of June 30, 2020</w:t>
            </w:r>
          </w:p>
        </w:tc>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Fiscal year ending December 31, 2020</w:t>
            </w:r>
          </w:p>
        </w:tc>
        <w:tc>
          <w:tcPr>
            <w:tcW w:w="35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4,441</w:t>
            </w:r>
          </w:p>
        </w:tc>
      </w:tr>
      <w:tr>
        <w:trPr>
          <w:trHeight w:val="243"/>
        </w:trPr>
        <w:tc>
          <w:tcPr>
            <w:tcW w:w="20" w:type="dxa"/>
            <w:vAlign w:val="bottom"/>
          </w:tcPr>
          <w:p>
            <w:pPr>
              <w:spacing w:after="0"/>
              <w:rPr>
                <w:sz w:val="21"/>
                <w:szCs w:val="21"/>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Fiscal year ending December 31, 2021</w:t>
            </w:r>
          </w:p>
        </w:tc>
        <w:tc>
          <w:tcPr>
            <w:tcW w:w="35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7,500</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Fiscal year ending December 31, 2022</w:t>
            </w:r>
          </w:p>
        </w:tc>
        <w:tc>
          <w:tcPr>
            <w:tcW w:w="35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6,848</w:t>
            </w:r>
          </w:p>
        </w:tc>
      </w:tr>
      <w:tr>
        <w:trPr>
          <w:trHeight w:val="243"/>
        </w:trPr>
        <w:tc>
          <w:tcPr>
            <w:tcW w:w="20" w:type="dxa"/>
            <w:vAlign w:val="bottom"/>
          </w:tcPr>
          <w:p>
            <w:pPr>
              <w:spacing w:after="0"/>
              <w:rPr>
                <w:sz w:val="21"/>
                <w:szCs w:val="21"/>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Fiscal year ending December 31, 2023</w:t>
            </w:r>
          </w:p>
        </w:tc>
        <w:tc>
          <w:tcPr>
            <w:tcW w:w="35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6,640</w:t>
            </w: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Fiscal year ending December 31, 2024</w:t>
            </w:r>
          </w:p>
        </w:tc>
        <w:tc>
          <w:tcPr>
            <w:tcW w:w="35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7,603</w:t>
            </w:r>
          </w:p>
        </w:tc>
      </w:tr>
      <w:tr>
        <w:trPr>
          <w:trHeight w:val="243"/>
        </w:trPr>
        <w:tc>
          <w:tcPr>
            <w:tcW w:w="20" w:type="dxa"/>
            <w:vAlign w:val="bottom"/>
          </w:tcPr>
          <w:p>
            <w:pPr>
              <w:spacing w:after="0"/>
              <w:rPr>
                <w:sz w:val="21"/>
                <w:szCs w:val="21"/>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5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27,376</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FINAL CAPPING, CLOSURE AND POST CLOSURE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 summary of the changes to accrued final capping, closure and post-closure liabilities follows:</w:t>
      </w:r>
    </w:p>
    <w:p>
      <w:pPr>
        <w:spacing w:after="0" w:line="55"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71,927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73,075</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Obligations incurred</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1,217</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Revision in estimates </w:t>
            </w:r>
            <w:r>
              <w:rPr>
                <w:rFonts w:ascii="Arial" w:cs="Arial" w:eastAsia="Arial" w:hAnsi="Arial"/>
                <w:sz w:val="14"/>
                <w:szCs w:val="14"/>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Accretion expense</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3,204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3,194</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(2)</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(2,947)</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75,397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74,539</w:t>
            </w:r>
          </w:p>
        </w:tc>
      </w:tr>
      <w:tr>
        <w:trPr>
          <w:trHeight w:val="27"/>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60" w:right="140" w:hanging="652"/>
        <w:spacing w:after="0" w:line="273" w:lineRule="auto"/>
        <w:tabs>
          <w:tab w:leader="none" w:pos="652"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Relates to changes in estimated costs and timing of final capping, closure and post-closure activities at the Town of Southbridge, Massachusetts landfill ("Southbridge Landfill"). See Note 10,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and Note 13, </w:t>
      </w:r>
      <w:r>
        <w:rPr>
          <w:rFonts w:ascii="Arial" w:cs="Arial" w:eastAsia="Arial" w:hAnsi="Arial"/>
          <w:sz w:val="14"/>
          <w:szCs w:val="14"/>
          <w:i w:val="1"/>
          <w:iCs w:val="1"/>
          <w:color w:val="auto"/>
        </w:rPr>
        <w:t>Other Items and Charges</w:t>
      </w:r>
      <w:r>
        <w:rPr>
          <w:rFonts w:ascii="Arial" w:cs="Arial" w:eastAsia="Arial" w:hAnsi="Arial"/>
          <w:sz w:val="14"/>
          <w:szCs w:val="14"/>
          <w:color w:val="auto"/>
        </w:rPr>
        <w:t xml:space="preserve"> for further discussion.</w:t>
      </w:r>
    </w:p>
    <w:p>
      <w:pPr>
        <w:spacing w:after="0" w:line="119" w:lineRule="exact"/>
        <w:rPr>
          <w:rFonts w:ascii="Arial" w:cs="Arial" w:eastAsia="Arial" w:hAnsi="Arial"/>
          <w:sz w:val="14"/>
          <w:szCs w:val="14"/>
          <w:color w:val="auto"/>
        </w:rPr>
      </w:pPr>
    </w:p>
    <w:p>
      <w:pPr>
        <w:ind w:left="640" w:hanging="632"/>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amounts that are being processed through accounts payable as a part of our disbursements cycle.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Senior Secured Credit Facility:</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color w:val="auto"/>
              </w:rPr>
              <w:t>Revolving line of credit facility ("Revolving Credit Facility") due May 2023; bearing interest at LIBOR plus 1.75%</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37,700</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26,900</w:t>
            </w: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loan A facility ("Term Loan Facility") due May 2023; bearing interest at LIBOR plus 1.75%</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b w:val="1"/>
                <w:bCs w:val="1"/>
                <w:color w:val="auto"/>
              </w:rPr>
              <w:t>Tax-Exempt Bonds: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83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9"/>
              </w:rPr>
              <w:t>New York State Environmental Facilities Corporation Solid Waste Disposal Revenue Bonds Series 2014 ("New York Bonds 2014") due</w:t>
            </w:r>
          </w:p>
        </w:tc>
        <w:tc>
          <w:tcPr>
            <w:tcW w:w="2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2044 - fixed rate interest period through 2019; bearing interest at 2.875%</w:t>
            </w:r>
          </w:p>
        </w:tc>
        <w:tc>
          <w:tcPr>
            <w:tcW w:w="2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300" w:type="dxa"/>
            <w:vAlign w:val="bottom"/>
          </w:tcPr>
          <w:p>
            <w:pPr>
              <w:ind w:left="20"/>
              <w:spacing w:after="0" w:line="135" w:lineRule="exact"/>
              <w:rPr>
                <w:sz w:val="20"/>
                <w:szCs w:val="20"/>
                <w:color w:val="auto"/>
              </w:rPr>
            </w:pPr>
            <w:r>
              <w:rPr>
                <w:rFonts w:ascii="Arial" w:cs="Arial" w:eastAsia="Arial" w:hAnsi="Arial"/>
                <w:sz w:val="14"/>
                <w:szCs w:val="14"/>
                <w:color w:val="auto"/>
                <w:w w:val="96"/>
              </w:rPr>
              <w:t>New York State Environmental Facilities Corporation Solid Waste Disposal Revenue Bonds Series 2014R-2 ("New York Bonds 2014R-2")</w:t>
            </w:r>
          </w:p>
        </w:tc>
        <w:tc>
          <w:tcPr>
            <w:tcW w:w="260" w:type="dxa"/>
            <w:vAlign w:val="bottom"/>
          </w:tcPr>
          <w:p>
            <w:pPr>
              <w:spacing w:after="0"/>
              <w:rPr>
                <w:sz w:val="11"/>
                <w:szCs w:val="11"/>
                <w:color w:val="auto"/>
              </w:rPr>
            </w:pP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6"/>
        </w:trPr>
        <w:tc>
          <w:tcPr>
            <w:tcW w:w="8300" w:type="dxa"/>
            <w:vAlign w:val="bottom"/>
          </w:tcPr>
          <w:p>
            <w:pPr>
              <w:ind w:left="20"/>
              <w:spacing w:after="0"/>
              <w:rPr>
                <w:sz w:val="20"/>
                <w:szCs w:val="20"/>
                <w:color w:val="auto"/>
              </w:rPr>
            </w:pPr>
            <w:r>
              <w:rPr>
                <w:rFonts w:ascii="Arial" w:cs="Arial" w:eastAsia="Arial" w:hAnsi="Arial"/>
                <w:sz w:val="14"/>
                <w:szCs w:val="14"/>
                <w:color w:val="auto"/>
              </w:rPr>
              <w:t>due December 2044 - fixed rate interest period through 2026; bearing interest at 3.125%</w:t>
            </w: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6"/>
              </w:rPr>
              <w:t>Finance Authority of Maine Solid Waste Disposal Revenue Bonds Series 2005R-3 ("FAME Bonds 2005R-3") due January 2025 - fixed rate</w:t>
            </w:r>
          </w:p>
        </w:tc>
        <w:tc>
          <w:tcPr>
            <w:tcW w:w="2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period through 2025; bearing interest at 5.25%</w:t>
            </w:r>
          </w:p>
        </w:tc>
        <w:tc>
          <w:tcPr>
            <w:tcW w:w="2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300" w:type="dxa"/>
            <w:vAlign w:val="bottom"/>
          </w:tcPr>
          <w:p>
            <w:pPr>
              <w:ind w:left="20"/>
              <w:spacing w:after="0" w:line="135" w:lineRule="exact"/>
              <w:rPr>
                <w:sz w:val="20"/>
                <w:szCs w:val="20"/>
                <w:color w:val="auto"/>
              </w:rPr>
            </w:pPr>
            <w:r>
              <w:rPr>
                <w:rFonts w:ascii="Arial" w:cs="Arial" w:eastAsia="Arial" w:hAnsi="Arial"/>
                <w:sz w:val="14"/>
                <w:szCs w:val="14"/>
                <w:color w:val="auto"/>
                <w:w w:val="97"/>
              </w:rPr>
              <w:t>Finance Authority of Maine Solid Waste Disposal Revenue Bonds Series 2015R-1 ("FAME Bonds 2015R-1") due August 2035 - fixed rate</w:t>
            </w:r>
          </w:p>
        </w:tc>
        <w:tc>
          <w:tcPr>
            <w:tcW w:w="260" w:type="dxa"/>
            <w:vAlign w:val="bottom"/>
          </w:tcPr>
          <w:p>
            <w:pPr>
              <w:spacing w:after="0"/>
              <w:rPr>
                <w:sz w:val="11"/>
                <w:szCs w:val="11"/>
                <w:color w:val="auto"/>
              </w:rPr>
            </w:pP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6"/>
        </w:trPr>
        <w:tc>
          <w:tcPr>
            <w:tcW w:w="8300" w:type="dxa"/>
            <w:vAlign w:val="bottom"/>
          </w:tcPr>
          <w:p>
            <w:pPr>
              <w:ind w:left="20"/>
              <w:spacing w:after="0"/>
              <w:rPr>
                <w:sz w:val="20"/>
                <w:szCs w:val="20"/>
                <w:color w:val="auto"/>
              </w:rPr>
            </w:pPr>
            <w:r>
              <w:rPr>
                <w:rFonts w:ascii="Arial" w:cs="Arial" w:eastAsia="Arial" w:hAnsi="Arial"/>
                <w:sz w:val="14"/>
                <w:szCs w:val="14"/>
                <w:color w:val="auto"/>
              </w:rPr>
              <w:t>interest period through 2025; bearing interest at 5.125%</w:t>
            </w: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Finance Authority of Maine Solid Waste Disposal Revenue Bonds Series 2015R-2 ("FAME Bonds 2015R-2") due August 2035 - fixed rate</w:t>
            </w:r>
          </w:p>
        </w:tc>
        <w:tc>
          <w:tcPr>
            <w:tcW w:w="2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9"/>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period through 2025; bearing interest at 4.375%</w:t>
            </w:r>
          </w:p>
        </w:tc>
        <w:tc>
          <w:tcPr>
            <w:tcW w:w="2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300" w:type="dxa"/>
            <w:vAlign w:val="bottom"/>
          </w:tcPr>
          <w:p>
            <w:pPr>
              <w:ind w:left="20"/>
              <w:spacing w:after="0" w:line="135" w:lineRule="exact"/>
              <w:rPr>
                <w:sz w:val="20"/>
                <w:szCs w:val="20"/>
                <w:color w:val="auto"/>
              </w:rPr>
            </w:pPr>
            <w:r>
              <w:rPr>
                <w:rFonts w:ascii="Arial" w:cs="Arial" w:eastAsia="Arial" w:hAnsi="Arial"/>
                <w:sz w:val="14"/>
                <w:szCs w:val="14"/>
                <w:color w:val="auto"/>
                <w:w w:val="95"/>
              </w:rPr>
              <w:t>Vermont Economic Development Authority Solid Waste Disposal Long-Term Revenue Bonds Series 2013 ("Vermont Bonds") due April 2036</w:t>
            </w:r>
          </w:p>
        </w:tc>
        <w:tc>
          <w:tcPr>
            <w:tcW w:w="260" w:type="dxa"/>
            <w:vAlign w:val="bottom"/>
          </w:tcPr>
          <w:p>
            <w:pPr>
              <w:spacing w:after="0"/>
              <w:rPr>
                <w:sz w:val="11"/>
                <w:szCs w:val="11"/>
                <w:color w:val="auto"/>
              </w:rPr>
            </w:pP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16,000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16,000</w:t>
            </w:r>
          </w:p>
        </w:tc>
        <w:tc>
          <w:tcPr>
            <w:tcW w:w="0" w:type="dxa"/>
            <w:vAlign w:val="bottom"/>
          </w:tcPr>
          <w:p>
            <w:pPr>
              <w:spacing w:after="0"/>
              <w:rPr>
                <w:sz w:val="1"/>
                <w:szCs w:val="1"/>
                <w:color w:val="auto"/>
              </w:rPr>
            </w:pPr>
          </w:p>
        </w:tc>
      </w:tr>
      <w:tr>
        <w:trPr>
          <w:trHeight w:val="186"/>
        </w:trPr>
        <w:tc>
          <w:tcPr>
            <w:tcW w:w="8300" w:type="dxa"/>
            <w:vAlign w:val="bottom"/>
          </w:tcPr>
          <w:p>
            <w:pPr>
              <w:ind w:left="20"/>
              <w:spacing w:after="0"/>
              <w:rPr>
                <w:sz w:val="20"/>
                <w:szCs w:val="20"/>
                <w:color w:val="auto"/>
              </w:rPr>
            </w:pPr>
            <w:r>
              <w:rPr>
                <w:rFonts w:ascii="Arial" w:cs="Arial" w:eastAsia="Arial" w:hAnsi="Arial"/>
                <w:sz w:val="14"/>
                <w:szCs w:val="14"/>
                <w:color w:val="auto"/>
              </w:rPr>
              <w:t>- fixed rate interest period through 2028; bearing interest at 4.625%</w:t>
            </w: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3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4"/>
              </w:rPr>
              <w:t>Business Finance Authority of the State of New Hampshire Solid Waste Disposal Revenue Bonds Series 2013 ("New Hampshire Bonds") due</w:t>
            </w:r>
          </w:p>
        </w:tc>
        <w:tc>
          <w:tcPr>
            <w:tcW w:w="2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189"/>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April 2029 - fixed rate interest period through 2029; bearing interest at 2.95%</w:t>
            </w:r>
          </w:p>
        </w:tc>
        <w:tc>
          <w:tcPr>
            <w:tcW w:w="2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300" w:type="dxa"/>
            <w:vAlign w:val="bottom"/>
          </w:tcPr>
          <w:p>
            <w:pPr>
              <w:ind w:left="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 maturing through December 2107; bearing interest at a weighted average of 4.6%</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28,263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18,364</w:t>
            </w:r>
          </w:p>
        </w:tc>
        <w:tc>
          <w:tcPr>
            <w:tcW w:w="0" w:type="dxa"/>
            <w:vAlign w:val="bottom"/>
          </w:tcPr>
          <w:p>
            <w:pPr>
              <w:spacing w:after="0"/>
              <w:rPr>
                <w:sz w:val="1"/>
                <w:szCs w:val="1"/>
                <w:color w:val="auto"/>
              </w:rPr>
            </w:pPr>
          </w:p>
        </w:tc>
      </w:tr>
      <w:tr>
        <w:trPr>
          <w:trHeight w:val="197"/>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Notes payable maturing through June 2027; bearing interest at a weighted average of 3.5%</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5,104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5,464</w:t>
            </w:r>
          </w:p>
        </w:tc>
        <w:tc>
          <w:tcPr>
            <w:tcW w:w="0" w:type="dxa"/>
            <w:vAlign w:val="bottom"/>
          </w:tcPr>
          <w:p>
            <w:pPr>
              <w:spacing w:after="0"/>
              <w:rPr>
                <w:sz w:val="1"/>
                <w:szCs w:val="1"/>
                <w:color w:val="auto"/>
              </w:rPr>
            </w:pPr>
          </w:p>
        </w:tc>
      </w:tr>
      <w:tr>
        <w:trPr>
          <w:trHeight w:val="202"/>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amount of debt</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543,067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522,728</w:t>
            </w:r>
          </w:p>
        </w:tc>
        <w:tc>
          <w:tcPr>
            <w:tcW w:w="0" w:type="dxa"/>
            <w:vAlign w:val="bottom"/>
          </w:tcPr>
          <w:p>
            <w:pPr>
              <w:spacing w:after="0"/>
              <w:rPr>
                <w:sz w:val="1"/>
                <w:szCs w:val="1"/>
                <w:color w:val="auto"/>
              </w:rPr>
            </w:pPr>
          </w:p>
        </w:tc>
      </w:tr>
      <w:tr>
        <w:trPr>
          <w:trHeight w:val="197"/>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Less—unamortized debt issuance costs (1)</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8,362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9,406</w:t>
            </w:r>
          </w:p>
        </w:tc>
        <w:tc>
          <w:tcPr>
            <w:tcW w:w="0" w:type="dxa"/>
            <w:vAlign w:val="bottom"/>
          </w:tcPr>
          <w:p>
            <w:pPr>
              <w:spacing w:after="0"/>
              <w:rPr>
                <w:sz w:val="1"/>
                <w:szCs w:val="1"/>
                <w:color w:val="auto"/>
              </w:rPr>
            </w:pPr>
          </w:p>
        </w:tc>
      </w:tr>
      <w:tr>
        <w:trPr>
          <w:trHeight w:val="202"/>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less unamortized debt issuance costs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534,705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513,322</w:t>
            </w:r>
          </w:p>
        </w:tc>
        <w:tc>
          <w:tcPr>
            <w:tcW w:w="0" w:type="dxa"/>
            <w:vAlign w:val="bottom"/>
          </w:tcPr>
          <w:p>
            <w:pPr>
              <w:spacing w:after="0"/>
              <w:rPr>
                <w:sz w:val="1"/>
                <w:szCs w:val="1"/>
                <w:color w:val="auto"/>
              </w:rPr>
            </w:pPr>
          </w:p>
        </w:tc>
      </w:tr>
      <w:tr>
        <w:trPr>
          <w:trHeight w:val="197"/>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Less—current maturities of debt</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6,948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4,301</w:t>
            </w:r>
          </w:p>
        </w:tc>
        <w:tc>
          <w:tcPr>
            <w:tcW w:w="0" w:type="dxa"/>
            <w:vAlign w:val="bottom"/>
          </w:tcPr>
          <w:p>
            <w:pPr>
              <w:spacing w:after="0"/>
              <w:rPr>
                <w:sz w:val="1"/>
                <w:szCs w:val="1"/>
                <w:color w:val="auto"/>
              </w:rPr>
            </w:pPr>
          </w:p>
        </w:tc>
      </w:tr>
      <w:tr>
        <w:trPr>
          <w:trHeight w:val="221"/>
        </w:trPr>
        <w:tc>
          <w:tcPr>
            <w:tcW w:w="8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527,757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509,021</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ind w:left="640" w:hanging="632"/>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 summary of unamortized debt issuance costs by debt instrument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02"/>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Credit Facility and Term Loan Facility (collectively, the "Credit Facility")</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5,478</w:t>
            </w:r>
          </w:p>
        </w:tc>
      </w:tr>
      <w:tr>
        <w:trPr>
          <w:trHeight w:val="196"/>
        </w:trPr>
        <w:tc>
          <w:tcPr>
            <w:tcW w:w="8300" w:type="dxa"/>
            <w:vAlign w:val="bottom"/>
          </w:tcPr>
          <w:p>
            <w:pPr>
              <w:ind w:left="20"/>
              <w:spacing w:after="0"/>
              <w:rPr>
                <w:sz w:val="20"/>
                <w:szCs w:val="20"/>
                <w:color w:val="auto"/>
              </w:rPr>
            </w:pPr>
            <w:r>
              <w:rPr>
                <w:rFonts w:ascii="Arial" w:cs="Arial" w:eastAsia="Arial" w:hAnsi="Arial"/>
                <w:sz w:val="14"/>
                <w:szCs w:val="14"/>
                <w:color w:val="auto"/>
              </w:rPr>
              <w:t>New York Bonds 2014</w:t>
            </w:r>
          </w:p>
        </w:tc>
        <w:tc>
          <w:tcPr>
            <w:tcW w:w="2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1,034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1,057</w:t>
            </w:r>
          </w:p>
        </w:tc>
      </w:tr>
      <w:tr>
        <w:trPr>
          <w:trHeight w:val="209"/>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 Bonds 2014R-2</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390</w:t>
            </w:r>
          </w:p>
        </w:tc>
      </w:tr>
      <w:tr>
        <w:trPr>
          <w:trHeight w:val="196"/>
        </w:trPr>
        <w:tc>
          <w:tcPr>
            <w:tcW w:w="8300" w:type="dxa"/>
            <w:vAlign w:val="bottom"/>
          </w:tcPr>
          <w:p>
            <w:pPr>
              <w:ind w:left="20"/>
              <w:spacing w:after="0"/>
              <w:rPr>
                <w:sz w:val="20"/>
                <w:szCs w:val="20"/>
                <w:color w:val="auto"/>
              </w:rPr>
            </w:pPr>
            <w:r>
              <w:rPr>
                <w:rFonts w:ascii="Arial" w:cs="Arial" w:eastAsia="Arial" w:hAnsi="Arial"/>
                <w:sz w:val="14"/>
                <w:szCs w:val="14"/>
                <w:color w:val="auto"/>
              </w:rPr>
              <w:t>FAME Bonds 2005R-3</w:t>
            </w:r>
          </w:p>
        </w:tc>
        <w:tc>
          <w:tcPr>
            <w:tcW w:w="2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432</w:t>
            </w:r>
          </w:p>
        </w:tc>
      </w:tr>
      <w:tr>
        <w:trPr>
          <w:trHeight w:val="209"/>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FAME Bonds 2015R-1</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552</w:t>
            </w:r>
          </w:p>
        </w:tc>
      </w:tr>
      <w:tr>
        <w:trPr>
          <w:trHeight w:val="196"/>
        </w:trPr>
        <w:tc>
          <w:tcPr>
            <w:tcW w:w="8300" w:type="dxa"/>
            <w:vAlign w:val="bottom"/>
          </w:tcPr>
          <w:p>
            <w:pPr>
              <w:ind w:left="20"/>
              <w:spacing w:after="0"/>
              <w:rPr>
                <w:sz w:val="20"/>
                <w:szCs w:val="20"/>
                <w:color w:val="auto"/>
              </w:rPr>
            </w:pPr>
            <w:r>
              <w:rPr>
                <w:rFonts w:ascii="Arial" w:cs="Arial" w:eastAsia="Arial" w:hAnsi="Arial"/>
                <w:sz w:val="14"/>
                <w:szCs w:val="14"/>
                <w:color w:val="auto"/>
              </w:rPr>
              <w:t>FAME Bonds 2015R-2</w:t>
            </w:r>
          </w:p>
        </w:tc>
        <w:tc>
          <w:tcPr>
            <w:tcW w:w="2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417</w:t>
            </w:r>
          </w:p>
        </w:tc>
      </w:tr>
      <w:tr>
        <w:trPr>
          <w:trHeight w:val="208"/>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Vermont Bonds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541</w:t>
            </w:r>
          </w:p>
        </w:tc>
      </w:tr>
      <w:tr>
        <w:trPr>
          <w:trHeight w:val="197"/>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New Hampshire Bonds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539</w:t>
            </w:r>
          </w:p>
        </w:tc>
      </w:tr>
      <w:tr>
        <w:trPr>
          <w:trHeight w:val="221"/>
        </w:trPr>
        <w:tc>
          <w:tcPr>
            <w:tcW w:w="8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8,362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9,406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As of June 30, 2020, we are party to a credit agreement ("Credit Agreement"), which provides for a $350,000 Term Loan Facility and a $200,000 Revolving Credit Facility. We have the right to request, at our discretion, an increase in the amount of loans under the Credit Facility by an aggregate amount of $125,000, subject to the terms and conditions set forth in the Credit Agreement.</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Credit Facility has a 5-year term that matures in May 2023 and bears interest at a rate of LIBOR plus 1.75% per annum, which will be reduced to a rate of LIBOR plus as low as 1.25% upon us reaching a consolidated net leverage ratio of less than 2.25x. The Credit Facility is guaranteed jointly and severally, fully and unconditionally by all of our significant wholly-owned subsidiaries and secured by substantially all of our assets. As of June 30, 2020, further advances were available under the Credit Facility in the amount of $135,875. The available amount is net of outstanding irrevocable letters of credit totaling $26,425, at which date no amount had been drawn.</w:t>
      </w:r>
    </w:p>
    <w:p>
      <w:pPr>
        <w:spacing w:after="0" w:line="8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Credit Agreement requires us to maintain a minimum interest coverage ratio and a maximum consolidated net leverage ratio, to be measured at the end of each fiscal quarter. As of June 30, 2020, we were in compliance with the covenants contained in the Credit Agreement. In addition to these financial covenants,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In the six months ended June 30, 2020, we entered into three forward starting interest rate derivative agreements with a total notional amount of $60,000 that will serve to replace existing interest rate derivative agreements upon their expiration between June 2022 and May 2023. In the six months ended June 30, 2020, we also amended three interest rate derivative agreements to settle each of the 1.0% floors and replace each with a 0.0% floor in line with our Term Loan Facility, which resulted in us dedesignating the original hedging relationships. We subsequently designated new hedging relationships between the three interest rate derivative agreements and the variable rate interest payments related to the Term Loan Facility based on a quantitative assessment that was performed using regression analysis, which indicated that the hedging relationships were highly effective. Because the interest rate payments associated with the variable rate portion of our long-term debt will still occur, the net loss of $(765) associated with the dedesignated interest rate derivative agreements and the $430 cash settlement received in exchange for settling the 1.0% floors in accumulated other comprehensive loss were not reclassified into earnings. Instead, this loss and settlement amount will continue to be reclassified from accumulated other comprehensive loss into interest expense as the interest payments affect earnings.</w:t>
      </w:r>
    </w:p>
    <w:p>
      <w:pPr>
        <w:spacing w:after="0" w:line="6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both June 30, 2020 and December 31, 2019, our interest rate derivative agreements have a total notional amount of $190,000. According to the terms of the agreements, we receive interest based on the 1-month LIBOR index and pay interest at a weighted average rate of approximately 2.54%. The agreements mature between February 2021 and May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7" w:name="page18"/>
    <w:bookmarkEnd w:id="17"/>
    <w:p>
      <w:pPr>
        <w:ind w:right="40"/>
        <w:spacing w:after="0" w:line="263" w:lineRule="auto"/>
        <w:rPr>
          <w:sz w:val="20"/>
          <w:szCs w:val="20"/>
          <w:color w:val="auto"/>
        </w:rPr>
      </w:pPr>
      <w:r>
        <w:rPr>
          <w:rFonts w:ascii="Arial" w:cs="Arial" w:eastAsia="Arial" w:hAnsi="Arial"/>
          <w:sz w:val="18"/>
          <w:szCs w:val="18"/>
          <w:color w:val="auto"/>
        </w:rPr>
        <w:t>Additionally, we have forward starting interest rate derivative agreements with a total notional amount of $125,000 that mature between February 2026 and May 2028. We receive interest based on the 1-month LIBOR index, restricted by a 0.0% floor, and will pay interest at a weighted average rate of approximately 1.63%.</w:t>
      </w:r>
    </w:p>
    <w:p>
      <w:pPr>
        <w:spacing w:after="0" w:line="7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effect of cash flow hedges related to derivative instruments on the consolidated balance sheet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80" w:type="dxa"/>
            <w:vAlign w:val="bottom"/>
          </w:tcPr>
          <w:p>
            <w:pPr>
              <w:spacing w:after="0"/>
              <w:rPr>
                <w:sz w:val="13"/>
                <w:szCs w:val="13"/>
                <w:color w:val="auto"/>
              </w:rPr>
            </w:pPr>
          </w:p>
        </w:tc>
        <w:tc>
          <w:tcPr>
            <w:tcW w:w="408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3"/>
                <w:szCs w:val="13"/>
                <w:color w:val="auto"/>
              </w:rPr>
            </w:pPr>
          </w:p>
        </w:tc>
        <w:tc>
          <w:tcPr>
            <w:tcW w:w="114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CCEEFF"/>
            </w:tcBorders>
          </w:tcPr>
          <w:p>
            <w:pPr>
              <w:spacing w:after="0"/>
              <w:rPr>
                <w:sz w:val="16"/>
                <w:szCs w:val="16"/>
                <w:color w:val="auto"/>
              </w:rPr>
            </w:pPr>
          </w:p>
        </w:tc>
        <w:tc>
          <w:tcPr>
            <w:tcW w:w="4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4,636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9,962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80" w:type="dxa"/>
            <w:vAlign w:val="bottom"/>
            <w:tcBorders>
              <w:bottom w:val="single" w:sz="8" w:color="CCEEFF"/>
            </w:tcBorders>
            <w:shd w:val="clear" w:color="auto" w:fill="CCEEFF"/>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14,598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5,427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Interest rate swaps - tax provision</w:t>
            </w: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80" w:type="dxa"/>
            <w:vAlign w:val="bottom"/>
            <w:tcBorders>
              <w:bottom w:val="single" w:sz="8" w:color="CCEEFF"/>
            </w:tcBorders>
            <w:shd w:val="clear" w:color="auto" w:fill="CCEEFF"/>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(14,799)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120"/>
        <w:spacing w:after="0" w:line="276" w:lineRule="auto"/>
        <w:rPr>
          <w:sz w:val="20"/>
          <w:szCs w:val="20"/>
          <w:color w:val="auto"/>
        </w:rPr>
      </w:pPr>
      <w:r>
        <w:rPr>
          <w:rFonts w:ascii="Arial" w:cs="Arial" w:eastAsia="Arial" w:hAnsi="Arial"/>
          <w:sz w:val="18"/>
          <w:szCs w:val="18"/>
          <w:color w:val="auto"/>
        </w:rPr>
        <w:t>A summary of the amount of expense on cash flow hedging relationships related to interest rate swaps reclassified from accumulated other comprehensive loss into earnings follows:</w:t>
      </w:r>
    </w:p>
    <w:tbl>
      <w:tblPr>
        <w:tblLayout w:type="fixed"/>
        <w:tblInd w:w="0" w:type="dxa"/>
        <w:tblCellMar>
          <w:top w:w="0" w:type="dxa"/>
          <w:left w:w="0" w:type="dxa"/>
          <w:bottom w:w="0" w:type="dxa"/>
          <w:right w:w="0" w:type="dxa"/>
        </w:tblCellMar>
      </w:tblPr>
      <w:tr>
        <w:trPr>
          <w:trHeight w:val="150"/>
        </w:trPr>
        <w:tc>
          <w:tcPr>
            <w:tcW w:w="13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gridSpan w:val="3"/>
          </w:tcPr>
          <w:p>
            <w:pPr>
              <w:jc w:val="center"/>
              <w:ind w:left="368"/>
              <w:spacing w:after="0" w:line="150" w:lineRule="exact"/>
              <w:rPr>
                <w:sz w:val="20"/>
                <w:szCs w:val="20"/>
                <w:color w:val="auto"/>
              </w:rPr>
            </w:pPr>
            <w:r>
              <w:rPr>
                <w:rFonts w:ascii="Arial" w:cs="Arial" w:eastAsia="Arial" w:hAnsi="Arial"/>
                <w:sz w:val="14"/>
                <w:szCs w:val="14"/>
                <w:b w:val="1"/>
                <w:bCs w:val="1"/>
                <w:color w:val="auto"/>
                <w:w w:val="95"/>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2"/>
          </w:tcPr>
          <w:p>
            <w:pPr>
              <w:jc w:val="center"/>
              <w:ind w:left="464"/>
              <w:spacing w:after="0" w:line="150" w:lineRule="exact"/>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3"/>
                <w:szCs w:val="13"/>
                <w:color w:val="auto"/>
              </w:rPr>
            </w:pPr>
          </w:p>
        </w:tc>
      </w:tr>
      <w:tr>
        <w:trPr>
          <w:trHeight w:val="192"/>
        </w:trPr>
        <w:tc>
          <w:tcPr>
            <w:tcW w:w="13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79"/>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left="484"/>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r>
      <w:tr>
        <w:trPr>
          <w:trHeight w:val="196"/>
        </w:trPr>
        <w:tc>
          <w:tcPr>
            <w:tcW w:w="1360" w:type="dxa"/>
            <w:vAlign w:val="bottom"/>
          </w:tcPr>
          <w:p>
            <w:pPr>
              <w:spacing w:after="0"/>
              <w:rPr>
                <w:sz w:val="17"/>
                <w:szCs w:val="17"/>
                <w:color w:val="auto"/>
              </w:rPr>
            </w:pPr>
          </w:p>
        </w:tc>
        <w:tc>
          <w:tcPr>
            <w:tcW w:w="3840" w:type="dxa"/>
            <w:vAlign w:val="bottom"/>
            <w:gridSpan w:val="2"/>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89"/>
              </w:rPr>
              <w:t>2019</w:t>
            </w:r>
          </w:p>
        </w:tc>
      </w:tr>
      <w:tr>
        <w:trPr>
          <w:trHeight w:val="196"/>
        </w:trPr>
        <w:tc>
          <w:tcPr>
            <w:tcW w:w="136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Statement of Operations Location</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359"/>
              <w:spacing w:after="0"/>
              <w:rPr>
                <w:sz w:val="20"/>
                <w:szCs w:val="20"/>
                <w:color w:val="auto"/>
              </w:rPr>
            </w:pPr>
            <w:r>
              <w:rPr>
                <w:rFonts w:ascii="Arial" w:cs="Arial" w:eastAsia="Arial" w:hAnsi="Arial"/>
                <w:sz w:val="14"/>
                <w:szCs w:val="14"/>
                <w:b w:val="1"/>
                <w:bCs w:val="1"/>
                <w:color w:val="auto"/>
                <w:w w:val="91"/>
              </w:rPr>
              <w:t>(Expense) Income</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w w:val="91"/>
              </w:rPr>
              <w:t>(Expense) Income</w:t>
            </w:r>
          </w:p>
        </w:tc>
        <w:tc>
          <w:tcPr>
            <w:tcW w:w="880" w:type="dxa"/>
            <w:vAlign w:val="bottom"/>
            <w:tcBorders>
              <w:bottom w:val="single" w:sz="8" w:color="auto"/>
            </w:tcBorders>
          </w:tcPr>
          <w:p>
            <w:pPr>
              <w:spacing w:after="0"/>
              <w:rPr>
                <w:sz w:val="17"/>
                <w:szCs w:val="17"/>
                <w:color w:val="auto"/>
              </w:rPr>
            </w:pPr>
          </w:p>
        </w:tc>
      </w:tr>
      <w:tr>
        <w:trPr>
          <w:trHeight w:val="243"/>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Interest expense</w:t>
            </w:r>
          </w:p>
        </w:tc>
        <w:tc>
          <w:tcPr>
            <w:tcW w:w="4740" w:type="dxa"/>
            <w:vAlign w:val="bottom"/>
            <w:gridSpan w:val="3"/>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95"/>
              </w:rPr>
              <w:t>(990)</w:t>
            </w:r>
          </w:p>
        </w:tc>
        <w:tc>
          <w:tcPr>
            <w:tcW w:w="10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(1,293)</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115</w:t>
            </w:r>
          </w:p>
        </w:tc>
      </w:tr>
      <w:tr>
        <w:trPr>
          <w:trHeight w:val="27"/>
        </w:trPr>
        <w:tc>
          <w:tcPr>
            <w:tcW w:w="136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ind w:right="7520" w:firstLine="8"/>
        <w:spacing w:after="0" w:line="378" w:lineRule="auto"/>
        <w:tabs>
          <w:tab w:leader="none" w:pos="27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Proceedings</w:t>
      </w:r>
    </w:p>
    <w:p>
      <w:pPr>
        <w:ind w:right="60"/>
        <w:spacing w:after="0" w:line="254"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accordance with FASB ASC 450 - Contingencies, we accrue for legal proceedings, inclusive of legal costs, when losses become probable and reasonably estimable.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Environmental Remediation Liability (including related litigation)</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11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was operated by SRD and later closed in November 2018 when Southbridge Landfill reached its final capacity. Those results indicated the presence of contaminants above the levels triggering notice and response obligations under MADEP regulations. In response to those results, we have carried out an Immediate Response Action pursuant to Massachusetts General Law Chapter 21E (the "Charlton 21E Obligations") pursuant to state law. Further, we implemented a plan to analyze and better understand the groundwater near the Southbridge Landfill and we investigated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 We believe the Litigation to be factually inaccurate, and without legal merit, and we and SRD are vigorously defending the Litigation. Nevertheless, we believe it is reasonably possible that a loss will occur as a result of the Litigation although an estimate of loss cannot be reasonably provided at this time.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5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December 2017, we filed a Motion to Dismiss the Litigation, and on October 1, 2018, the Massachusetts Court granted our Motion to Dismiss, and accordingly, dismissed the Citizen Groups claims under the Acts. The Massachusetts Court has retained jurisdiction of the Residents claims. The Citizen Groups intend to appeal the Massachusetts Court’s decision to grant our Motion to Dismiss. The Residents moved for a stay of their case until the Citizen Groups appealed. We opposed the stay and in March 2019, the Massachusetts Court denied the Residents motion for a stay. We are in active discovery in the Residents case.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9" w:name="page20"/>
    <w:bookmarkEnd w:id="19"/>
    <w:p>
      <w:pPr>
        <w:ind w:right="60"/>
        <w:spacing w:after="0" w:line="270" w:lineRule="auto"/>
        <w:rPr>
          <w:sz w:val="20"/>
          <w:szCs w:val="20"/>
          <w:color w:val="auto"/>
        </w:rPr>
      </w:pPr>
      <w:r>
        <w:rPr>
          <w:rFonts w:ascii="Arial" w:cs="Arial" w:eastAsia="Arial" w:hAnsi="Arial"/>
          <w:sz w:val="17"/>
          <w:szCs w:val="17"/>
          <w:color w:val="auto"/>
        </w:rPr>
        <w:t>We entered into an Administrative Consent Order on April 26, 2017 (the “ACO”), with MADEP, the Town, and the Town of Charlton, committing us to equally share the costs with MADEP, of up to $10,000 ($5,000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has issued a twenty (20) year bond for our portion of the Waterline costs in the amount of $4,089. We have agreed to reimburse the Town for periodic payments under such bond. Construction of the Waterline is complete and homeowners are relying on municipal water supply. Remaining aspects of the project are minor and are expected to be completed in 2020. Bond reimbursement to the Town commenced in the quarter ended June 30, 2020.</w:t>
      </w:r>
    </w:p>
    <w:p>
      <w:pPr>
        <w:spacing w:after="0" w:line="73"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We have recorded an environmental remediation liability related to our obligation associated with the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Southbridge Landfill follows:</w:t>
      </w:r>
    </w:p>
    <w:p>
      <w:pPr>
        <w:spacing w:after="0" w:line="55"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13335</wp:posOffset>
            </wp:positionV>
            <wp:extent cx="18859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4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4,596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5,173</w:t>
            </w:r>
          </w:p>
        </w:tc>
      </w:tr>
      <w:tr>
        <w:trPr>
          <w:trHeight w:val="243"/>
        </w:trPr>
        <w:tc>
          <w:tcPr>
            <w:tcW w:w="8240" w:type="dxa"/>
            <w:vAlign w:val="bottom"/>
          </w:tcPr>
          <w:p>
            <w:pPr>
              <w:ind w:left="340"/>
              <w:spacing w:after="0"/>
              <w:rPr>
                <w:sz w:val="20"/>
                <w:szCs w:val="20"/>
                <w:color w:val="auto"/>
              </w:rPr>
            </w:pPr>
            <w:r>
              <w:rPr>
                <w:rFonts w:ascii="Arial" w:cs="Arial" w:eastAsia="Arial" w:hAnsi="Arial"/>
                <w:sz w:val="18"/>
                <w:szCs w:val="18"/>
                <w:color w:val="auto"/>
              </w:rPr>
              <w:t>Accretion expense</w:t>
            </w:r>
          </w:p>
        </w:tc>
        <w:tc>
          <w:tcPr>
            <w:tcW w:w="86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65</w:t>
            </w:r>
          </w:p>
        </w:tc>
      </w:tr>
      <w:tr>
        <w:trPr>
          <w:trHeight w:val="27"/>
        </w:trPr>
        <w:tc>
          <w:tcPr>
            <w:tcW w:w="8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Obligations incurred</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 xml:space="preserve">Revisions in estimates </w:t>
            </w:r>
            <w:r>
              <w:rPr>
                <w:rFonts w:ascii="Arial" w:cs="Arial" w:eastAsia="Arial" w:hAnsi="Arial"/>
                <w:sz w:val="14"/>
                <w:szCs w:val="14"/>
                <w:color w:val="auto"/>
              </w:rPr>
              <w:t>(1)</w:t>
            </w:r>
          </w:p>
        </w:tc>
        <w:tc>
          <w:tcPr>
            <w:tcW w:w="8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(2)</w:t>
            </w:r>
          </w:p>
        </w:tc>
        <w:tc>
          <w:tcPr>
            <w:tcW w:w="8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(392)</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6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8"/>
              </w:rPr>
              <w:t>4,205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4,846</w:t>
            </w:r>
          </w:p>
        </w:tc>
      </w:tr>
      <w:tr>
        <w:trPr>
          <w:trHeight w:val="27"/>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8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60" w:right="60" w:hanging="652"/>
        <w:spacing w:after="0" w:line="273" w:lineRule="auto"/>
        <w:tabs>
          <w:tab w:leader="none" w:pos="652"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The revision of estimate is associated with the completion of the environmental remediation at the site. See Note 13, </w:t>
      </w:r>
      <w:r>
        <w:rPr>
          <w:rFonts w:ascii="Arial" w:cs="Arial" w:eastAsia="Arial" w:hAnsi="Arial"/>
          <w:sz w:val="14"/>
          <w:szCs w:val="14"/>
          <w:i w:val="1"/>
          <w:iCs w:val="1"/>
          <w:color w:val="auto"/>
        </w:rPr>
        <w:t>Other Items and Charges</w:t>
      </w:r>
      <w:r>
        <w:rPr>
          <w:rFonts w:ascii="Arial" w:cs="Arial" w:eastAsia="Arial" w:hAnsi="Arial"/>
          <w:sz w:val="14"/>
          <w:szCs w:val="14"/>
          <w:color w:val="auto"/>
        </w:rPr>
        <w:t xml:space="preserve"> to our consolidated financial statements for further discussion.</w:t>
      </w:r>
    </w:p>
    <w:p>
      <w:pPr>
        <w:spacing w:after="0" w:line="11" w:lineRule="exact"/>
        <w:rPr>
          <w:rFonts w:ascii="Arial" w:cs="Arial" w:eastAsia="Arial" w:hAnsi="Arial"/>
          <w:sz w:val="14"/>
          <w:szCs w:val="14"/>
          <w:color w:val="auto"/>
        </w:rPr>
      </w:pPr>
    </w:p>
    <w:p>
      <w:pPr>
        <w:ind w:left="640" w:hanging="632"/>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amounts that are being processed through accounts payable as a part of our disbursements cycle.</w:t>
      </w:r>
    </w:p>
    <w:p>
      <w:pPr>
        <w:spacing w:after="0" w:line="11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completed the first phase of landfill capping and closure in the fiscal year ended December 31, 2019 at the Southbridge Landfill and are actively seeking approval from MADEP to close and cap the remainder of the landfill.</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$10,219.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$12,130.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The majority of the remediation work has been completed as of June 30, 2020. WSI is jointly and severally liable with NiMo, Alcoa and Reynolds for the total cost to remediate.</w:t>
      </w:r>
    </w:p>
    <w:p>
      <w:pPr>
        <w:spacing w:after="0" w:line="6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Potsdam site based on incurred costs to date and estimated costs to complete the remediation in other accrued liabilities and other long-term liabilities. We inflate the estimated costs in current dollars to the expected time of payment and discount the total cost to present value using a risk-free interest rate of 1.5%. The environmental remediation liability associated with the Potsdam site was $1,151 as of both June 30, 2020 and December 31,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or about March 8, 2018, the Citizen Groups described above delivered correspondence to our subsidiary, North Country Environmental Services, Inc. ("NCES"), and us, providing notice of the Citizen Groups' intent to sue NCES and us for violations of the CWA in conjunction with NCES's operation of its landfill in Bethlehem, New Hampshire ("NCES Landfill"). On May 14, 2018, the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On June 15, 2018, we and NCES filed a Motion to Dismiss the New Hampshire Litigation. On July 13, 2018, the Citizen Groups filed objections to our Motion to Dismiss. On July 27, 2018, we filed a reply in support of our Motion to Dismiss. On September 25, 2018, the New Hampshire Court denied our Motion to Dismiss. In March of 2019, we filed a motion in the New Hampshire Litigation asking for a stay of this litigation until certain appeals from discordant federal circuit courts were heard by the Supreme Court of the United States (“SCOTUS”), in the case identified as “County of Maui v. Hawaii Wildlife Fund (“MAUI”)". Our motion for a stay was granted in the New Hampshire Litigation, and SCOTUS heard the case in 2019 and issued a ruling on April 23, 2020. SCOTUS remanded the case to the U.S. Court of Appeals for the Ninth Circuit in San Francisco (the “Circuit Court”) ruling that the Circuit Court’s standard as to whether ground water impacts navigable waters is too broad. We do not believe that the MAUI decision resolves the issues presented in the New Hampshire Litigation, and until the Circuit Court rules in the remanded MAUI case, we intend to continue to vigorously defend against the New Hampshire Litigation, which we believe is without merit. The Citizens Groups filed a motion with the New Hampshire Court on July 15, 2020 to amend their complaint based on MAUI. We intend to oppose this motion to amend, and our filing is due August 7, 2020.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Ontario County, New York Class Action Litigation</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or about September 17, 2019, Richard Vandemortel and Deb Vandemortel filed a class action complaint against us on behalf of similarly situated citizens in Ontario County, New York. The lawsuit has been filed in Ontario County (the “New York Litigation”). It alleges that over one thousand (1,000) citizens constitute the putative class in the New York Litigation, and it seeks damages for diminution of property values and infringement of the putative class’ rights to live without interference to their daily lives due to odors emanating from the Subtitle D landfill located in Seneca, New York , which is operated by us pursuant to a long-term Operation, Maintenance and Lease Agreement with Ontario County. The New York Litigation was served on us on October 14, 2019. We intend to present a vigorous defense.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Hakes Landfill Litigation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or about December 19, 2019, the New York State Department of Environmental Conservation (“Department”) issued certain permits to us to expand the landfill owned and operated by Hakes C&amp;D Disposal Inc. in the Town of Campbell, Steuben County, New York (“Hakes Landfill”). The permits authorize approximately five years of expansion capacity at the Hakes Landfill. The authorizations issued by the Department followed approvals issued by the Town of Campbell Planning Board (“Planning Board”) in January 2019, and the Town Board of the Town of Campbell (“Town Board”) in March 2019, granting site plan review and a zoning change for the project.</w:t>
      </w:r>
    </w:p>
    <w:p>
      <w:pPr>
        <w:spacing w:after="0" w:line="8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Litigation was commenced by the Sierra Club, several other non-governmental organizations, and several individuals (“the Petitioners”), challenging the approvals issued by the Department, the Planning Board and the Town Board in New York State Supreme Court, Steuben County (the “Litigation”). The challenge was based upon allegations that the agencies issuing these approvals did not follow the requirements of Article 8 of the Environmental Conservation Law of the State of New York, the State Environmental Quality Review Act (“SEQRA”), by failing to address certain radioactivity issues alleged by Petitioners to be associated with certain drilling wastes authorized for disposal at the Hakes Landfill. The Petitioners also made a motion for a preliminary injunction to restrain construction and operation of the expansion cell. We filed a motion to dismiss the Litigation filed by the Petitioners, and on July 31, 2020, the motion to dismiss was granted, which also rendered the preliminary injunction motion moot, and confirmed that the Town of Campbell and the Department reviewed scientific evidence, came to a reasoned decision, and all procedural requirements were met in the issuance of the approvals.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Contingency</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January 9, 2019, NCES filed an application for a 1.2 million (cy) expansion of the capacity of the NCES Landfill with the New Hampshire Department of Environmental Services (“NHDES”) (“Stage VI Expansion”). The Stage VI Expansion would provide NCES with over five (5) years of additional capacity beyond the capacity of Stage V.</w:t>
      </w:r>
    </w:p>
    <w:p>
      <w:pPr>
        <w:spacing w:after="0" w:line="7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January 2020, NHDES informed NCES and us that NHDES had concerns regarding the short-term public benefit need for the Stage VI Expansion, and also in respect of certain technical concerns regarding the Stage VI Expansion. Because we believe that the NHDES reviewed our permit application for the Stage VI Expansion with respect to public benefit determination using a different regulatory framework than used in any of our previous permitting activities at NCES, we informed the NHDES on February 11, 2020, that while we vigorously disagreed with NHDES’ review of our application and the context for the NHDES’ concerns, we would withdraw our application with the expectation of refiling the application with the NHDES as soon as possible. We refiled our application on March 17, 2020. Our application has been deemed administratively complete, and a public hearing is scheduled for August 25, 2020. While the refiling of the application for the Stage VI Expansion could be rejected by the NHDES, and while delay of the Stage VI Expansion will occur, we remain confident that we will receive a permit for the Stage VI Expansion. We believe that a loss of $1,424 is reasonably possible, but not probable.</w:t>
      </w:r>
    </w:p>
    <w:p>
      <w:pPr>
        <w:spacing w:after="0" w:line="192" w:lineRule="exact"/>
        <w:rPr>
          <w:sz w:val="20"/>
          <w:szCs w:val="20"/>
          <w:color w:val="auto"/>
        </w:rPr>
      </w:pPr>
    </w:p>
    <w:p>
      <w:pPr>
        <w:ind w:right="8660" w:firstLine="8"/>
        <w:spacing w:after="0" w:line="378" w:lineRule="auto"/>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Based Compensation</w:t>
      </w:r>
    </w:p>
    <w:p>
      <w:pPr>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fiscal year ended December 31, 2016, we adopted the 2016 Incentive Plan (“2016 Plan”). Under the 2016 Plan, we may grant 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June 30, 2020, there were 1,114 Class A common stock equivalents available for future grant under the 2016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 year to four year period from the date of grant.</w:t>
      </w:r>
    </w:p>
    <w:p>
      <w:pPr>
        <w:spacing w:after="0" w:line="6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fair value of each stock option granted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 summary of stock option activity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2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5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Stock Options</w:t>
            </w: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Term (years)</w:t>
            </w:r>
          </w:p>
        </w:tc>
        <w:tc>
          <w:tcPr>
            <w:tcW w:w="20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420" w:type="dxa"/>
            <w:vAlign w:val="bottom"/>
            <w:tcBorders>
              <w:top w:val="single" w:sz="8" w:color="auto"/>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June 30, 2020</w:t>
            </w:r>
          </w:p>
        </w:tc>
        <w:tc>
          <w:tcPr>
            <w:tcW w:w="142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June 30, 2020</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20" w:type="dxa"/>
            <w:vAlign w:val="bottom"/>
            <w:vMerge w:val="continue"/>
          </w:tcPr>
          <w:p>
            <w:pPr>
              <w:spacing w:after="0"/>
              <w:rPr>
                <w:sz w:val="18"/>
                <w:szCs w:val="18"/>
                <w:color w:val="auto"/>
              </w:rPr>
            </w:pPr>
          </w:p>
        </w:tc>
        <w:tc>
          <w:tcPr>
            <w:tcW w:w="1420" w:type="dxa"/>
            <w:vAlign w:val="bottom"/>
          </w:tcPr>
          <w:p>
            <w:pPr>
              <w:ind w:left="108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9"/>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record any stock-based compensation expense for stock options during each of the three and six months ended June 30, 2020 and June 30, 2019, respectively.</w:t>
      </w:r>
    </w:p>
    <w:p>
      <w:pPr>
        <w:spacing w:after="0" w:line="62" w:lineRule="exact"/>
        <w:rPr>
          <w:sz w:val="20"/>
          <w:szCs w:val="20"/>
          <w:color w:val="auto"/>
        </w:rPr>
      </w:pPr>
    </w:p>
    <w:p>
      <w:pPr>
        <w:ind w:right="920"/>
        <w:spacing w:after="0" w:line="375" w:lineRule="auto"/>
        <w:rPr>
          <w:sz w:val="20"/>
          <w:szCs w:val="20"/>
          <w:color w:val="auto"/>
        </w:rPr>
      </w:pPr>
      <w:r>
        <w:rPr>
          <w:rFonts w:ascii="Arial" w:cs="Arial" w:eastAsia="Arial" w:hAnsi="Arial"/>
          <w:sz w:val="18"/>
          <w:szCs w:val="18"/>
          <w:color w:val="auto"/>
        </w:rPr>
        <w:t xml:space="preserve">During the three and six months ended June 30, 2020, the aggregate intrinsic value of stock options exercised was $296 and $296, respectively. </w:t>
      </w:r>
      <w:r>
        <w:rPr>
          <w:rFonts w:ascii="Arial" w:cs="Arial" w:eastAsia="Arial" w:hAnsi="Arial"/>
          <w:sz w:val="18"/>
          <w:szCs w:val="18"/>
          <w:b w:val="1"/>
          <w:bCs w:val="1"/>
          <w:i w:val="1"/>
          <w:iCs w:val="1"/>
          <w:color w:val="auto"/>
        </w:rPr>
        <w:t>Other Stock Awards</w:t>
      </w:r>
    </w:p>
    <w:p>
      <w:pPr>
        <w:spacing w:after="0" w:line="1"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Generally, restricted stock awards granted to non-employee directors vest incrementally over a three year period beginning on the first anniversary of the date of grant. Restricted stock units granted to non-employee directors vest in full on the first anniversary of the grant date. Restricted stock units granted to employees vest incrementally over an identified service period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restricted stock unit and performance stock unit activity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Restricted Stock,</w:t>
            </w: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Restricted Stock Units,</w:t>
            </w: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Average Grant Date</w:t>
            </w: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2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and Performance Stock Units</w:t>
            </w:r>
          </w:p>
        </w:tc>
        <w:tc>
          <w:tcPr>
            <w:tcW w:w="860" w:type="dxa"/>
            <w:vAlign w:val="bottom"/>
          </w:tcPr>
          <w:p>
            <w:pPr>
              <w:jc w:val="center"/>
              <w:ind w:left="477"/>
              <w:spacing w:after="0" w:line="149" w:lineRule="exact"/>
              <w:rPr>
                <w:sz w:val="20"/>
                <w:szCs w:val="20"/>
                <w:color w:val="auto"/>
              </w:rPr>
            </w:pPr>
            <w:r>
              <w:rPr>
                <w:rFonts w:ascii="Arial" w:cs="Arial" w:eastAsia="Arial" w:hAnsi="Arial"/>
                <w:sz w:val="14"/>
                <w:szCs w:val="14"/>
                <w:b w:val="1"/>
                <w:bCs w:val="1"/>
                <w:color w:val="auto"/>
              </w:rPr>
              <w:t>Fair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Term (years)</w:t>
            </w:r>
          </w:p>
        </w:tc>
        <w:tc>
          <w:tcPr>
            <w:tcW w:w="20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49"/>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96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28.23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77"/>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860" w:type="dxa"/>
            <w:vAlign w:val="bottom"/>
          </w:tcPr>
          <w:p>
            <w:pPr>
              <w:jc w:val="right"/>
              <w:ind w:right="657"/>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47.39</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Class A Common Stock Vested</w:t>
            </w:r>
          </w:p>
        </w:tc>
        <w:tc>
          <w:tcPr>
            <w:tcW w:w="1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21.95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960" w:type="dxa"/>
            <w:vAlign w:val="bottom"/>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860" w:type="dxa"/>
            <w:vAlign w:val="bottom"/>
          </w:tcPr>
          <w:p>
            <w:pPr>
              <w:jc w:val="right"/>
              <w:ind w:right="657"/>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35.18</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June 30, 2020</w:t>
            </w:r>
          </w:p>
        </w:tc>
        <w:tc>
          <w:tcPr>
            <w:tcW w:w="1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37.01</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21,414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Unvested, June 30, 2020</w:t>
            </w: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vMerge w:val="continue"/>
          </w:tcPr>
          <w:p>
            <w:pPr>
              <w:spacing w:after="0"/>
              <w:rPr>
                <w:sz w:val="18"/>
                <w:szCs w:val="18"/>
                <w:color w:val="auto"/>
              </w:rPr>
            </w:pPr>
          </w:p>
        </w:tc>
        <w:tc>
          <w:tcPr>
            <w:tcW w:w="1960" w:type="dxa"/>
            <w:vAlign w:val="bottom"/>
          </w:tcPr>
          <w:p>
            <w:pPr>
              <w:jc w:val="right"/>
              <w:ind w:right="77"/>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860" w:type="dxa"/>
            <w:vAlign w:val="bottom"/>
          </w:tcPr>
          <w:p>
            <w:pPr>
              <w:jc w:val="right"/>
              <w:ind w:right="657"/>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37.62</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9"/>
              <w:spacing w:after="0"/>
              <w:rPr>
                <w:sz w:val="20"/>
                <w:szCs w:val="20"/>
                <w:color w:val="auto"/>
              </w:rPr>
            </w:pPr>
            <w:r>
              <w:rPr>
                <w:rFonts w:ascii="Arial" w:cs="Arial" w:eastAsia="Arial" w:hAnsi="Arial"/>
                <w:sz w:val="18"/>
                <w:szCs w:val="18"/>
                <w:color w:val="auto"/>
              </w:rPr>
              <w:t>36,491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right="140" w:hanging="652"/>
        <w:spacing w:after="0" w:line="273" w:lineRule="auto"/>
        <w:tabs>
          <w:tab w:leader="none" w:pos="652" w:val="left"/>
        </w:tabs>
        <w:numPr>
          <w:ilvl w:val="0"/>
          <w:numId w:val="8"/>
        </w:numPr>
        <w:rPr>
          <w:rFonts w:ascii="Arial" w:cs="Arial" w:eastAsia="Arial" w:hAnsi="Arial"/>
          <w:sz w:val="14"/>
          <w:szCs w:val="14"/>
          <w:color w:val="auto"/>
        </w:rPr>
      </w:pPr>
      <w:r>
        <w:rPr>
          <w:rFonts w:ascii="Arial" w:cs="Arial" w:eastAsia="Arial" w:hAnsi="Arial"/>
          <w:sz w:val="14"/>
          <w:szCs w:val="14"/>
          <w:color w:val="auto"/>
        </w:rPr>
        <w:t>Market-based performance stock unit grants are included at the 100% attainment level. Attainment of the maximum performance targets and market achievements would result in the issuance of an additional 289 shares of Class A common stock currently included in unvested.</w:t>
      </w:r>
    </w:p>
    <w:p>
      <w:pPr>
        <w:spacing w:after="0" w:line="70"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Stock-based compensation expense related to restricted stock, restricted stock units and performance stock units was $1,763 and $3,277 during the three and six months ended June 30, 2020, respectively, as compared to $1,835 and $3,225 during the three and six months ended June 30, 2019,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2020, the total fair value of other stock awards vested was $872 and $5,851,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ind w:right="20"/>
        <w:spacing w:after="0" w:line="301" w:lineRule="auto"/>
        <w:rPr>
          <w:sz w:val="20"/>
          <w:szCs w:val="20"/>
          <w:color w:val="auto"/>
        </w:rPr>
      </w:pPr>
      <w:r>
        <w:rPr>
          <w:rFonts w:ascii="Arial" w:cs="Arial" w:eastAsia="Arial" w:hAnsi="Arial"/>
          <w:sz w:val="16"/>
          <w:szCs w:val="16"/>
          <w:color w:val="auto"/>
        </w:rPr>
        <w:t>As of June 30, 2020, total unrecognized stock-based compensation expense related to outstanding restricted stock was $41, which will be recognized over a weighted average period of 2.5 years. As of June 30, 2020, total unrecognized stock-based compensation expense related to outstanding restricted stock units was $4,892, which will be recognized over a weighted average period of 2.0 years. As of June 30, 2020, total unrecognized stock-based compensation expense related to outstanding performance stock units was $6,282 to be recognized over a weighted average period of 1.9 years.</w:t>
      </w:r>
    </w:p>
    <w:p>
      <w:pPr>
        <w:spacing w:after="0" w:line="4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also recorded $56 and $103 of stock-based compensation expense related to our Amended and Restated 1997 Employee Stock Purchase Plan during the three and six months ended June 30, 2020, respectively, as compared to $54 and $95 during the three and six months ended June 30, 2019, respectively.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balances of each component of accumulated other comprehensive loss, net of tax follows:</w:t>
      </w:r>
    </w:p>
    <w:p>
      <w:pPr>
        <w:spacing w:after="0" w:line="109" w:lineRule="exact"/>
        <w:rPr>
          <w:sz w:val="20"/>
          <w:szCs w:val="20"/>
          <w:color w:val="auto"/>
        </w:rPr>
      </w:pPr>
    </w:p>
    <w:p>
      <w:pPr>
        <w:ind w:left="9920"/>
        <w:spacing w:after="0"/>
        <w:rPr>
          <w:sz w:val="20"/>
          <w:szCs w:val="20"/>
          <w:color w:val="auto"/>
        </w:rPr>
      </w:pPr>
      <w:r>
        <w:rPr>
          <w:rFonts w:ascii="Arial" w:cs="Arial" w:eastAsia="Arial" w:hAnsi="Arial"/>
          <w:sz w:val="13"/>
          <w:szCs w:val="13"/>
          <w:b w:val="1"/>
          <w:bCs w:val="1"/>
          <w:color w:val="auto"/>
        </w:rPr>
        <w:t>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2019</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comprehensive loss before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Amounts reclassified from accumulated other comprehensive loss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Income tax benefit related to items of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current-period other comprehensive loss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June 30,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A summary of reclassifications out of accumulated other comprehensive loss, net of tax follows: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773" w:hanging="773"/>
        <w:spacing w:after="0"/>
        <w:tabs>
          <w:tab w:leader="none" w:pos="773" w:val="left"/>
        </w:tabs>
        <w:numPr>
          <w:ilvl w:val="0"/>
          <w:numId w:val="9"/>
        </w:numPr>
        <w:rPr>
          <w:rFonts w:ascii="Arial" w:cs="Arial" w:eastAsia="Arial" w:hAnsi="Arial"/>
          <w:sz w:val="17"/>
          <w:szCs w:val="17"/>
          <w:color w:val="auto"/>
        </w:rPr>
      </w:pPr>
      <w:r>
        <w:rPr>
          <w:rFonts w:ascii="Arial" w:cs="Arial" w:eastAsia="Arial" w:hAnsi="Arial"/>
          <w:sz w:val="17"/>
          <w:szCs w:val="17"/>
          <w:color w:val="auto"/>
        </w:rPr>
        <w:t>(6,041)</w:t>
      </w:r>
    </w:p>
    <w:p>
      <w:pPr>
        <w:spacing w:after="0" w:line="88" w:lineRule="exact"/>
        <w:rPr>
          <w:rFonts w:ascii="Arial" w:cs="Arial" w:eastAsia="Arial" w:hAnsi="Arial"/>
          <w:sz w:val="17"/>
          <w:szCs w:val="17"/>
          <w:color w:val="auto"/>
        </w:rPr>
      </w:pPr>
    </w:p>
    <w:p>
      <w:pPr>
        <w:ind w:left="693"/>
        <w:spacing w:after="0"/>
        <w:rPr>
          <w:rFonts w:ascii="Arial" w:cs="Arial" w:eastAsia="Arial" w:hAnsi="Arial"/>
          <w:sz w:val="17"/>
          <w:szCs w:val="17"/>
          <w:color w:val="auto"/>
        </w:rPr>
      </w:pPr>
      <w:r>
        <w:rPr>
          <w:rFonts w:ascii="Arial" w:cs="Arial" w:eastAsia="Arial" w:hAnsi="Arial"/>
          <w:sz w:val="16"/>
          <w:szCs w:val="16"/>
          <w:color w:val="auto"/>
        </w:rPr>
        <w:t>(10,163)</w:t>
      </w:r>
    </w:p>
    <w:p>
      <w:pPr>
        <w:spacing w:after="0" w:line="86" w:lineRule="exact"/>
        <w:rPr>
          <w:rFonts w:ascii="Arial" w:cs="Arial" w:eastAsia="Arial" w:hAnsi="Arial"/>
          <w:sz w:val="17"/>
          <w:szCs w:val="17"/>
          <w:color w:val="auto"/>
        </w:rPr>
      </w:pPr>
    </w:p>
    <w:p>
      <w:pPr>
        <w:ind w:left="853"/>
        <w:spacing w:after="0"/>
        <w:rPr>
          <w:rFonts w:ascii="Arial" w:cs="Arial" w:eastAsia="Arial" w:hAnsi="Arial"/>
          <w:sz w:val="17"/>
          <w:szCs w:val="17"/>
          <w:color w:val="auto"/>
        </w:rPr>
      </w:pPr>
      <w:r>
        <w:rPr>
          <w:rFonts w:ascii="Arial" w:cs="Arial" w:eastAsia="Arial" w:hAnsi="Arial"/>
          <w:sz w:val="18"/>
          <w:szCs w:val="18"/>
          <w:color w:val="auto"/>
        </w:rPr>
        <w:t>1,293</w:t>
      </w:r>
    </w:p>
    <w:p>
      <w:pPr>
        <w:spacing w:after="0" w:line="63" w:lineRule="exact"/>
        <w:rPr>
          <w:rFonts w:ascii="Arial" w:cs="Arial" w:eastAsia="Arial" w:hAnsi="Arial"/>
          <w:sz w:val="17"/>
          <w:szCs w:val="17"/>
          <w:color w:val="auto"/>
        </w:rPr>
      </w:pPr>
    </w:p>
    <w:p>
      <w:pPr>
        <w:ind w:left="993"/>
        <w:spacing w:after="0"/>
        <w:rPr>
          <w:rFonts w:ascii="Arial" w:cs="Arial" w:eastAsia="Arial" w:hAnsi="Arial"/>
          <w:sz w:val="17"/>
          <w:szCs w:val="17"/>
          <w:color w:val="auto"/>
        </w:rPr>
      </w:pPr>
      <w:r>
        <w:rPr>
          <w:rFonts w:ascii="Arial" w:cs="Arial" w:eastAsia="Arial" w:hAnsi="Arial"/>
          <w:sz w:val="18"/>
          <w:szCs w:val="18"/>
          <w:color w:val="auto"/>
        </w:rPr>
        <w:t>112</w:t>
      </w:r>
    </w:p>
    <w:p>
      <w:pPr>
        <w:spacing w:after="0" w:line="76" w:lineRule="exact"/>
        <w:rPr>
          <w:rFonts w:ascii="Arial" w:cs="Arial" w:eastAsia="Arial" w:hAnsi="Arial"/>
          <w:sz w:val="17"/>
          <w:szCs w:val="17"/>
          <w:color w:val="auto"/>
        </w:rPr>
      </w:pPr>
    </w:p>
    <w:p>
      <w:pPr>
        <w:ind w:left="773"/>
        <w:spacing w:after="0"/>
        <w:rPr>
          <w:rFonts w:ascii="Arial" w:cs="Arial" w:eastAsia="Arial" w:hAnsi="Arial"/>
          <w:sz w:val="17"/>
          <w:szCs w:val="17"/>
          <w:color w:val="auto"/>
        </w:rPr>
      </w:pPr>
      <w:r>
        <w:rPr>
          <w:rFonts w:ascii="Arial" w:cs="Arial" w:eastAsia="Arial" w:hAnsi="Arial"/>
          <w:sz w:val="17"/>
          <w:szCs w:val="17"/>
          <w:color w:val="auto"/>
        </w:rPr>
        <w:t>(8,758)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wp:posOffset>
            </wp:positionV>
            <wp:extent cx="9086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-662940</wp:posOffset>
            </wp:positionV>
            <wp:extent cx="9086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68" w:lineRule="exact"/>
        <w:rPr>
          <w:sz w:val="20"/>
          <w:szCs w:val="20"/>
          <w:color w:val="auto"/>
        </w:rPr>
      </w:pPr>
    </w:p>
    <w:p>
      <w:pPr>
        <w:ind w:left="693" w:hanging="693"/>
        <w:spacing w:after="0"/>
        <w:tabs>
          <w:tab w:leader="none" w:pos="693" w:val="left"/>
        </w:tabs>
        <w:numPr>
          <w:ilvl w:val="0"/>
          <w:numId w:val="10"/>
        </w:numPr>
        <w:rPr>
          <w:rFonts w:ascii="Arial" w:cs="Arial" w:eastAsia="Arial" w:hAnsi="Arial"/>
          <w:sz w:val="16"/>
          <w:szCs w:val="16"/>
          <w:color w:val="auto"/>
        </w:rPr>
      </w:pPr>
      <w:r>
        <w:rPr>
          <w:rFonts w:ascii="Arial" w:cs="Arial" w:eastAsia="Arial" w:hAnsi="Arial"/>
          <w:sz w:val="16"/>
          <w:szCs w:val="16"/>
          <w:color w:val="auto"/>
        </w:rPr>
        <w:t>(14,799)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9086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72390</wp:posOffset>
            </wp:positionV>
            <wp:extent cx="9086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713" w:lineRule="exact"/>
        <w:rPr>
          <w:sz w:val="20"/>
          <w:szCs w:val="20"/>
          <w:color w:val="auto"/>
        </w:rPr>
      </w:pPr>
    </w:p>
    <w:p>
      <w:pPr>
        <w:sectPr>
          <w:pgSz w:w="11900" w:h="16838" w:orient="portrait"/>
          <w:cols w:equalWidth="0" w:num="2">
            <w:col w:w="9107" w:space="720"/>
            <w:col w:w="1413"/>
          </w:cols>
          <w:pgMar w:left="320" w:top="1003"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3"/>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Six Months Ended</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80" w:type="dxa"/>
            <w:vAlign w:val="bottom"/>
          </w:tcPr>
          <w:p>
            <w:pPr>
              <w:ind w:left="500"/>
              <w:spacing w:after="0" w:line="139" w:lineRule="exact"/>
              <w:rPr>
                <w:sz w:val="20"/>
                <w:szCs w:val="20"/>
                <w:color w:val="auto"/>
              </w:rPr>
            </w:pPr>
            <w:r>
              <w:rPr>
                <w:rFonts w:ascii="Arial" w:cs="Arial" w:eastAsia="Arial" w:hAnsi="Arial"/>
                <w:sz w:val="14"/>
                <w:szCs w:val="14"/>
                <w:b w:val="1"/>
                <w:bCs w:val="1"/>
                <w:color w:val="auto"/>
              </w:rPr>
              <w:t>Details About Accumulated Other</w:t>
            </w:r>
          </w:p>
        </w:tc>
        <w:tc>
          <w:tcPr>
            <w:tcW w:w="200" w:type="dxa"/>
            <w:vAlign w:val="bottom"/>
          </w:tcPr>
          <w:p>
            <w:pPr>
              <w:spacing w:after="0"/>
              <w:rPr>
                <w:sz w:val="12"/>
                <w:szCs w:val="12"/>
                <w:color w:val="auto"/>
              </w:rPr>
            </w:pPr>
          </w:p>
        </w:tc>
        <w:tc>
          <w:tcPr>
            <w:tcW w:w="4660" w:type="dxa"/>
            <w:vAlign w:val="bottom"/>
            <w:gridSpan w:val="10"/>
            <w:vMerge w:val="restart"/>
          </w:tcPr>
          <w:p>
            <w:pPr>
              <w:jc w:val="right"/>
              <w:ind w:right="194"/>
              <w:spacing w:after="0"/>
              <w:rPr>
                <w:sz w:val="20"/>
                <w:szCs w:val="20"/>
                <w:color w:val="auto"/>
              </w:rPr>
            </w:pPr>
            <w:r>
              <w:rPr>
                <w:rFonts w:ascii="Arial" w:cs="Arial" w:eastAsia="Arial" w:hAnsi="Arial"/>
                <w:sz w:val="14"/>
                <w:szCs w:val="14"/>
                <w:b w:val="1"/>
                <w:bCs w:val="1"/>
                <w:color w:val="auto"/>
                <w:w w:val="92"/>
              </w:rPr>
              <w:t>Amounts Reclassified Out of Accumulated Other Comprehensive Loss</w:t>
            </w:r>
          </w:p>
        </w:tc>
        <w:tc>
          <w:tcPr>
            <w:tcW w:w="3200" w:type="dxa"/>
            <w:vAlign w:val="bottom"/>
          </w:tcPr>
          <w:p>
            <w:pPr>
              <w:ind w:left="460"/>
              <w:spacing w:after="0" w:line="139" w:lineRule="exact"/>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92"/>
        </w:trPr>
        <w:tc>
          <w:tcPr>
            <w:tcW w:w="3180" w:type="dxa"/>
            <w:vAlign w:val="bottom"/>
          </w:tcPr>
          <w:p>
            <w:pPr>
              <w:ind w:left="500"/>
              <w:spacing w:after="0"/>
              <w:rPr>
                <w:sz w:val="20"/>
                <w:szCs w:val="20"/>
                <w:color w:val="auto"/>
              </w:rPr>
            </w:pPr>
            <w:r>
              <w:rPr>
                <w:rFonts w:ascii="Arial" w:cs="Arial" w:eastAsia="Arial" w:hAnsi="Arial"/>
                <w:sz w:val="14"/>
                <w:szCs w:val="14"/>
                <w:b w:val="1"/>
                <w:bCs w:val="1"/>
                <w:color w:val="auto"/>
              </w:rPr>
              <w:t>Comprehensive Loss Components</w:t>
            </w:r>
          </w:p>
        </w:tc>
        <w:tc>
          <w:tcPr>
            <w:tcW w:w="200" w:type="dxa"/>
            <w:vAlign w:val="bottom"/>
          </w:tcPr>
          <w:p>
            <w:pPr>
              <w:spacing w:after="0"/>
              <w:rPr>
                <w:sz w:val="16"/>
                <w:szCs w:val="16"/>
                <w:color w:val="auto"/>
              </w:rPr>
            </w:pPr>
          </w:p>
        </w:tc>
        <w:tc>
          <w:tcPr>
            <w:tcW w:w="4660" w:type="dxa"/>
            <w:vAlign w:val="bottom"/>
            <w:gridSpan w:val="10"/>
            <w:vMerge w:val="continue"/>
          </w:tcPr>
          <w:p>
            <w:pPr>
              <w:spacing w:after="0"/>
              <w:rPr>
                <w:sz w:val="16"/>
                <w:szCs w:val="16"/>
                <w:color w:val="auto"/>
              </w:rPr>
            </w:pPr>
          </w:p>
        </w:tc>
        <w:tc>
          <w:tcPr>
            <w:tcW w:w="3200" w:type="dxa"/>
            <w:vAlign w:val="bottom"/>
          </w:tcPr>
          <w:p>
            <w:pPr>
              <w:ind w:left="88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76"/>
        </w:trPr>
        <w:tc>
          <w:tcPr>
            <w:tcW w:w="3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rate swaps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3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(60)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w:t>
            </w:r>
          </w:p>
        </w:tc>
        <w:tc>
          <w:tcPr>
            <w:tcW w:w="3200" w:type="dxa"/>
            <w:vAlign w:val="bottom"/>
          </w:tcPr>
          <w:p>
            <w:pPr>
              <w:ind w:left="12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Provision (benefit) for income taxes</w:t>
            </w:r>
          </w:p>
        </w:tc>
        <w:tc>
          <w:tcPr>
            <w:tcW w:w="0" w:type="dxa"/>
            <w:vAlign w:val="bottom"/>
          </w:tcPr>
          <w:p>
            <w:pPr>
              <w:spacing w:after="0"/>
              <w:rPr>
                <w:sz w:val="1"/>
                <w:szCs w:val="1"/>
                <w:color w:val="auto"/>
              </w:rPr>
            </w:pPr>
          </w:p>
        </w:tc>
      </w:tr>
      <w:tr>
        <w:trPr>
          <w:trHeight w:val="263"/>
        </w:trPr>
        <w:tc>
          <w:tcPr>
            <w:tcW w:w="31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(60)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(115)</w:t>
            </w:r>
          </w:p>
        </w:tc>
        <w:tc>
          <w:tcPr>
            <w:tcW w:w="32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Basic earnings per share is computed by dividing net income by the weighted average number of common shares outstanding during the period. Diluted earnings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74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634"/>
              <w:spacing w:after="0"/>
              <w:rPr>
                <w:sz w:val="20"/>
                <w:szCs w:val="20"/>
                <w:color w:val="auto"/>
              </w:rPr>
            </w:pPr>
            <w:r>
              <w:rPr>
                <w:rFonts w:ascii="Arial" w:cs="Arial" w:eastAsia="Arial" w:hAnsi="Arial"/>
                <w:sz w:val="14"/>
                <w:szCs w:val="14"/>
                <w:b w:val="1"/>
                <w:bCs w:val="1"/>
                <w:color w:val="auto"/>
                <w:w w:val="89"/>
              </w:rPr>
              <w:t>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3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12,113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11,915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13,072</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10,201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Number of shares outstanding, end of period:</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Class A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47,382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46,599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47,382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46,599</w:t>
            </w: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Arial" w:cs="Arial" w:eastAsia="Arial" w:hAnsi="Arial"/>
                <w:sz w:val="18"/>
                <w:szCs w:val="18"/>
                <w:color w:val="auto"/>
              </w:rPr>
              <w:t>Class B common stock</w:t>
            </w: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Shares to be issued - acquisition</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Arial" w:cs="Arial" w:eastAsia="Arial" w:hAnsi="Arial"/>
                <w:sz w:val="18"/>
                <w:szCs w:val="18"/>
                <w:color w:val="auto"/>
              </w:rPr>
              <w:t>Unvested restricted stock</w:t>
            </w: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Effect of weighted average shares outstanding</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48,348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47,464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48,176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46,693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of potentially dilutive securities: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20"/>
              <w:spacing w:after="0"/>
              <w:rPr>
                <w:sz w:val="20"/>
                <w:szCs w:val="20"/>
                <w:color w:val="auto"/>
              </w:rPr>
            </w:pPr>
            <w:r>
              <w:rPr>
                <w:rFonts w:ascii="Arial" w:cs="Arial" w:eastAsia="Arial" w:hAnsi="Arial"/>
                <w:sz w:val="18"/>
                <w:szCs w:val="18"/>
                <w:color w:val="auto"/>
              </w:rPr>
              <w:t>Dilutive effect of stock options and other stock awards</w:t>
            </w: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48,563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48,221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48,411</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47,424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Anti-dilutive potentially issuable shares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320" w:firstLine="8"/>
        <w:spacing w:after="0" w:line="400" w:lineRule="auto"/>
        <w:tabs>
          <w:tab w:leader="none" w:pos="27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OTHER ITEMS AND CHARGES Expense from Acquisition Activities</w:t>
      </w:r>
    </w:p>
    <w:p>
      <w:pPr>
        <w:ind w:right="20"/>
        <w:spacing w:after="0" w:line="263" w:lineRule="auto"/>
        <w:rPr>
          <w:sz w:val="20"/>
          <w:szCs w:val="20"/>
          <w:color w:val="auto"/>
        </w:rPr>
      </w:pPr>
      <w:r>
        <w:rPr>
          <w:rFonts w:ascii="Arial" w:cs="Arial" w:eastAsia="Arial" w:hAnsi="Arial"/>
          <w:sz w:val="18"/>
          <w:szCs w:val="18"/>
          <w:color w:val="auto"/>
        </w:rPr>
        <w:t>In the three and six months ended June 30, 2020, we recorded charges of $352 and $1,360, respectively, and in the three and six months ended June 30, 2019, we recorded charges of $464 and $1,140, respectively, comprised primarily of legal, consulting and other similar costs associated with the acquisition and integration of acquired businesses or select development projects.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Southbridge Landfill Closure Charge</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2017, we initiated the plan to cease operations of the Southbridge Landfill and later closed it in November 2018 when Southbridge Landfill reached its final capacity</w:t>
      </w:r>
      <w:r>
        <w:rPr>
          <w:rFonts w:ascii="Arial" w:cs="Arial" w:eastAsia="Arial" w:hAnsi="Arial"/>
          <w:sz w:val="17"/>
          <w:szCs w:val="17"/>
          <w:i w:val="1"/>
          <w:iCs w:val="1"/>
          <w:color w:val="auto"/>
        </w:rPr>
        <w:t>.</w:t>
      </w:r>
      <w:r>
        <w:rPr>
          <w:rFonts w:ascii="Arial" w:cs="Arial" w:eastAsia="Arial" w:hAnsi="Arial"/>
          <w:sz w:val="17"/>
          <w:szCs w:val="17"/>
          <w:color w:val="auto"/>
        </w:rPr>
        <w:t xml:space="preserve"> Accordingly, in the three and six months ended June 30, 2020 we recorded charges of $559 and $1,172, respectively, comprised of $595 and $1,208, respectively, of legal and other costs in the three and six months ended June 30, 2020 pertaining to various matters as part of the unplanned early closure of the Southbridge Landfill through completion of the closure process, a charge of $152 in the three and six months ended June 30, 2020 due to changes in estimated costs and timing of final capping, closure and post-closure activities at the Southbridge Landfill, and a charge of $(188) in the three and six months ended June 30, 2020 associated with the completion of the environmental remediation at the site. In the three and six months ended June 30, 2019, we recorded charges of $917 and $1,472, respectively, associated with legal and other costs pertaining to various matters as part of the unplanned early closure of the Southbridge Landfill through completion of the closure process.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OF FINANCIAL INSTRUMENTS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Assets and Liabilities Accounted for at Fair Value</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financial instruments include cash and cash equivalents, accounts receivable, restricted investment securities held in trust on deposit with various banks as collateral for our obligations relative to our landfill final capping, closure and post-closure costs, interest rate swaps, trade payables and long-term debt. The carrying values of cash and cash equivalents,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swaps included in the Level 2 tier below is calculated using discounted cash flow valuation methodologies based upon the one month LIBOR yield curves that are observable at commonly quoted intervals for the full term of the swaps.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follow:</w:t>
      </w:r>
    </w:p>
    <w:p>
      <w:pPr>
        <w:spacing w:after="0" w:line="271"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Fair Value Measurement at June 30, 2020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23495</wp:posOffset>
            </wp:positionV>
            <wp:extent cx="32575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4"/>
                <w:szCs w:val="14"/>
                <w:color w:val="auto"/>
              </w:rPr>
            </w:pPr>
          </w:p>
        </w:tc>
        <w:tc>
          <w:tcPr>
            <w:tcW w:w="15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140" w:type="dxa"/>
            <w:vAlign w:val="bottom"/>
          </w:tcPr>
          <w:p>
            <w:pPr>
              <w:spacing w:after="0"/>
              <w:rPr>
                <w:sz w:val="14"/>
                <w:szCs w:val="14"/>
                <w:color w:val="auto"/>
              </w:rPr>
            </w:pPr>
          </w:p>
        </w:tc>
        <w:tc>
          <w:tcPr>
            <w:tcW w:w="1500" w:type="dxa"/>
            <w:vAlign w:val="bottom"/>
          </w:tcPr>
          <w:p>
            <w:pPr>
              <w:jc w:val="center"/>
              <w:ind w:right="81"/>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2"/>
                <w:szCs w:val="12"/>
                <w:color w:val="auto"/>
              </w:rPr>
            </w:pPr>
          </w:p>
        </w:tc>
        <w:tc>
          <w:tcPr>
            <w:tcW w:w="15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50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6"/>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Restricted investment securities - landfill closure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62"/>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61"/>
              <w:spacing w:after="0"/>
              <w:rPr>
                <w:sz w:val="20"/>
                <w:szCs w:val="20"/>
                <w:color w:val="auto"/>
              </w:rPr>
            </w:pPr>
            <w:r>
              <w:rPr>
                <w:rFonts w:ascii="Arial" w:cs="Arial" w:eastAsia="Arial" w:hAnsi="Arial"/>
                <w:sz w:val="18"/>
                <w:szCs w:val="18"/>
                <w:color w:val="auto"/>
              </w:rPr>
              <w:t>14,598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1"/>
        </w:trPr>
        <w:tc>
          <w:tcPr>
            <w:tcW w:w="6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7"/>
          </w:tcPr>
          <w:p>
            <w:pPr>
              <w:jc w:val="center"/>
              <w:ind w:right="81"/>
              <w:spacing w:after="0"/>
              <w:rPr>
                <w:sz w:val="20"/>
                <w:szCs w:val="20"/>
                <w:color w:val="auto"/>
              </w:rPr>
            </w:pPr>
            <w:r>
              <w:rPr>
                <w:rFonts w:ascii="Arial" w:cs="Arial" w:eastAsia="Arial" w:hAnsi="Arial"/>
                <w:sz w:val="14"/>
                <w:szCs w:val="14"/>
                <w:b w:val="1"/>
                <w:bCs w:val="1"/>
                <w:color w:val="auto"/>
                <w:w w:val="93"/>
              </w:rPr>
              <w:t>Fair Value Measurement at December 31, 2019 Using:</w:t>
            </w:r>
          </w:p>
        </w:tc>
        <w:tc>
          <w:tcPr>
            <w:tcW w:w="0" w:type="dxa"/>
            <w:vAlign w:val="bottom"/>
          </w:tcPr>
          <w:p>
            <w:pPr>
              <w:spacing w:after="0"/>
              <w:rPr>
                <w:sz w:val="1"/>
                <w:szCs w:val="1"/>
                <w:color w:val="auto"/>
              </w:rPr>
            </w:pPr>
          </w:p>
        </w:tc>
      </w:tr>
      <w:tr>
        <w:trPr>
          <w:trHeight w:val="152"/>
        </w:trPr>
        <w:tc>
          <w:tcPr>
            <w:tcW w:w="6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15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140" w:type="dxa"/>
            <w:vAlign w:val="bottom"/>
          </w:tcPr>
          <w:p>
            <w:pPr>
              <w:spacing w:after="0"/>
              <w:rPr>
                <w:sz w:val="13"/>
                <w:szCs w:val="13"/>
                <w:color w:val="auto"/>
              </w:rPr>
            </w:pPr>
          </w:p>
        </w:tc>
        <w:tc>
          <w:tcPr>
            <w:tcW w:w="150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2"/>
                <w:szCs w:val="12"/>
                <w:color w:val="auto"/>
              </w:rPr>
            </w:pPr>
          </w:p>
        </w:tc>
        <w:tc>
          <w:tcPr>
            <w:tcW w:w="15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50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6"/>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Restricted investment securities - landfill closure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62"/>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61"/>
              <w:spacing w:after="0"/>
              <w:rPr>
                <w:sz w:val="20"/>
                <w:szCs w:val="20"/>
                <w:color w:val="auto"/>
              </w:rPr>
            </w:pPr>
            <w:r>
              <w:rPr>
                <w:rFonts w:ascii="Arial" w:cs="Arial" w:eastAsia="Arial" w:hAnsi="Arial"/>
                <w:sz w:val="18"/>
                <w:szCs w:val="18"/>
                <w:color w:val="auto"/>
              </w:rPr>
              <w:t>5,427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As of June 30, 2020, the fair value of our fixed rate debt, including our FAME Bonds 2005R-3, FAME Bonds 2015R-1, FAME Bonds 2015R-2, Vermont Bonds, New York Bonds 2014, New York Bonds 2014R-2 and New Hampshire Bonds was approximately $125,942 and the carrying value was $122,000. The fair value of the FAME Bonds 2005R-3, the FAME Bonds 2015R-1, the FAME Bonds 2015R-2, the Vermont Bonds, the New York Bonds 2014, the New York Bonds 2014R-2 and the New Hampshire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56"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As of June 30, 2020, the carrying value of our Term Loan Facility was $350,000 and the carrying value of our Revolving Credit Facility was $37,700. Their fair values are based on current borrowing rates for similar types of borrowing arrangements, or Level 2 inputs, and approximate their carrying values.</w:t>
      </w:r>
    </w:p>
    <w:p>
      <w:pPr>
        <w:spacing w:after="0" w:line="7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Although we have determined the estimated fair value amounts of FAME Bonds 2005R-3, FAME Bonds 2015R-1, FAME Bonds 2015R-2, Vermont Bonds, New York Bonds 2014, New York Bonds 2014R-2 and New Hampshire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15. SEGMENT REPORTING</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report selected information about our reportable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landfill, landfill gas-to-energy, transfer and recycling services in the northeastern United States. We classify our resource-renewal services by service in our Resource Solutions segment. Revenues associated with our resource renewal operations are derived from organics services, major account and industrial services, as well as recycling services generated from both municipalities and customers in the form of processing fees, tipping fees and commodity sales. Legal, tax, information technology, human resources, certain finance and accounting and other administrative functions are included in our Corporate Entities segment.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gridSpan w:val="2"/>
            <w:vMerge w:val="restart"/>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Outside</w:t>
            </w:r>
          </w:p>
        </w:tc>
        <w:tc>
          <w:tcPr>
            <w:tcW w:w="180" w:type="dxa"/>
            <w:vAlign w:val="bottom"/>
          </w:tcPr>
          <w:p>
            <w:pPr>
              <w:spacing w:after="0"/>
              <w:rPr>
                <w:sz w:val="14"/>
                <w:szCs w:val="14"/>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Inter-company</w:t>
            </w:r>
          </w:p>
        </w:tc>
        <w:tc>
          <w:tcPr>
            <w:tcW w:w="140" w:type="dxa"/>
            <w:vAlign w:val="bottom"/>
          </w:tcPr>
          <w:p>
            <w:pPr>
              <w:spacing w:after="0"/>
              <w:rPr>
                <w:sz w:val="14"/>
                <w:szCs w:val="14"/>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Depreciation and</w:t>
            </w: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Operating</w:t>
            </w:r>
          </w:p>
        </w:tc>
        <w:tc>
          <w:tcPr>
            <w:tcW w:w="34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amortization</w:t>
            </w:r>
          </w:p>
        </w:tc>
        <w:tc>
          <w:tcPr>
            <w:tcW w:w="100" w:type="dxa"/>
            <w:vAlign w:val="bottom"/>
            <w:tcBorders>
              <w:bottom w:val="single" w:sz="8" w:color="CCEEFF"/>
            </w:tcBorders>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53,336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13,837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6,339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4,366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211,441</w:t>
            </w:r>
          </w:p>
        </w:tc>
        <w:tc>
          <w:tcPr>
            <w:tcW w:w="0" w:type="dxa"/>
            <w:vAlign w:val="bottom"/>
          </w:tcPr>
          <w:p>
            <w:pPr>
              <w:spacing w:after="0"/>
              <w:rPr>
                <w:sz w:val="1"/>
                <w:szCs w:val="1"/>
                <w:color w:val="auto"/>
              </w:rPr>
            </w:pPr>
          </w:p>
        </w:tc>
      </w:tr>
      <w:tr>
        <w:trPr>
          <w:trHeight w:val="243"/>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Western</w:t>
            </w:r>
          </w:p>
        </w:tc>
        <w:tc>
          <w:tcPr>
            <w:tcW w:w="26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87,286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29,020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13,615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11,863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626,329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48,145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91,907</w:t>
            </w:r>
          </w:p>
        </w:tc>
        <w:tc>
          <w:tcPr>
            <w:tcW w:w="0" w:type="dxa"/>
            <w:vAlign w:val="bottom"/>
          </w:tcPr>
          <w:p>
            <w:pPr>
              <w:spacing w:after="0"/>
              <w:rPr>
                <w:sz w:val="1"/>
                <w:szCs w:val="1"/>
                <w:color w:val="auto"/>
              </w:rPr>
            </w:pPr>
          </w:p>
        </w:tc>
      </w:tr>
      <w:tr>
        <w:trPr>
          <w:trHeight w:val="243"/>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Corporate entities</w:t>
            </w:r>
          </w:p>
        </w:tc>
        <w:tc>
          <w:tcPr>
            <w:tcW w:w="260" w:type="dxa"/>
            <w:vAlign w:val="bottom"/>
          </w:tcPr>
          <w:p>
            <w:pPr>
              <w:spacing w:after="0"/>
              <w:rPr>
                <w:sz w:val="21"/>
                <w:szCs w:val="21"/>
                <w:color w:val="auto"/>
              </w:rPr>
            </w:pP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584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37,294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(45,305)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188,767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22,076</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17,444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966,971</w:t>
            </w:r>
          </w:p>
        </w:tc>
        <w:tc>
          <w:tcPr>
            <w:tcW w:w="0" w:type="dxa"/>
            <w:vAlign w:val="bottom"/>
          </w:tcPr>
          <w:p>
            <w:pPr>
              <w:spacing w:after="0"/>
              <w:rPr>
                <w:sz w:val="1"/>
                <w:szCs w:val="1"/>
                <w:color w:val="auto"/>
              </w:rPr>
            </w:pPr>
          </w:p>
        </w:tc>
      </w:tr>
      <w:tr>
        <w:trPr>
          <w:trHeight w:val="27"/>
        </w:trPr>
        <w:tc>
          <w:tcPr>
            <w:tcW w:w="3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Three Months Ended June 30, 2019</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700" w:type="dxa"/>
            <w:vAlign w:val="bottom"/>
            <w:gridSpan w:val="4"/>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370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180" w:type="dxa"/>
            <w:vAlign w:val="bottom"/>
          </w:tcPr>
          <w:p>
            <w:pPr>
              <w:spacing w:after="0"/>
              <w:rPr>
                <w:sz w:val="15"/>
                <w:szCs w:val="15"/>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Inter-company</w:t>
            </w:r>
          </w:p>
        </w:tc>
        <w:tc>
          <w:tcPr>
            <w:tcW w:w="140" w:type="dxa"/>
            <w:vAlign w:val="bottom"/>
          </w:tcPr>
          <w:p>
            <w:pPr>
              <w:spacing w:after="0"/>
              <w:rPr>
                <w:sz w:val="15"/>
                <w:szCs w:val="15"/>
                <w:color w:val="auto"/>
              </w:rPr>
            </w:pPr>
          </w:p>
        </w:tc>
        <w:tc>
          <w:tcPr>
            <w:tcW w:w="14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0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Operating</w:t>
            </w:r>
          </w:p>
        </w:tc>
        <w:tc>
          <w:tcPr>
            <w:tcW w:w="340" w:type="dxa"/>
            <w:vAlign w:val="bottom"/>
          </w:tcPr>
          <w:p>
            <w:pPr>
              <w:spacing w:after="0"/>
              <w:rPr>
                <w:sz w:val="15"/>
                <w:szCs w:val="15"/>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49"/>
        </w:trPr>
        <w:tc>
          <w:tcPr>
            <w:tcW w:w="3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6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57,076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14,678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6,368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4,227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211,891</w:t>
            </w:r>
          </w:p>
        </w:tc>
        <w:tc>
          <w:tcPr>
            <w:tcW w:w="0" w:type="dxa"/>
            <w:vAlign w:val="bottom"/>
          </w:tcPr>
          <w:p>
            <w:pPr>
              <w:spacing w:after="0"/>
              <w:rPr>
                <w:sz w:val="1"/>
                <w:szCs w:val="1"/>
                <w:color w:val="auto"/>
              </w:rPr>
            </w:pPr>
          </w:p>
        </w:tc>
      </w:tr>
      <w:tr>
        <w:trPr>
          <w:trHeight w:val="243"/>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Western</w:t>
            </w:r>
          </w:p>
        </w:tc>
        <w:tc>
          <w:tcPr>
            <w:tcW w:w="26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85,748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24,496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11,413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10,372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531,027</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44,635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88,181</w:t>
            </w:r>
          </w:p>
        </w:tc>
        <w:tc>
          <w:tcPr>
            <w:tcW w:w="0" w:type="dxa"/>
            <w:vAlign w:val="bottom"/>
          </w:tcPr>
          <w:p>
            <w:pPr>
              <w:spacing w:after="0"/>
              <w:rPr>
                <w:sz w:val="1"/>
                <w:szCs w:val="1"/>
                <w:color w:val="auto"/>
              </w:rPr>
            </w:pPr>
          </w:p>
        </w:tc>
      </w:tr>
      <w:tr>
        <w:trPr>
          <w:trHeight w:val="243"/>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Corporate entities</w:t>
            </w:r>
          </w:p>
        </w:tc>
        <w:tc>
          <w:tcPr>
            <w:tcW w:w="260" w:type="dxa"/>
            <w:vAlign w:val="bottom"/>
          </w:tcPr>
          <w:p>
            <w:pPr>
              <w:spacing w:after="0"/>
              <w:rPr>
                <w:sz w:val="21"/>
                <w:szCs w:val="21"/>
                <w:color w:val="auto"/>
              </w:rPr>
            </w:pPr>
          </w:p>
        </w:tc>
        <w:tc>
          <w:tcPr>
            <w:tcW w:w="126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631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34,861</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(41,914)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98"/>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187,459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19,715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15,544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865,960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14"/>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Six Months Ended June 30, 2020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Outside</w:t>
            </w: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Inter-company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Depreciation and</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Operating</w:t>
            </w:r>
          </w:p>
        </w:tc>
        <w:tc>
          <w:tcPr>
            <w:tcW w:w="240" w:type="dxa"/>
            <w:vAlign w:val="bottom"/>
          </w:tcPr>
          <w:p>
            <w:pPr>
              <w:spacing w:after="0"/>
              <w:rPr>
                <w:sz w:val="14"/>
                <w:szCs w:val="14"/>
                <w:color w:val="auto"/>
              </w:rPr>
            </w:pPr>
          </w:p>
        </w:tc>
        <w:tc>
          <w:tcPr>
            <w:tcW w:w="12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192"/>
        </w:trPr>
        <w:tc>
          <w:tcPr>
            <w:tcW w:w="36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income (loss)</w:t>
            </w: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103,479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25,676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12,297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5,341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211,441</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Western</w:t>
            </w:r>
          </w:p>
        </w:tc>
        <w:tc>
          <w:tcPr>
            <w:tcW w:w="28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172,491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54,566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26,847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17,505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626,329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95,706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5,341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91,907</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Corporate Entities</w:t>
            </w: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37,294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(85,583)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371,676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43,482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24,456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966,971</w:t>
            </w: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Six Months Ended June 30, 2019</w:t>
            </w: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Outside</w:t>
            </w:r>
          </w:p>
        </w:tc>
        <w:tc>
          <w:tcPr>
            <w:tcW w:w="18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Inter-company</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Depreciation and</w:t>
            </w:r>
          </w:p>
        </w:tc>
        <w:tc>
          <w:tcPr>
            <w:tcW w:w="22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Operating</w:t>
            </w:r>
          </w:p>
        </w:tc>
        <w:tc>
          <w:tcPr>
            <w:tcW w:w="240" w:type="dxa"/>
            <w:vAlign w:val="bottom"/>
          </w:tcPr>
          <w:p>
            <w:pPr>
              <w:spacing w:after="0"/>
              <w:rPr>
                <w:sz w:val="15"/>
                <w:szCs w:val="15"/>
                <w:color w:val="auto"/>
              </w:rPr>
            </w:pPr>
          </w:p>
        </w:tc>
        <w:tc>
          <w:tcPr>
            <w:tcW w:w="12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192"/>
        </w:trPr>
        <w:tc>
          <w:tcPr>
            <w:tcW w:w="36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income (loss)</w:t>
            </w: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104,073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25,449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11,629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211,891</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Western</w:t>
            </w:r>
          </w:p>
        </w:tc>
        <w:tc>
          <w:tcPr>
            <w:tcW w:w="28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159,899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44,714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21,647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15,749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531,027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87,151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5,127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88,181</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Corporate Entities</w:t>
            </w: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34,861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(75,290)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351,123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37,204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19,986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865,960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revenues attributable to services provided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92"/>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94,008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92,066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188,584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175,145</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Disposal</w:t>
            </w:r>
          </w:p>
        </w:tc>
        <w:tc>
          <w:tcPr>
            <w:tcW w:w="34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43,746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48,139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82,371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84,194</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Power generation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1,847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34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2,786</w:t>
            </w:r>
          </w:p>
        </w:tc>
      </w:tr>
      <w:tr>
        <w:trPr>
          <w:trHeight w:val="27"/>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Solid waste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140,622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142,824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275,970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263,972</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Organics</w:t>
            </w:r>
          </w:p>
        </w:tc>
        <w:tc>
          <w:tcPr>
            <w:tcW w:w="34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15,419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14,905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30,351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28,501</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solutions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20,239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41,902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37,370</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Recycling</w:t>
            </w:r>
          </w:p>
        </w:tc>
        <w:tc>
          <w:tcPr>
            <w:tcW w:w="34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12,487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10,514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23,453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21,280</w:t>
            </w:r>
          </w:p>
        </w:tc>
      </w:tr>
      <w:tr>
        <w:trPr>
          <w:trHeight w:val="27"/>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Resource solutions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48,145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44,635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95,706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87,151</w:t>
            </w: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188,767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187,459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371,676</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351,123</w:t>
            </w:r>
          </w:p>
        </w:tc>
      </w:tr>
      <w:tr>
        <w:trPr>
          <w:trHeight w:val="27"/>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discussion should be read in conjunction with our unaudited consolidated financial statements and notes thereto included under Item 1. In addition, reference should be made to our audited consolidated financial statements and notes thereto and related Management’s Discussion and Analysis of Financial Condition and Results of Operations appearing in our Annual Report on Form 10-K for the fiscal year ended December 31, 2019 filed with the Securities and Exchange Commission (“SEC”) on February 21, 2020.</w:t>
      </w:r>
    </w:p>
    <w:p>
      <w:pPr>
        <w:spacing w:after="0" w:line="7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Quarterly Report on Form 10-Q and, in particular, this Management’s Discussion and Analysis of Financial Condition and Results of Operations, may contain or incorporate a number of forward-looking statements within the meaning of Section 27A of the Securities Act of 1933, as amended, and Section 21E of the Exchange Act of 1934, as amended, including statements regarding:</w:t>
      </w:r>
    </w:p>
    <w:p>
      <w:pPr>
        <w:spacing w:after="0" w:line="7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expected and potential direct or indirect impacts of the novel coronavirus (“COVID-19”) pandemic on our business;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117" w:lineRule="exact"/>
        <w:rPr>
          <w:rFonts w:ascii="Arial" w:cs="Arial" w:eastAsia="Arial" w:hAnsi="Arial"/>
          <w:sz w:val="18"/>
          <w:szCs w:val="18"/>
          <w:color w:val="auto"/>
        </w:rPr>
      </w:pPr>
    </w:p>
    <w:p>
      <w:pPr>
        <w:ind w:left="660" w:right="840" w:hanging="652"/>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commodity pricing of our recyclables, increases in landfill tipping fees and fuel costs and general economic and weather conditions;</w:t>
      </w:r>
    </w:p>
    <w:p>
      <w:pPr>
        <w:spacing w:after="0" w:line="62" w:lineRule="exact"/>
        <w:rPr>
          <w:rFonts w:ascii="Arial" w:cs="Arial" w:eastAsia="Arial" w:hAnsi="Arial"/>
          <w:sz w:val="18"/>
          <w:szCs w:val="18"/>
          <w:color w:val="auto"/>
        </w:rPr>
      </w:pPr>
    </w:p>
    <w:p>
      <w:pPr>
        <w:ind w:left="660" w:right="280" w:hanging="652"/>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business combinations or divestitures; and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8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These risks and uncertainties include, without limitation, those detailed in Item 1A, “Risk Factors” in our Annual Report on Form 10-K for the fiscal year ended December 31, 2019 and those included under Part II, Item 1A of this Quarterly Report on Form 10-Q.</w:t>
      </w:r>
    </w:p>
    <w:p>
      <w:pPr>
        <w:spacing w:after="0" w:line="5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a result of new information, future events or otherwise, except as otherwise required by law.</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Founded in 1975 with a single truck, Casella Waste Systems, Inc., a Delaware corporation and its wholly-owned subsidiaries (collectively, “we”, “us” or “our”), is a regional, vertically-integrated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Maine and Pennsylvania, with our headquarters located in Rutland, Vermont. We manage our solid waste operations on a geographic basis through two regional operating segments, the Eastern and Western regions, each of which provides a full range of solid waste services. We manage our larger-scale recycling and commodity brokerage operations along with our organics services and major account and industrial services through our single resource-renewal focused Resource Solutions segment.</w:t>
      </w:r>
    </w:p>
    <w:p>
      <w:pPr>
        <w:spacing w:after="0" w:line="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July 15, 2020, we owned and/or operated 48 solid waste collection operations, 58 transfer stations, 20 recycling facilities, eight Subtitle D landfills, four landfill gas-to-energy facilities and one landfill permitted to accept construction and demolition (“C&amp;D”)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With the global outbreak of COVID-19 and the declaration of a pandemic by the World Health Organization in March 2020, the U.S. Government and all of the states in which we operate have declared the waste services industry as an essential services provider and as a result we are committed to continue to operate and provide our full breadth of services. We have prioritized the safety and well-being of our employees by strictly adhering to recommendations of the Centers for Disease Control and Prevention as well as executive orders of the states in which we operate.</w:t>
      </w:r>
    </w:p>
    <w:p>
      <w:pPr>
        <w:spacing w:after="0" w:line="6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COVID-19 outbreak has caused, and is likely to continue to cause, significant economic disruption across our geographic footprint and has adversely affected, and is expected to continue to adversely affect, our business. COVID-19 negatively impacted our revenues starting at the end of the quarter ended March 31, 2020 as many collection customers required service level changes and volumes into our landfills declined. We experienced increased demand for services in the quarter ended June 30, 2020 as local economies started to reopen as allowed by state governments. This demand has continued to grow at a fairly steady rate, but our collection and disposal operations remain negatively impacted by lower volumes attributed to COVID-19. We continue to experience increased costs associated with the protection of our employees including costs for additional safety equipment, hygiene products and enhanced facility cleaning. These costs are expected to continue throughout the remainder of the year. We have also taken immediate measures to reduce costs in other areas and preserve liquidity during this period of uncertainty. As of the date of this filing, we are unable to determine or predict the nature, duration or scope of the overall impact that COVID-19 will have on our business, results of operations, liquidity or capital resources. For further information regarding the impact of COVID-19 on us, see Part II, Item 1A, “Risk Factors” included in this Quarterly Report on Form 10-Q.</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manage our solid waste operations, which include a full range of solid waste services, on a geographic basis through two regional operating segments, which we designate as the Eastern and Western regions. Revenues in our Eastern and Western regions consist primarily of fees charged to customers for solid waste collection and disposal, landfill, landfill gas-to-energy, transfer and recycling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 We classify our resource-renewal services by service in our Resource Solutions segment. Revenues associated with our resource renewal operations are derived from organics services, major account and industrial services, as well as recycling services generated from both municipalities and customers in the form of processing fees, tipping fees and commodity sales.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A summary of revenues attributable to service provided (dollars in millions and as a percentage of total revenues)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8"/>
          </w:tcPr>
          <w:p>
            <w:pPr>
              <w:jc w:val="right"/>
              <w:ind w:right="570"/>
              <w:spacing w:after="0"/>
              <w:rPr>
                <w:sz w:val="20"/>
                <w:szCs w:val="20"/>
                <w:color w:val="auto"/>
              </w:rPr>
            </w:pPr>
            <w:r>
              <w:rPr>
                <w:rFonts w:ascii="Arial" w:cs="Arial" w:eastAsia="Arial" w:hAnsi="Arial"/>
                <w:sz w:val="14"/>
                <w:szCs w:val="14"/>
                <w:b w:val="1"/>
                <w:bCs w:val="1"/>
                <w:color w:val="auto"/>
                <w:w w:val="92"/>
              </w:rPr>
              <w:t>Three Months Ended June 30,</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37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95"/>
              </w:rPr>
              <w:t>Six Months Ended June 30,</w:t>
            </w: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r>
      <w:tr>
        <w:trPr>
          <w:trHeight w:val="196"/>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Change</w:t>
            </w:r>
          </w:p>
        </w:tc>
      </w:tr>
      <w:tr>
        <w:trPr>
          <w:trHeight w:val="250"/>
        </w:trPr>
        <w:tc>
          <w:tcPr>
            <w:tcW w:w="1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86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88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center"/>
              <w:ind w:left="213"/>
              <w:spacing w:after="0"/>
              <w:rPr>
                <w:sz w:val="20"/>
                <w:szCs w:val="20"/>
                <w:color w:val="auto"/>
              </w:rPr>
            </w:pPr>
            <w:r>
              <w:rPr>
                <w:rFonts w:ascii="Arial" w:cs="Arial" w:eastAsia="Arial" w:hAnsi="Arial"/>
                <w:sz w:val="18"/>
                <w:szCs w:val="18"/>
                <w:color w:val="auto"/>
                <w:w w:val="87"/>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188.6</w:t>
            </w:r>
          </w:p>
        </w:tc>
        <w:tc>
          <w:tcPr>
            <w:tcW w:w="88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175.1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13.5</w:t>
            </w:r>
          </w:p>
        </w:tc>
      </w:tr>
      <w:tr>
        <w:trPr>
          <w:trHeight w:val="243"/>
        </w:trPr>
        <w:tc>
          <w:tcPr>
            <w:tcW w:w="1960" w:type="dxa"/>
            <w:vAlign w:val="bottom"/>
          </w:tcPr>
          <w:p>
            <w:pPr>
              <w:ind w:left="20"/>
              <w:spacing w:after="0"/>
              <w:rPr>
                <w:sz w:val="20"/>
                <w:szCs w:val="20"/>
                <w:color w:val="auto"/>
              </w:rPr>
            </w:pPr>
            <w:r>
              <w:rPr>
                <w:rFonts w:ascii="Arial" w:cs="Arial" w:eastAsia="Arial" w:hAnsi="Arial"/>
                <w:sz w:val="18"/>
                <w:szCs w:val="18"/>
                <w:color w:val="auto"/>
              </w:rPr>
              <w:t>Disposal</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43.7</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center"/>
              <w:ind w:left="173"/>
              <w:spacing w:after="0"/>
              <w:rPr>
                <w:sz w:val="20"/>
                <w:szCs w:val="20"/>
                <w:color w:val="auto"/>
              </w:rPr>
            </w:pPr>
            <w:r>
              <w:rPr>
                <w:rFonts w:ascii="Arial" w:cs="Arial" w:eastAsia="Arial" w:hAnsi="Arial"/>
                <w:sz w:val="18"/>
                <w:szCs w:val="18"/>
                <w:color w:val="auto"/>
                <w:w w:val="91"/>
              </w:rPr>
              <w:t>(4.4)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82.4</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(1.8)</w:t>
            </w:r>
          </w:p>
        </w:tc>
      </w:tr>
      <w:tr>
        <w:trPr>
          <w:trHeight w:val="27"/>
        </w:trPr>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Power</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left="213"/>
              <w:spacing w:after="0"/>
              <w:rPr>
                <w:sz w:val="20"/>
                <w:szCs w:val="20"/>
                <w:color w:val="auto"/>
              </w:rPr>
            </w:pPr>
            <w:r>
              <w:rPr>
                <w:rFonts w:ascii="Arial" w:cs="Arial" w:eastAsia="Arial" w:hAnsi="Arial"/>
                <w:sz w:val="18"/>
                <w:szCs w:val="18"/>
                <w:color w:val="auto"/>
                <w:w w:val="87"/>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r>
      <w:tr>
        <w:trPr>
          <w:trHeight w:val="243"/>
        </w:trPr>
        <w:tc>
          <w:tcPr>
            <w:tcW w:w="196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center"/>
              <w:ind w:left="213"/>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0.2</w:t>
            </w:r>
          </w:p>
        </w:tc>
      </w:tr>
      <w:tr>
        <w:trPr>
          <w:trHeight w:val="27"/>
        </w:trPr>
        <w:tc>
          <w:tcPr>
            <w:tcW w:w="1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1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Solid waste</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140.6</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142.8</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left="173"/>
              <w:spacing w:after="0"/>
              <w:rPr>
                <w:sz w:val="20"/>
                <w:szCs w:val="20"/>
                <w:color w:val="auto"/>
              </w:rPr>
            </w:pPr>
            <w:r>
              <w:rPr>
                <w:rFonts w:ascii="Arial" w:cs="Arial" w:eastAsia="Arial" w:hAnsi="Arial"/>
                <w:sz w:val="18"/>
                <w:szCs w:val="18"/>
                <w:color w:val="auto"/>
                <w:w w:val="91"/>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276.0</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264.0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12.0</w:t>
            </w:r>
          </w:p>
        </w:tc>
      </w:tr>
      <w:tr>
        <w:trPr>
          <w:trHeight w:val="243"/>
        </w:trPr>
        <w:tc>
          <w:tcPr>
            <w:tcW w:w="1960" w:type="dxa"/>
            <w:vAlign w:val="bottom"/>
          </w:tcPr>
          <w:p>
            <w:pPr>
              <w:ind w:left="20"/>
              <w:spacing w:after="0"/>
              <w:rPr>
                <w:sz w:val="20"/>
                <w:szCs w:val="20"/>
                <w:color w:val="auto"/>
              </w:rPr>
            </w:pPr>
            <w:r>
              <w:rPr>
                <w:rFonts w:ascii="Arial" w:cs="Arial" w:eastAsia="Arial" w:hAnsi="Arial"/>
                <w:sz w:val="18"/>
                <w:szCs w:val="18"/>
                <w:color w:val="auto"/>
              </w:rPr>
              <w:t>Organics</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15.5</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center"/>
              <w:ind w:left="213"/>
              <w:spacing w:after="0"/>
              <w:rPr>
                <w:sz w:val="20"/>
                <w:szCs w:val="20"/>
                <w:color w:val="auto"/>
              </w:rPr>
            </w:pPr>
            <w:r>
              <w:rPr>
                <w:rFonts w:ascii="Arial" w:cs="Arial" w:eastAsia="Arial" w:hAnsi="Arial"/>
                <w:sz w:val="18"/>
                <w:szCs w:val="18"/>
                <w:color w:val="auto"/>
                <w:w w:val="87"/>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30.3</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1.9</w:t>
            </w:r>
          </w:p>
        </w:tc>
      </w:tr>
      <w:tr>
        <w:trPr>
          <w:trHeight w:val="27"/>
        </w:trPr>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solutions</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left="213"/>
              <w:spacing w:after="0"/>
              <w:rPr>
                <w:sz w:val="20"/>
                <w:szCs w:val="20"/>
                <w:color w:val="auto"/>
              </w:rPr>
            </w:pPr>
            <w:r>
              <w:rPr>
                <w:rFonts w:ascii="Arial" w:cs="Arial" w:eastAsia="Arial" w:hAnsi="Arial"/>
                <w:sz w:val="18"/>
                <w:szCs w:val="18"/>
                <w:color w:val="auto"/>
                <w:w w:val="87"/>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w:t>
            </w:r>
          </w:p>
        </w:tc>
      </w:tr>
      <w:tr>
        <w:trPr>
          <w:trHeight w:val="243"/>
        </w:trPr>
        <w:tc>
          <w:tcPr>
            <w:tcW w:w="1960" w:type="dxa"/>
            <w:vAlign w:val="bottom"/>
          </w:tcPr>
          <w:p>
            <w:pPr>
              <w:ind w:left="20"/>
              <w:spacing w:after="0"/>
              <w:rPr>
                <w:sz w:val="20"/>
                <w:szCs w:val="20"/>
                <w:color w:val="auto"/>
              </w:rPr>
            </w:pPr>
            <w:r>
              <w:rPr>
                <w:rFonts w:ascii="Arial" w:cs="Arial" w:eastAsia="Arial" w:hAnsi="Arial"/>
                <w:sz w:val="18"/>
                <w:szCs w:val="18"/>
                <w:color w:val="auto"/>
              </w:rPr>
              <w:t>Recycling</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center"/>
              <w:ind w:left="213"/>
              <w:spacing w:after="0"/>
              <w:rPr>
                <w:sz w:val="20"/>
                <w:szCs w:val="20"/>
                <w:color w:val="auto"/>
              </w:rPr>
            </w:pPr>
            <w:r>
              <w:rPr>
                <w:rFonts w:ascii="Arial" w:cs="Arial" w:eastAsia="Arial" w:hAnsi="Arial"/>
                <w:sz w:val="18"/>
                <w:szCs w:val="18"/>
                <w:color w:val="auto"/>
                <w:w w:val="87"/>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2.2</w:t>
            </w:r>
          </w:p>
        </w:tc>
      </w:tr>
      <w:tr>
        <w:trPr>
          <w:trHeight w:val="27"/>
        </w:trPr>
        <w:tc>
          <w:tcPr>
            <w:tcW w:w="1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3"/>
        </w:trPr>
        <w:tc>
          <w:tcPr>
            <w:tcW w:w="1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Resource solutions</w:t>
            </w: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ind w:left="213"/>
              <w:spacing w:after="0"/>
              <w:rPr>
                <w:sz w:val="20"/>
                <w:szCs w:val="20"/>
                <w:color w:val="auto"/>
              </w:rPr>
            </w:pPr>
            <w:r>
              <w:rPr>
                <w:rFonts w:ascii="Arial" w:cs="Arial" w:eastAsia="Arial" w:hAnsi="Arial"/>
                <w:sz w:val="18"/>
                <w:szCs w:val="18"/>
                <w:color w:val="auto"/>
                <w:w w:val="87"/>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8.6</w:t>
            </w:r>
          </w:p>
        </w:tc>
      </w:tr>
      <w:tr>
        <w:trPr>
          <w:trHeight w:val="263"/>
        </w:trPr>
        <w:tc>
          <w:tcPr>
            <w:tcW w:w="19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188.8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187.5</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center"/>
              <w:ind w:left="213"/>
              <w:spacing w:after="0"/>
              <w:rPr>
                <w:sz w:val="20"/>
                <w:szCs w:val="20"/>
                <w:color w:val="auto"/>
              </w:rPr>
            </w:pPr>
            <w:r>
              <w:rPr>
                <w:rFonts w:ascii="Arial" w:cs="Arial" w:eastAsia="Arial" w:hAnsi="Arial"/>
                <w:sz w:val="18"/>
                <w:szCs w:val="18"/>
                <w:color w:val="auto"/>
                <w:w w:val="87"/>
              </w:rPr>
              <w:t>1.3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371.7</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7"/>
              </w:rPr>
              <w:t>351.1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20.6</w:t>
            </w:r>
          </w:p>
        </w:tc>
      </w:tr>
      <w:tr>
        <w:trPr>
          <w:trHeight w:val="21"/>
        </w:trPr>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04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Period-to-Period Change for the Three Months</w:t>
            </w:r>
          </w:p>
        </w:tc>
        <w:tc>
          <w:tcPr>
            <w:tcW w:w="292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w w:val="96"/>
              </w:rPr>
              <w:t>Period-to-Period Change for the Six Months</w:t>
            </w:r>
          </w:p>
        </w:tc>
      </w:tr>
      <w:tr>
        <w:trPr>
          <w:trHeight w:val="192"/>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4"/>
                <w:szCs w:val="14"/>
                <w:b w:val="1"/>
                <w:bCs w:val="1"/>
                <w:color w:val="auto"/>
              </w:rPr>
              <w:t>Ended June 30, 2020 vs. 2019</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4"/>
                <w:szCs w:val="14"/>
                <w:b w:val="1"/>
                <w:bCs w:val="1"/>
                <w:color w:val="auto"/>
              </w:rPr>
              <w:t>Ended June 30, 2020 vs. 2019</w:t>
            </w:r>
          </w:p>
        </w:tc>
        <w:tc>
          <w:tcPr>
            <w:tcW w:w="200" w:type="dxa"/>
            <w:vAlign w:val="bottom"/>
            <w:tcBorders>
              <w:bottom w:val="single" w:sz="8" w:color="auto"/>
            </w:tcBorders>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right"/>
              <w:ind w:right="113"/>
              <w:spacing w:after="0"/>
              <w:rPr>
                <w:sz w:val="20"/>
                <w:szCs w:val="20"/>
                <w:color w:val="auto"/>
              </w:rPr>
            </w:pPr>
            <w:r>
              <w:rPr>
                <w:rFonts w:ascii="Arial" w:cs="Arial" w:eastAsia="Arial" w:hAnsi="Arial"/>
                <w:sz w:val="14"/>
                <w:szCs w:val="14"/>
                <w:b w:val="1"/>
                <w:bCs w:val="1"/>
                <w:color w:val="auto"/>
              </w:rPr>
              <w:t>% Growth</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right"/>
              <w:ind w:right="113"/>
              <w:spacing w:after="0"/>
              <w:rPr>
                <w:sz w:val="20"/>
                <w:szCs w:val="20"/>
                <w:color w:val="auto"/>
              </w:rPr>
            </w:pPr>
            <w:r>
              <w:rPr>
                <w:rFonts w:ascii="Arial" w:cs="Arial" w:eastAsia="Arial" w:hAnsi="Arial"/>
                <w:sz w:val="14"/>
                <w:szCs w:val="14"/>
                <w:b w:val="1"/>
                <w:bCs w:val="1"/>
                <w:color w:val="auto"/>
              </w:rPr>
              <w:t>% Growth</w:t>
            </w:r>
          </w:p>
        </w:tc>
        <w:tc>
          <w:tcPr>
            <w:tcW w:w="200" w:type="dxa"/>
            <w:vAlign w:val="bottom"/>
          </w:tcPr>
          <w:p>
            <w:pPr>
              <w:spacing w:after="0"/>
              <w:rPr>
                <w:sz w:val="17"/>
                <w:szCs w:val="17"/>
                <w:color w:val="auto"/>
              </w:rPr>
            </w:pPr>
          </w:p>
        </w:tc>
      </w:tr>
      <w:tr>
        <w:trPr>
          <w:trHeight w:val="250"/>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5280" w:type="dxa"/>
            <w:vAlign w:val="bottom"/>
          </w:tcPr>
          <w:p>
            <w:pPr>
              <w:ind w:left="20"/>
              <w:spacing w:after="0"/>
              <w:rPr>
                <w:sz w:val="20"/>
                <w:szCs w:val="20"/>
                <w:color w:val="auto"/>
              </w:rPr>
            </w:pPr>
            <w:r>
              <w:rPr>
                <w:rFonts w:ascii="Arial" w:cs="Arial" w:eastAsia="Arial" w:hAnsi="Arial"/>
                <w:sz w:val="18"/>
                <w:szCs w:val="18"/>
                <w:color w:val="auto"/>
              </w:rPr>
              <w:t xml:space="preserve">Volume </w:t>
            </w:r>
            <w:r>
              <w:rPr>
                <w:rFonts w:ascii="Arial" w:cs="Arial" w:eastAsia="Arial" w:hAnsi="Arial"/>
                <w:sz w:val="14"/>
                <w:szCs w:val="14"/>
                <w:color w:val="auto"/>
              </w:rPr>
              <w:t>(1)</w:t>
            </w:r>
          </w:p>
        </w:tc>
        <w:tc>
          <w:tcPr>
            <w:tcW w:w="26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3"/>
                <w:szCs w:val="23"/>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3"/>
                <w:szCs w:val="23"/>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260" w:type="dxa"/>
            <w:vAlign w:val="bottom"/>
          </w:tcPr>
          <w:p>
            <w:pPr>
              <w:spacing w:after="0"/>
              <w:rPr>
                <w:sz w:val="21"/>
                <w:szCs w:val="21"/>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4"/>
        </w:trPr>
        <w:tc>
          <w:tcPr>
            <w:tcW w:w="5280" w:type="dxa"/>
            <w:vAlign w:val="bottom"/>
          </w:tcPr>
          <w:p>
            <w:pPr>
              <w:ind w:left="340"/>
              <w:spacing w:after="0"/>
              <w:rPr>
                <w:sz w:val="20"/>
                <w:szCs w:val="20"/>
                <w:color w:val="auto"/>
              </w:rPr>
            </w:pPr>
            <w:r>
              <w:rPr>
                <w:rFonts w:ascii="Arial" w:cs="Arial" w:eastAsia="Arial" w:hAnsi="Arial"/>
                <w:sz w:val="18"/>
                <w:szCs w:val="18"/>
                <w:color w:val="auto"/>
              </w:rPr>
              <w:t>Solid waste revenues</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60" w:right="140" w:hanging="652"/>
        <w:spacing w:after="0" w:line="273" w:lineRule="auto"/>
        <w:tabs>
          <w:tab w:leader="none" w:pos="652"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Adjusted for $0.6 million in the quarter and $1.4 million year-to-date of inter-company movements between solid waste collection volume and customer solutions associated with the acquisition of a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waste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impact on the change in quarterly solid waste revenues is the result of the following:</w:t>
      </w:r>
    </w:p>
    <w:p>
      <w:pPr>
        <w:spacing w:after="0" w:line="117" w:lineRule="exact"/>
        <w:rPr>
          <w:sz w:val="20"/>
          <w:szCs w:val="20"/>
          <w:color w:val="auto"/>
        </w:rPr>
      </w:pPr>
    </w:p>
    <w:p>
      <w:pPr>
        <w:ind w:left="440" w:hanging="311"/>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$3.9 million from favorable collection pricing; and</w:t>
      </w:r>
    </w:p>
    <w:p>
      <w:pPr>
        <w:spacing w:after="0" w:line="117" w:lineRule="exact"/>
        <w:rPr>
          <w:rFonts w:ascii="Arial" w:cs="Arial" w:eastAsia="Arial" w:hAnsi="Arial"/>
          <w:sz w:val="18"/>
          <w:szCs w:val="18"/>
          <w:color w:val="auto"/>
        </w:rPr>
      </w:pPr>
    </w:p>
    <w:p>
      <w:pPr>
        <w:ind w:right="4000" w:firstLine="129"/>
        <w:spacing w:after="0" w:line="422" w:lineRule="auto"/>
        <w:tabs>
          <w:tab w:leader="none" w:pos="441" w:val="left"/>
        </w:tabs>
        <w:numPr>
          <w:ilvl w:val="0"/>
          <w:numId w:val="14"/>
        </w:numPr>
        <w:rPr>
          <w:rFonts w:ascii="Arial" w:cs="Arial" w:eastAsia="Arial" w:hAnsi="Arial"/>
          <w:sz w:val="16"/>
          <w:szCs w:val="16"/>
          <w:color w:val="auto"/>
        </w:rPr>
      </w:pPr>
      <w:r>
        <w:rPr>
          <w:rFonts w:ascii="Arial" w:cs="Arial" w:eastAsia="Arial" w:hAnsi="Arial"/>
          <w:sz w:val="16"/>
          <w:szCs w:val="16"/>
          <w:color w:val="auto"/>
        </w:rPr>
        <w:t>$2.4 million from favorable disposal pricing associated with our landfills and transfer stations. The price impact on the change in year-to-date solid waste revenues is the result of the following:</w:t>
      </w:r>
    </w:p>
    <w:p>
      <w:pPr>
        <w:ind w:left="440" w:hanging="311"/>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$8.3 million from favorable collection pricing; and</w:t>
      </w:r>
    </w:p>
    <w:p>
      <w:pPr>
        <w:spacing w:after="0" w:line="117" w:lineRule="exact"/>
        <w:rPr>
          <w:rFonts w:ascii="Arial" w:cs="Arial" w:eastAsia="Arial" w:hAnsi="Arial"/>
          <w:sz w:val="18"/>
          <w:szCs w:val="18"/>
          <w:color w:val="auto"/>
        </w:rPr>
      </w:pPr>
    </w:p>
    <w:p>
      <w:pPr>
        <w:ind w:right="4000" w:firstLine="129"/>
        <w:spacing w:after="0" w:line="375" w:lineRule="auto"/>
        <w:tabs>
          <w:tab w:leader="none" w:pos="4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$5.1 million from favorable disposal pricing associated with our landfills and transfer stations. Volume.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volume impact on the change in quarterly solid waste revenues is the result of the following:</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$(9.8) million from lower collection volumes due to the negative impacts of COVID-19;</w:t>
      </w:r>
    </w:p>
    <w:p>
      <w:pPr>
        <w:spacing w:after="0" w:line="117" w:lineRule="exact"/>
        <w:rPr>
          <w:rFonts w:ascii="Arial" w:cs="Arial" w:eastAsia="Arial" w:hAnsi="Arial"/>
          <w:sz w:val="18"/>
          <w:szCs w:val="18"/>
          <w:color w:val="auto"/>
        </w:rPr>
      </w:pPr>
    </w:p>
    <w:p>
      <w:pPr>
        <w:ind w:left="460" w:right="380" w:hanging="331"/>
        <w:spacing w:after="0" w:line="277" w:lineRule="auto"/>
        <w:tabs>
          <w:tab w:leader="none" w:pos="4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$(7.7) million from lower disposal volumes (of which $(6.0) million relates to lower landfill volumes due to the negative impacts of COVID-19, $(1.4) million relates to lower transfer station volumes and $(0.3) million relates to lower transportation volumes); and</w:t>
      </w:r>
    </w:p>
    <w:p>
      <w:pPr>
        <w:spacing w:after="0" w:line="62" w:lineRule="exact"/>
        <w:rPr>
          <w:rFonts w:ascii="Arial" w:cs="Arial" w:eastAsia="Arial" w:hAnsi="Arial"/>
          <w:sz w:val="18"/>
          <w:szCs w:val="18"/>
          <w:color w:val="auto"/>
        </w:rPr>
      </w:pPr>
    </w:p>
    <w:p>
      <w:pPr>
        <w:ind w:left="440" w:hanging="311"/>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$(0.2) million from lower processing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volume impact on the change in year-to-date solid waste revenues is the result of the following:</w:t>
      </w:r>
    </w:p>
    <w:p>
      <w:pPr>
        <w:spacing w:after="0" w:line="117" w:lineRule="exact"/>
        <w:rPr>
          <w:sz w:val="20"/>
          <w:szCs w:val="20"/>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$(12.5) million from lower collection volumes due to the negative impacts of COVID-19;</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31" w:name="page32"/>
    <w:bookmarkEnd w:id="31"/>
    <w:p>
      <w:pPr>
        <w:ind w:left="460" w:right="300" w:hanging="331"/>
        <w:spacing w:after="0" w:line="277" w:lineRule="auto"/>
        <w:tabs>
          <w:tab w:leader="none" w:pos="4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$(8.3) million from lower disposal volumes (of which $(7.3) million relates to lower landfill volumes due to the negative impacts of COVID-19, $(0.8) million relates to lower transfer station volumes and $(0.2) million relates to lower transportation volumes); and</w:t>
      </w:r>
    </w:p>
    <w:p>
      <w:pPr>
        <w:spacing w:after="0" w:line="62" w:lineRule="exact"/>
        <w:rPr>
          <w:rFonts w:ascii="Arial" w:cs="Arial" w:eastAsia="Arial" w:hAnsi="Arial"/>
          <w:sz w:val="18"/>
          <w:szCs w:val="18"/>
          <w:color w:val="auto"/>
        </w:rPr>
      </w:pPr>
    </w:p>
    <w:p>
      <w:pPr>
        <w:ind w:left="440" w:hanging="31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$(0.2) million from lower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surcharges and other fees impact on the change in year-to-date solid waste revenues is associated primarily with the Energy component of the Energy and Environmental fee and the Sustainability Recycling Adjustment fee. The Energy component of the fee floats on a monthly basis based on diesel fuel prices. The Sustainability Recycling Adjustment fee floats on a monthly basis based on recycled commodity prices.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commodity price and volume impact on the change in quarterly solid waste revenues is the result of the following:</w:t>
      </w:r>
    </w:p>
    <w:p>
      <w:pPr>
        <w:spacing w:after="0" w:line="117" w:lineRule="exact"/>
        <w:rPr>
          <w:sz w:val="20"/>
          <w:szCs w:val="20"/>
          <w:color w:val="auto"/>
        </w:rPr>
      </w:pPr>
    </w:p>
    <w:p>
      <w:pPr>
        <w:ind w:left="440" w:hanging="311"/>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$0.3 million from favorable commodity and energy pricing; partially offset by</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$(0.2) million due to lower commodity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commodity price and volume impact on the change in year-to-date solid waste revenues is the result of the following:</w:t>
      </w:r>
    </w:p>
    <w:p>
      <w:pPr>
        <w:spacing w:after="0" w:line="117" w:lineRule="exact"/>
        <w:rPr>
          <w:sz w:val="20"/>
          <w:szCs w:val="20"/>
          <w:color w:val="auto"/>
        </w:rPr>
      </w:pPr>
    </w:p>
    <w:p>
      <w:pPr>
        <w:ind w:left="440" w:hanging="311"/>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$(0.3) million from lower commodity processing volumes; and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$(0.2) million from unfavorable energy pricing; partially offset by</w:t>
      </w:r>
    </w:p>
    <w:p>
      <w:pPr>
        <w:spacing w:after="0" w:line="117" w:lineRule="exact"/>
        <w:rPr>
          <w:rFonts w:ascii="Arial" w:cs="Arial" w:eastAsia="Arial" w:hAnsi="Arial"/>
          <w:sz w:val="18"/>
          <w:szCs w:val="18"/>
          <w:color w:val="auto"/>
        </w:rPr>
      </w:pPr>
    </w:p>
    <w:p>
      <w:pPr>
        <w:ind w:right="6540" w:firstLine="129"/>
        <w:spacing w:after="0" w:line="375" w:lineRule="auto"/>
        <w:tabs>
          <w:tab w:leader="none" w:pos="441" w:val="left"/>
        </w:tabs>
        <w:numPr>
          <w:ilvl w:val="0"/>
          <w:numId w:val="18"/>
        </w:numPr>
        <w:rPr>
          <w:rFonts w:ascii="Arial" w:cs="Arial" w:eastAsia="Arial" w:hAnsi="Arial"/>
          <w:sz w:val="18"/>
          <w:szCs w:val="18"/>
          <w:color w:val="auto"/>
        </w:rPr>
      </w:pPr>
      <w:r>
        <w:rPr>
          <w:rFonts w:ascii="Arial" w:cs="Arial" w:eastAsia="Arial" w:hAnsi="Arial"/>
          <w:sz w:val="18"/>
          <w:szCs w:val="18"/>
          <w:color w:val="auto"/>
        </w:rPr>
        <w:t>$0.3 million due to higher landfill gas-to-energy volumes. Acquisitions.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The acquisitions impact on the change in quarterly and year-to-date solid waste revenues is associated with the following acquisition activity:</w:t>
      </w:r>
    </w:p>
    <w:p>
      <w:pPr>
        <w:spacing w:after="0" w:line="128" w:lineRule="exact"/>
        <w:rPr>
          <w:rFonts w:ascii="Arial" w:cs="Arial" w:eastAsia="Arial" w:hAnsi="Arial"/>
          <w:sz w:val="18"/>
          <w:szCs w:val="18"/>
          <w:color w:val="auto"/>
        </w:rPr>
      </w:pPr>
    </w:p>
    <w:p>
      <w:pPr>
        <w:ind w:left="440" w:hanging="311"/>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acquisition of three tuck-in solid waste collection business in our Western region; and</w:t>
      </w:r>
    </w:p>
    <w:p>
      <w:pPr>
        <w:spacing w:after="0" w:line="117" w:lineRule="exact"/>
        <w:rPr>
          <w:rFonts w:ascii="Arial" w:cs="Arial" w:eastAsia="Arial" w:hAnsi="Arial"/>
          <w:sz w:val="18"/>
          <w:szCs w:val="18"/>
          <w:color w:val="auto"/>
        </w:rPr>
      </w:pPr>
    </w:p>
    <w:p>
      <w:pPr>
        <w:ind w:left="460" w:right="320" w:hanging="331"/>
        <w:spacing w:after="0" w:line="308" w:lineRule="auto"/>
        <w:tabs>
          <w:tab w:leader="none" w:pos="4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acquisition of nine businesses throughout the prior year: seven tuck-in solid waste collection businesses, a business comprised of solid waste collection, transfer and recycling operations, and a business comprised of solid waste hauling and transfer assets.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Solutions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Organics.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Organics revenues increased $0.5 million quarterly and $1.9 million year-to-date as a result of higher volumes associated with two large transportation and disposal contracts.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Customer solutions.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Customer solutions revenues increased $0.4 million quarterly and $3.1 million year-to-date as the result of higher volumes mainly due to multi-site retail and industrial services organic growth. The increase was adjusted for $0.6 million quarterly and $1.4 million year-to-date of inter-company movements between solid waste collection volume and customer solutions associated with the acquisition of a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Recycling.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Quarterly recycling revenues increased $2.0 million as a result of the following:</w:t>
      </w:r>
    </w:p>
    <w:p>
      <w:pPr>
        <w:spacing w:after="0" w:line="117" w:lineRule="exact"/>
        <w:rPr>
          <w:sz w:val="20"/>
          <w:szCs w:val="20"/>
          <w:color w:val="auto"/>
        </w:rPr>
      </w:pPr>
    </w:p>
    <w:p>
      <w:pPr>
        <w:ind w:left="440" w:hanging="311"/>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$1.2 million from favorable commodity pricing in the marketplace with higher cardboard pricing, partially offset by lower plastics pricing;</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$0.6 million from higher recycling processing fees; and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$0.2 million from the acquisition of recycling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Year-to-date recycling revenues increased $2.2 million as a result of the following:</w:t>
      </w:r>
    </w:p>
    <w:p>
      <w:pPr>
        <w:spacing w:after="0" w:line="117" w:lineRule="exact"/>
        <w:rPr>
          <w:sz w:val="20"/>
          <w:szCs w:val="20"/>
          <w:color w:val="auto"/>
        </w:rPr>
      </w:pPr>
    </w:p>
    <w:p>
      <w:pPr>
        <w:ind w:left="440" w:hanging="311"/>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$2.6 million from higher recycling processing fees;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$0.5 million from the acquisition of recycling operations; and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$0.1 million from higher commodity volumes; partially offset by</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 million from unfavorable commodity pricing in the marketplace in the first quarter.</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03" w:right="4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 summary of cost of operations, general and administration expense, and depreciation and amortization expense (dollars in millions and as a percentage of total revenues)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31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right"/>
              <w:ind w:right="135"/>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57"/>
              <w:spacing w:after="0"/>
              <w:rPr>
                <w:sz w:val="20"/>
                <w:szCs w:val="20"/>
                <w:color w:val="auto"/>
              </w:rPr>
            </w:pPr>
            <w:r>
              <w:rPr>
                <w:rFonts w:ascii="Arial" w:cs="Arial" w:eastAsia="Arial" w:hAnsi="Arial"/>
                <w:sz w:val="14"/>
                <w:szCs w:val="14"/>
                <w:b w:val="1"/>
                <w:bCs w:val="1"/>
                <w:color w:val="auto"/>
              </w:rPr>
              <w:t>$</w:t>
            </w:r>
          </w:p>
        </w:tc>
      </w:tr>
      <w:tr>
        <w:trPr>
          <w:trHeight w:val="196"/>
        </w:trPr>
        <w:tc>
          <w:tcPr>
            <w:tcW w:w="2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3"/>
              </w:rPr>
              <w:t>Change</w:t>
            </w:r>
          </w:p>
        </w:tc>
      </w:tr>
      <w:tr>
        <w:trPr>
          <w:trHeight w:val="250"/>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417"/>
              <w:spacing w:after="0"/>
              <w:rPr>
                <w:sz w:val="20"/>
                <w:szCs w:val="20"/>
                <w:color w:val="auto"/>
              </w:rPr>
            </w:pPr>
            <w:r>
              <w:rPr>
                <w:rFonts w:ascii="Arial" w:cs="Arial" w:eastAsia="Arial" w:hAnsi="Arial"/>
                <w:sz w:val="18"/>
                <w:szCs w:val="18"/>
                <w:color w:val="auto"/>
                <w:w w:val="97"/>
              </w:rPr>
              <w:t>123.5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8"/>
                <w:szCs w:val="18"/>
                <w:color w:val="auto"/>
              </w:rPr>
              <w:t>128.7</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center"/>
              <w:ind w:left="57"/>
              <w:spacing w:after="0"/>
              <w:rPr>
                <w:sz w:val="20"/>
                <w:szCs w:val="20"/>
                <w:color w:val="auto"/>
              </w:rPr>
            </w:pPr>
            <w:r>
              <w:rPr>
                <w:rFonts w:ascii="Arial" w:cs="Arial" w:eastAsia="Arial" w:hAnsi="Arial"/>
                <w:sz w:val="18"/>
                <w:szCs w:val="18"/>
                <w:color w:val="auto"/>
                <w:w w:val="91"/>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252.0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5"/>
              <w:spacing w:after="0"/>
              <w:rPr>
                <w:sz w:val="20"/>
                <w:szCs w:val="20"/>
                <w:color w:val="auto"/>
              </w:rPr>
            </w:pPr>
            <w:r>
              <w:rPr>
                <w:rFonts w:ascii="Arial" w:cs="Arial" w:eastAsia="Arial" w:hAnsi="Arial"/>
                <w:sz w:val="18"/>
                <w:szCs w:val="18"/>
                <w:color w:val="auto"/>
                <w:w w:val="97"/>
              </w:rPr>
              <w:t>246.4</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5.6</w:t>
            </w: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auto"/>
              </w:rPr>
              <w:t>General and administration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417"/>
              <w:spacing w:after="0"/>
              <w:rPr>
                <w:sz w:val="20"/>
                <w:szCs w:val="20"/>
                <w:color w:val="auto"/>
              </w:rPr>
            </w:pPr>
            <w:r>
              <w:rPr>
                <w:rFonts w:ascii="Arial" w:cs="Arial" w:eastAsia="Arial" w:hAnsi="Arial"/>
                <w:sz w:val="18"/>
                <w:szCs w:val="18"/>
                <w:color w:val="auto"/>
              </w:rPr>
              <w:t>24.9</w:t>
            </w:r>
          </w:p>
        </w:tc>
        <w:tc>
          <w:tcPr>
            <w:tcW w:w="42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95"/>
              <w:spacing w:after="0"/>
              <w:rPr>
                <w:sz w:val="20"/>
                <w:szCs w:val="20"/>
                <w:color w:val="auto"/>
              </w:rPr>
            </w:pPr>
            <w:r>
              <w:rPr>
                <w:rFonts w:ascii="Arial" w:cs="Arial" w:eastAsia="Arial" w:hAnsi="Arial"/>
                <w:sz w:val="18"/>
                <w:szCs w:val="18"/>
                <w:color w:val="auto"/>
              </w:rPr>
              <w:t>22.1</w:t>
            </w:r>
          </w:p>
        </w:tc>
        <w:tc>
          <w:tcPr>
            <w:tcW w:w="44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left="97"/>
              <w:spacing w:after="0"/>
              <w:rPr>
                <w:sz w:val="20"/>
                <w:szCs w:val="20"/>
                <w:color w:val="auto"/>
              </w:rPr>
            </w:pPr>
            <w:r>
              <w:rPr>
                <w:rFonts w:ascii="Arial" w:cs="Arial" w:eastAsia="Arial" w:hAnsi="Arial"/>
                <w:sz w:val="18"/>
                <w:szCs w:val="18"/>
                <w:color w:val="auto"/>
                <w:w w:val="87"/>
              </w:rPr>
              <w:t>2.8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49.2</w:t>
            </w:r>
          </w:p>
        </w:tc>
        <w:tc>
          <w:tcPr>
            <w:tcW w:w="80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5"/>
              <w:spacing w:after="0"/>
              <w:rPr>
                <w:sz w:val="20"/>
                <w:szCs w:val="20"/>
                <w:color w:val="auto"/>
              </w:rPr>
            </w:pPr>
            <w:r>
              <w:rPr>
                <w:rFonts w:ascii="Arial" w:cs="Arial" w:eastAsia="Arial" w:hAnsi="Arial"/>
                <w:sz w:val="18"/>
                <w:szCs w:val="18"/>
                <w:color w:val="auto"/>
              </w:rPr>
              <w:t>44.9</w:t>
            </w:r>
          </w:p>
        </w:tc>
        <w:tc>
          <w:tcPr>
            <w:tcW w:w="42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7"/>
              <w:spacing w:after="0"/>
              <w:rPr>
                <w:sz w:val="20"/>
                <w:szCs w:val="20"/>
                <w:color w:val="auto"/>
              </w:rPr>
            </w:pPr>
            <w:r>
              <w:rPr>
                <w:rFonts w:ascii="Arial" w:cs="Arial" w:eastAsia="Arial" w:hAnsi="Arial"/>
                <w:sz w:val="18"/>
                <w:szCs w:val="18"/>
                <w:color w:val="auto"/>
              </w:rPr>
              <w:t>4.3</w:t>
            </w:r>
          </w:p>
        </w:tc>
      </w:tr>
      <w:tr>
        <w:trPr>
          <w:trHeight w:val="27"/>
        </w:trPr>
        <w:tc>
          <w:tcPr>
            <w:tcW w:w="240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Depreciation and amortization $</w:t>
            </w:r>
          </w:p>
        </w:tc>
        <w:tc>
          <w:tcPr>
            <w:tcW w:w="96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22.1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19.7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ind w:left="97"/>
              <w:spacing w:after="0"/>
              <w:rPr>
                <w:sz w:val="20"/>
                <w:szCs w:val="20"/>
                <w:color w:val="auto"/>
              </w:rPr>
            </w:pPr>
            <w:r>
              <w:rPr>
                <w:rFonts w:ascii="Arial" w:cs="Arial" w:eastAsia="Arial" w:hAnsi="Arial"/>
                <w:sz w:val="18"/>
                <w:szCs w:val="18"/>
                <w:color w:val="auto"/>
                <w:w w:val="87"/>
              </w:rPr>
              <w:t>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37.2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6.3</w:t>
            </w:r>
          </w:p>
        </w:tc>
      </w:tr>
      <w:tr>
        <w:trPr>
          <w:trHeight w:val="27"/>
        </w:trPr>
        <w:tc>
          <w:tcPr>
            <w:tcW w:w="2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Cost of operations includes labor costs, tipping fees paid to third-party disposal facilities, fuel costs, maintenance and repair costs of vehicles and equipment, workers’ compensation and vehicle insurance costs, third-party transportation costs, district and state taxes, host community fees, and royalties. Cost of operations also includes accretion expense related to final capping, closure and post-closure obligations, leachate treatment and disposal costs, and depletion of landfill operating lease obligations.</w:t>
      </w:r>
    </w:p>
    <w:p>
      <w:pPr>
        <w:spacing w:after="0" w:line="79" w:lineRule="exact"/>
        <w:rPr>
          <w:sz w:val="20"/>
          <w:szCs w:val="20"/>
          <w:color w:val="auto"/>
        </w:rPr>
      </w:pPr>
    </w:p>
    <w:p>
      <w:pPr>
        <w:ind w:right="480"/>
        <w:spacing w:after="0" w:line="375" w:lineRule="auto"/>
        <w:rPr>
          <w:sz w:val="20"/>
          <w:szCs w:val="20"/>
          <w:color w:val="auto"/>
        </w:rPr>
      </w:pPr>
      <w:r>
        <w:rPr>
          <w:rFonts w:ascii="Arial" w:cs="Arial" w:eastAsia="Arial" w:hAnsi="Arial"/>
          <w:sz w:val="15"/>
          <w:szCs w:val="15"/>
          <w:color w:val="auto"/>
        </w:rPr>
        <w:t>As a percentage of revenues, cost of operations decreased 320 basis points and 240 basis points during the three and six months ended June 30, 2020, respectively, from the same periods of the prior year. The period-to-period changes in cost of operations can be primarily attributed to the following:</w:t>
      </w:r>
    </w:p>
    <w:p>
      <w:pPr>
        <w:spacing w:after="0" w:line="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Third-party direct costs decreased $(3.2) million quarterly while decreasing 190 basis points as a percentage of revenues, and increased $1.9 million year-to-date, but decreased 100 basis points as a percentage of revenues due to the following:</w:t>
      </w:r>
    </w:p>
    <w:p>
      <w:pPr>
        <w:spacing w:after="0" w:line="62" w:lineRule="exact"/>
        <w:rPr>
          <w:sz w:val="20"/>
          <w:szCs w:val="20"/>
          <w:color w:val="auto"/>
        </w:rPr>
      </w:pPr>
    </w:p>
    <w:p>
      <w:pPr>
        <w:ind w:left="460" w:right="120" w:hanging="331"/>
        <w:spacing w:after="0" w:line="296" w:lineRule="auto"/>
        <w:tabs>
          <w:tab w:leader="none" w:pos="4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lower disposal costs associated with lower volumes, including commercial collection, construction and demolition, and landfills, due to the negative economic impacts of COVID-19 combined with lower organic collection and landfill volumes due to our focus on pricing; more than offset on a year-to-date basis with higher disposal costs associated with increased disposal pricing in the northeastern United States, additional volumes related to acquisition activity in the Western region, and additional volumes within our Resource Solutions segment due to multi-site retail and industrial services organic growth in our customer solutions line-of-business and organic growth in our organics line-of-business.</w:t>
      </w:r>
    </w:p>
    <w:p>
      <w:pPr>
        <w:spacing w:after="0" w:line="53" w:lineRule="exact"/>
        <w:rPr>
          <w:rFonts w:ascii="Arial" w:cs="Arial" w:eastAsia="Arial" w:hAnsi="Arial"/>
          <w:sz w:val="16"/>
          <w:szCs w:val="16"/>
          <w:color w:val="auto"/>
        </w:rPr>
      </w:pPr>
    </w:p>
    <w:p>
      <w:pPr>
        <w:ind w:left="460" w:right="100" w:hanging="331"/>
        <w:spacing w:after="0" w:line="259" w:lineRule="auto"/>
        <w:tabs>
          <w:tab w:leader="none" w:pos="4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hauling and third-party transportation costs associated with lower volumes due to the negative impacts of COVID-19; more than offset on a year-to-date basis with higher hauling and third-party transportation costs associated with higher collection volumes related to acquisition activity in the Western region; higher brokerage volumes in our customer solutions line-of-business with high pass through direct costs; higher recycling volumes related to acquisition activity; and higher transportation rates.</w:t>
      </w:r>
    </w:p>
    <w:p>
      <w:pPr>
        <w:spacing w:after="0" w:line="7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Direct operational costs decreased $(1.7) million quarterly while decreasing 100 basis points as a percentage of revenues, and remained flat year-to-date while decreasing 60 basis points as a percentage of revenues, due to lower landfill operating costs, offset on a year-to-date basis by higher auto insurance costs, associated primarily with claims activity in the first quarter, and higher operating costs related to business growth.</w:t>
      </w:r>
    </w:p>
    <w:p>
      <w:pPr>
        <w:spacing w:after="0" w:line="5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Fuel costs decreased $(0.8) million quarterly while decreasing 50 basis points as a percentage of revenues, and decreased $(0.4) million year-to-date while decreasing 40 basis points as a percentage of revenues, due primarily to lower fuel prices and fleet efficiency, partially offset by higher volumes associated with acquisition activity.</w:t>
      </w:r>
    </w:p>
    <w:p>
      <w:pPr>
        <w:spacing w:after="0" w:line="7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Labor and related benefit costs decreased $(0.2) million quarterly while decreasing 20 basis points as a percentage of revenues, and increased $1.0 million year-to-date, but decreased 50 basis points as a percentage of revenues, due to lower labor costs on decreased overtime and lower benefit costs; more than offset on a year-to-date basis with higher labor costs related primarily to acquisition activity in the Western region and a discretionary bonus for our front-line employees.</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Maintenance and repair costs increased $0.7 million quarterly while increasing 30 basis points as a percentage of revenues, and increased $3.1 million year-to-date while remaining flat as a percentage of revenues, due primarily to higher facility maintenance costs, and to a lesser extent, higher fleet maintenance costs associated with acquisition activity and related business growth, which was partially offset in the quarter associated with less wear and tear based on activity levels and lower volumes as a result of COVID-19.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General and administration expense includes management, clerical and administrative compensation, bad debt expense, as well as overhead costs, professional service fees and costs associated with marketing, sales force and community relations efforts.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ind w:right="60"/>
        <w:spacing w:after="0" w:line="263" w:lineRule="auto"/>
        <w:rPr>
          <w:sz w:val="20"/>
          <w:szCs w:val="20"/>
          <w:color w:val="auto"/>
        </w:rPr>
      </w:pPr>
      <w:r>
        <w:rPr>
          <w:rFonts w:ascii="Arial" w:cs="Arial" w:eastAsia="Arial" w:hAnsi="Arial"/>
          <w:sz w:val="18"/>
          <w:szCs w:val="18"/>
          <w:color w:val="auto"/>
        </w:rPr>
        <w:t>The period-to-period changes in general and administration expense can be primarily attributed to higher labor costs associated with acquisition activity, higher bad debt expense year-to-date based on the continued economic downturn associated with COVID-19, higher accrued incentive compensation and a discretionary bonus for our hourly back-office employees.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using either an economic benefit provided approach or on a straight-line basis over the definitive terms of the related agreements.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depreciation and amortization expense (dollars in millions and as a percentage of total revenues)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14"/>
                <w:szCs w:val="14"/>
                <w:b w:val="1"/>
                <w:bCs w:val="1"/>
                <w:color w:val="auto"/>
                <w:w w:val="93"/>
              </w:rPr>
              <w:t>Three Months Ended June 30,</w:t>
            </w: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2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w w:val="92"/>
              </w:rPr>
              <w:t>Six Months Ended June 30,</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56"/>
              <w:spacing w:after="0"/>
              <w:rPr>
                <w:sz w:val="20"/>
                <w:szCs w:val="20"/>
                <w:color w:val="auto"/>
              </w:rPr>
            </w:pPr>
            <w:r>
              <w:rPr>
                <w:rFonts w:ascii="Arial" w:cs="Arial" w:eastAsia="Arial" w:hAnsi="Arial"/>
                <w:sz w:val="14"/>
                <w:szCs w:val="14"/>
                <w:b w:val="1"/>
                <w:bCs w:val="1"/>
                <w:color w:val="auto"/>
              </w:rPr>
              <w:t>$</w:t>
            </w:r>
          </w:p>
        </w:tc>
      </w:tr>
      <w:tr>
        <w:trPr>
          <w:trHeight w:val="196"/>
        </w:trPr>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Change</w:t>
            </w:r>
          </w:p>
        </w:tc>
      </w:tr>
      <w:tr>
        <w:trPr>
          <w:trHeight w:val="250"/>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2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21.2</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center"/>
              <w:ind w:left="16"/>
              <w:spacing w:after="0"/>
              <w:rPr>
                <w:sz w:val="20"/>
                <w:szCs w:val="20"/>
                <w:color w:val="auto"/>
              </w:rPr>
            </w:pPr>
            <w:r>
              <w:rPr>
                <w:rFonts w:ascii="Arial" w:cs="Arial" w:eastAsia="Arial" w:hAnsi="Arial"/>
                <w:sz w:val="18"/>
                <w:szCs w:val="18"/>
                <w:color w:val="auto"/>
                <w:w w:val="87"/>
              </w:rPr>
              <w:t>5.1</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Landfill amortization</w:t>
            </w:r>
          </w:p>
        </w:tc>
        <w:tc>
          <w:tcPr>
            <w:tcW w:w="180" w:type="dxa"/>
            <w:vAlign w:val="bottom"/>
          </w:tcPr>
          <w:p>
            <w:pPr>
              <w:spacing w:after="0"/>
              <w:rPr>
                <w:sz w:val="21"/>
                <w:szCs w:val="21"/>
                <w:color w:val="auto"/>
              </w:rPr>
            </w:pPr>
          </w:p>
        </w:tc>
        <w:tc>
          <w:tcPr>
            <w:tcW w:w="540" w:type="dxa"/>
            <w:vAlign w:val="bottom"/>
          </w:tcPr>
          <w:p>
            <w:pPr>
              <w:jc w:val="right"/>
              <w:ind w:right="7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7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7"/>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12.8</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54"/>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7"/>
              </w:rPr>
              <w:t>(0.1)</w:t>
            </w:r>
          </w:p>
        </w:tc>
      </w:tr>
      <w:tr>
        <w:trPr>
          <w:trHeight w:val="27"/>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center"/>
              <w:ind w:left="16"/>
              <w:spacing w:after="0"/>
              <w:rPr>
                <w:sz w:val="20"/>
                <w:szCs w:val="20"/>
                <w:color w:val="auto"/>
              </w:rPr>
            </w:pPr>
            <w:r>
              <w:rPr>
                <w:rFonts w:ascii="Arial" w:cs="Arial" w:eastAsia="Arial" w:hAnsi="Arial"/>
                <w:sz w:val="18"/>
                <w:szCs w:val="18"/>
                <w:color w:val="auto"/>
                <w:w w:val="87"/>
              </w:rPr>
              <w:t>1.3</w:t>
            </w:r>
          </w:p>
        </w:tc>
      </w:tr>
      <w:tr>
        <w:trPr>
          <w:trHeight w:val="237"/>
        </w:trPr>
        <w:tc>
          <w:tcPr>
            <w:tcW w:w="26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10.5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center"/>
              <w:ind w:left="16"/>
              <w:spacing w:after="0"/>
              <w:rPr>
                <w:sz w:val="20"/>
                <w:szCs w:val="20"/>
                <w:color w:val="auto"/>
              </w:rPr>
            </w:pPr>
            <w:r>
              <w:rPr>
                <w:rFonts w:ascii="Arial" w:cs="Arial" w:eastAsia="Arial" w:hAnsi="Arial"/>
                <w:sz w:val="18"/>
                <w:szCs w:val="18"/>
                <w:color w:val="auto"/>
                <w:w w:val="87"/>
              </w:rPr>
              <w:t>6.3</w:t>
            </w:r>
          </w:p>
        </w:tc>
      </w:tr>
      <w:tr>
        <w:trPr>
          <w:trHeight w:val="27"/>
        </w:trPr>
        <w:tc>
          <w:tcPr>
            <w:tcW w:w="2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period-to-period changes in depreciation and amortization expense can be primarily attributed to increased investment in our fleet, acquisition activity and higher landfill amortization expense associated with changes in cost estimates and other assumptions, partially offset by lower landfill volumes associated with the negative impacts of COVID-19.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from Acquisition Activities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three and six months ended June 30, 2020, we recorded charges of $0.4 million and $1.4 million, respectively, and in the three and six months ended June 30, 2019, we recorded charges of $0.5 million and $1.1 million, respectively, comprised primarily of legal, consulting and other similar costs associated with the acquisition and integration of acquired businesses or select development projects.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Landfill Closure Charge</w:t>
      </w:r>
    </w:p>
    <w:p>
      <w:pPr>
        <w:spacing w:after="0" w:line="11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2017, we initiated the plan to cease operations of the Town of Southbridge, Massachusetts landfill ("Southbridge Landfill") and later closed it in November 2018 when Southbridge Landfill reached its final capacity</w:t>
      </w:r>
      <w:r>
        <w:rPr>
          <w:rFonts w:ascii="Arial" w:cs="Arial" w:eastAsia="Arial" w:hAnsi="Arial"/>
          <w:sz w:val="17"/>
          <w:szCs w:val="17"/>
          <w:i w:val="1"/>
          <w:iCs w:val="1"/>
          <w:color w:val="auto"/>
        </w:rPr>
        <w:t>.</w:t>
      </w:r>
      <w:r>
        <w:rPr>
          <w:rFonts w:ascii="Arial" w:cs="Arial" w:eastAsia="Arial" w:hAnsi="Arial"/>
          <w:sz w:val="17"/>
          <w:szCs w:val="17"/>
          <w:color w:val="auto"/>
        </w:rPr>
        <w:t xml:space="preserve"> Accordingly, in the three and six months ended June 30, 2020 we recorded charges of $0.6 million and $1.2 million, respectively, comprised of $0.6 million and $1.2 million of legal and other costs pertaining to various matters as part of the unplanned early closure of the Southbridge Landfill through completion of the closure process, a charge of $0.2 million due to changes in estimated costs and timing of final capping, closure and post-closure activities at the Southbridge Landfill, and a charge of $(0.2) million associated with the completion of the environmental remediation at the site. In the three and six months ended June 30, 2019 we recorded charges of $0.9 million and $1.5 million, respectively, associated with legal and other costs pertaining to various matters as part of the unplanned early closure of the Southbridge Landfill through completion of the closure process.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interest expense, net decreased $(0.6) million quarterly and $(1.0) million year-to-date due primarily to lower average interest rates associated with changes in LIBOR and the remarketing of our New York State Environmental Facilities Corporation Solid Waste Disposal Revenue Bonds Series 2014 (“New York Bonds 2014”) and our Business Finance Authority of the State of New Hampshire Solid Waste Disposal Revenue Bonds Series 2013 (“New Hampshire Bonds”).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provision for income taxes increased $2.3 million quarterly and $2.4 million year-to-date, as compared to the same periods in the prior year. During the quarter ended June 30, 2019, we recognized a $2.1 million deferred tax benefit due to a reduction of the valuation allowance based on the recognition of additional reversing temporary differences related to the $2.1 million deferred tax liability recorded through goodwill for the acquisition of a company in May 2019. The deferred tax liability related to the acquisition was based on the impact of temporary differences between the amounts of assets and liability recognized for financial reporting purposes and the related tax bases.</w:t>
      </w:r>
    </w:p>
    <w:p>
      <w:pPr>
        <w:spacing w:after="0" w:line="8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March 27, 2020, the Coronavirus Aid, Relief, and Economic Security Act (the “CARES Act”) was enacted which, among other things, allows the carryback of remaining minimum tax credit carryforwards to tax year 2018. Prior to the CARES Act, the minimum tax credit carryforwards were fully refunded through tax year 2021, if not otherwise used to offset tax liabilities. A current income tax benefit of $(1.0) million, offset by a $1.0 million deferred tax provision, was recognized in the quarter ended March 31, 2020 for the remaining minimum tax credit being carried back to tax year 2018 by us. In the six months ended June 30, 2019, we recognized a $(0.5) million current income tax benefit, offset by a $0.5 million deferred tax provision, for the portion of the minimum tax credit carryforward refundable for 2019 based on law then enacted.</w:t>
      </w:r>
    </w:p>
    <w:p>
      <w:pPr>
        <w:spacing w:after="0" w:line="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December 22, 2017, the Tax Cuts and Jobs Act (the “TCJ Act”) was enacted. The TCJ Act significantly changed U.S. corporate income tax laws by, among other things, changing carryforward rules for net operating losses. Our $110.6 million in federal net operating loss carryforwards generated as of the end of 2017 continue to be carried forward for 20 years and are expected to be available to fully offset taxable income earned in 2020 and future tax years. Federal net operating losses generated after 2017, totaling $51.2 million carried forward to 2020, will be carried forward indefinitely, but generally may only offset up to 80% of taxable income earned in a tax year. The total federal net operating losses generated after 2017 and carried forward to 2020 has been updated from $67.4 million as estimated in the quarter ended December 31, 2019 with corresponding changes to the deferred tax asset and valuation allowance. Although the CARES Act further modifies the net operating loss rules to permit net operating losses incurred in tax years 2018 through 2020 to be carried back 5 years and to temporarily permit such losses to offset 100% of taxable income in tax year 2020, these modifications under the CARES Act are not anticipated to impact us.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are continuing to evaluate the CARES Act, but other income tax changes are not expected to have a material impact.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reportable operating segment (in millions)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38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2"/>
        </w:trPr>
        <w:tc>
          <w:tcPr>
            <w:tcW w:w="2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595"/>
              <w:spacing w:after="0"/>
              <w:rPr>
                <w:sz w:val="20"/>
                <w:szCs w:val="20"/>
                <w:color w:val="auto"/>
              </w:rPr>
            </w:pPr>
            <w:r>
              <w:rPr>
                <w:rFonts w:ascii="Arial" w:cs="Arial" w:eastAsia="Arial" w:hAnsi="Arial"/>
                <w:sz w:val="14"/>
                <w:szCs w:val="14"/>
                <w:b w:val="1"/>
                <w:bCs w:val="1"/>
                <w:color w:val="auto"/>
              </w:rPr>
              <w:t>$</w:t>
            </w:r>
          </w:p>
        </w:tc>
      </w:tr>
      <w:tr>
        <w:trPr>
          <w:trHeight w:val="196"/>
        </w:trPr>
        <w:tc>
          <w:tcPr>
            <w:tcW w:w="2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Change</w:t>
            </w:r>
          </w:p>
        </w:tc>
      </w:tr>
      <w:tr>
        <w:trPr>
          <w:trHeight w:val="249"/>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(3.8)</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103.5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Western</w:t>
            </w:r>
          </w:p>
        </w:tc>
        <w:tc>
          <w:tcPr>
            <w:tcW w:w="860" w:type="dxa"/>
            <w:vAlign w:val="bottom"/>
          </w:tcPr>
          <w:p>
            <w:pPr>
              <w:spacing w:after="0"/>
              <w:rPr>
                <w:sz w:val="21"/>
                <w:szCs w:val="21"/>
                <w:color w:val="auto"/>
              </w:rPr>
            </w:pPr>
          </w:p>
        </w:tc>
        <w:tc>
          <w:tcPr>
            <w:tcW w:w="560" w:type="dxa"/>
            <w:vAlign w:val="bottom"/>
          </w:tcPr>
          <w:p>
            <w:pPr>
              <w:jc w:val="right"/>
              <w:ind w:right="73"/>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172.5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12.6</w:t>
            </w:r>
          </w:p>
        </w:tc>
      </w:tr>
      <w:tr>
        <w:trPr>
          <w:trHeight w:val="27"/>
        </w:trPr>
        <w:tc>
          <w:tcPr>
            <w:tcW w:w="2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8.6</w:t>
            </w: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Corporate entities</w:t>
            </w:r>
          </w:p>
        </w:tc>
        <w:tc>
          <w:tcPr>
            <w:tcW w:w="86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7"/>
        </w:trPr>
        <w:tc>
          <w:tcPr>
            <w:tcW w:w="2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2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84"/>
              </w:rPr>
              <w:t>188.8</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4"/>
              </w:rPr>
              <w:t>187.5</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371.7</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351.1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20.6</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4"/>
          </w:tcPr>
          <w:p>
            <w:pPr>
              <w:ind w:left="100"/>
              <w:spacing w:after="0"/>
              <w:rPr>
                <w:sz w:val="20"/>
                <w:szCs w:val="20"/>
                <w:color w:val="auto"/>
              </w:rPr>
            </w:pPr>
            <w:r>
              <w:rPr>
                <w:rFonts w:ascii="Arial" w:cs="Arial" w:eastAsia="Arial" w:hAnsi="Arial"/>
                <w:sz w:val="14"/>
                <w:szCs w:val="14"/>
                <w:b w:val="1"/>
                <w:bCs w:val="1"/>
                <w:color w:val="auto"/>
              </w:rPr>
              <w:t>Period-to-Period Change for the Three</w:t>
            </w:r>
          </w:p>
        </w:tc>
        <w:tc>
          <w:tcPr>
            <w:tcW w:w="290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w w:val="95"/>
              </w:rPr>
              <w:t>Period-to-Period Change for the Six Months</w:t>
            </w:r>
          </w:p>
        </w:tc>
      </w:tr>
      <w:tr>
        <w:trPr>
          <w:trHeight w:val="192"/>
        </w:trPr>
        <w:tc>
          <w:tcPr>
            <w:tcW w:w="5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4"/>
                <w:szCs w:val="14"/>
                <w:b w:val="1"/>
                <w:bCs w:val="1"/>
                <w:color w:val="auto"/>
                <w:w w:val="96"/>
              </w:rPr>
              <w:t>Months Ended June 30, 2020 vs. 2019</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4"/>
                <w:szCs w:val="14"/>
                <w:b w:val="1"/>
                <w:bCs w:val="1"/>
                <w:color w:val="auto"/>
              </w:rPr>
              <w:t>Ended June 30, 2020 vs. 2019</w:t>
            </w:r>
          </w:p>
        </w:tc>
      </w:tr>
      <w:tr>
        <w:trPr>
          <w:trHeight w:val="196"/>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Amount</w:t>
            </w:r>
          </w:p>
        </w:tc>
        <w:tc>
          <w:tcPr>
            <w:tcW w:w="1540" w:type="dxa"/>
            <w:vAlign w:val="bottom"/>
            <w:gridSpan w:val="2"/>
          </w:tcPr>
          <w:p>
            <w:pPr>
              <w:ind w:left="380"/>
              <w:spacing w:after="0"/>
              <w:rPr>
                <w:sz w:val="20"/>
                <w:szCs w:val="20"/>
                <w:color w:val="auto"/>
              </w:rPr>
            </w:pPr>
            <w:r>
              <w:rPr>
                <w:rFonts w:ascii="Arial" w:cs="Arial" w:eastAsia="Arial" w:hAnsi="Arial"/>
                <w:sz w:val="14"/>
                <w:szCs w:val="14"/>
                <w:b w:val="1"/>
                <w:bCs w:val="1"/>
                <w:color w:val="auto"/>
              </w:rPr>
              <w:t>% Growth</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440" w:type="dxa"/>
            <w:vAlign w:val="bottom"/>
          </w:tcPr>
          <w:p>
            <w:pPr>
              <w:jc w:val="right"/>
              <w:ind w:right="293"/>
              <w:spacing w:after="0"/>
              <w:rPr>
                <w:sz w:val="20"/>
                <w:szCs w:val="20"/>
                <w:color w:val="auto"/>
              </w:rPr>
            </w:pPr>
            <w:r>
              <w:rPr>
                <w:rFonts w:ascii="Arial" w:cs="Arial" w:eastAsia="Arial" w:hAnsi="Arial"/>
                <w:sz w:val="14"/>
                <w:szCs w:val="14"/>
                <w:b w:val="1"/>
                <w:bCs w:val="1"/>
                <w:color w:val="auto"/>
              </w:rPr>
              <w:t>% Growth</w:t>
            </w:r>
          </w:p>
        </w:tc>
      </w:tr>
      <w:tr>
        <w:trPr>
          <w:trHeight w:val="250"/>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Volume</w:t>
            </w:r>
          </w:p>
        </w:tc>
        <w:tc>
          <w:tcPr>
            <w:tcW w:w="16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63"/>
        </w:trPr>
        <w:tc>
          <w:tcPr>
            <w:tcW w:w="5320" w:type="dxa"/>
            <w:vAlign w:val="bottom"/>
          </w:tcPr>
          <w:p>
            <w:pPr>
              <w:ind w:left="220"/>
              <w:spacing w:after="0"/>
              <w:rPr>
                <w:sz w:val="20"/>
                <w:szCs w:val="20"/>
                <w:color w:val="auto"/>
              </w:rPr>
            </w:pPr>
            <w:r>
              <w:rPr>
                <w:rFonts w:ascii="Arial" w:cs="Arial" w:eastAsia="Arial" w:hAnsi="Arial"/>
                <w:sz w:val="18"/>
                <w:szCs w:val="18"/>
                <w:color w:val="auto"/>
              </w:rPr>
              <w:t>Solid waste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1"/>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763"/>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895"/>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impact on the change in quarterly solid waste revenues is the result of the following:</w:t>
      </w:r>
    </w:p>
    <w:p>
      <w:pPr>
        <w:spacing w:after="0" w:line="117" w:lineRule="exact"/>
        <w:rPr>
          <w:sz w:val="20"/>
          <w:szCs w:val="20"/>
          <w:color w:val="auto"/>
        </w:rPr>
      </w:pPr>
    </w:p>
    <w:p>
      <w:pPr>
        <w:ind w:left="440" w:hanging="311"/>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$1.6 million from favorable collection pricing; and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$0.6 million from favorable disposal pricing related to transfer stations and landfills.</w:t>
      </w:r>
    </w:p>
    <w:p>
      <w:pPr>
        <w:spacing w:after="0" w:line="200" w:lineRule="exact"/>
        <w:rPr>
          <w:sz w:val="20"/>
          <w:szCs w:val="20"/>
          <w:color w:val="auto"/>
        </w:rPr>
      </w:pPr>
    </w:p>
    <w:p>
      <w:pPr>
        <w:spacing w:after="0" w:line="241" w:lineRule="exact"/>
        <w:rPr>
          <w:sz w:val="20"/>
          <w:szCs w:val="20"/>
          <w:color w:val="auto"/>
        </w:rPr>
      </w:pPr>
    </w:p>
    <w:p>
      <w:pPr>
        <w:ind w:left="480" w:hanging="310"/>
        <w:spacing w:after="0"/>
        <w:tabs>
          <w:tab w:leader="none" w:pos="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$3.5 million from favorable collection pricing; and</w:t>
      </w:r>
    </w:p>
    <w:p>
      <w:pPr>
        <w:spacing w:after="0" w:line="117" w:lineRule="exact"/>
        <w:rPr>
          <w:rFonts w:ascii="Arial" w:cs="Arial" w:eastAsia="Arial" w:hAnsi="Arial"/>
          <w:sz w:val="18"/>
          <w:szCs w:val="18"/>
          <w:color w:val="auto"/>
        </w:rPr>
      </w:pPr>
    </w:p>
    <w:p>
      <w:pPr>
        <w:ind w:right="4660" w:firstLine="170"/>
        <w:spacing w:after="0" w:line="375" w:lineRule="auto"/>
        <w:tabs>
          <w:tab w:leader="none" w:pos="481" w:val="left"/>
        </w:tabs>
        <w:numPr>
          <w:ilvl w:val="1"/>
          <w:numId w:val="23"/>
        </w:numPr>
        <w:rPr>
          <w:rFonts w:ascii="Arial" w:cs="Arial" w:eastAsia="Arial" w:hAnsi="Arial"/>
          <w:sz w:val="18"/>
          <w:szCs w:val="18"/>
          <w:color w:val="auto"/>
        </w:rPr>
      </w:pPr>
      <w:r>
        <w:rPr>
          <w:rFonts w:ascii="Arial" w:cs="Arial" w:eastAsia="Arial" w:hAnsi="Arial"/>
          <w:sz w:val="18"/>
          <w:szCs w:val="18"/>
          <w:color w:val="auto"/>
        </w:rPr>
        <w:t>$1.2 million from favorable disposal pricing related to transfer stations and landfills. Volume.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volume impact on the change in quarterly solid waste revenues is the result of the following:</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$(4.3) million from lower collection volumes due to the negative impacts of COVID-19;</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$(1.9) million from lower disposal volumes related to landfills and transfer stations due to the negative impacts of COVID-19; and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$(0.1) million from lower processing volumes;</w:t>
      </w:r>
    </w:p>
    <w:p>
      <w:pPr>
        <w:spacing w:after="0" w:line="200" w:lineRule="exact"/>
        <w:rPr>
          <w:sz w:val="20"/>
          <w:szCs w:val="20"/>
          <w:color w:val="auto"/>
        </w:rPr>
      </w:pPr>
    </w:p>
    <w:p>
      <w:pPr>
        <w:spacing w:after="0" w:line="241" w:lineRule="exact"/>
        <w:rPr>
          <w:sz w:val="20"/>
          <w:szCs w:val="20"/>
          <w:color w:val="auto"/>
        </w:rPr>
      </w:pPr>
    </w:p>
    <w:p>
      <w:pPr>
        <w:ind w:left="480" w:hanging="310"/>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$(4.9) million from lower collection volumes due to the negative impacts of COVID-19;</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$(2.3) million from lower disposal volumes related to landfills and transfer stations due to the negative impacts of COVID-19; and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$(0.1) million from lower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surcharge and other fees impact on the change in quarterly solid waste revenues is associated primarily with the Energy component of the Energy and Environmental fee and the Sustainability Recycling Adjustment fee. The Energy component of the fee floats on a monthly basis based on diesel fuel prices. The Sustainability Recycling Adjustment fee floats on a monthly basis based on recycled commodity prices.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commodity price and volume impact on the change in year-to-date solid waste revenues is the result of higher landfill gas-to-energy volumes.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acquisitions change impact on the change in quarterly and year-to-date solid waste revenues is the result of the acquisition of three tuck-in solid waste collection businesses in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Period-to-Period Change for the Three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w w:val="95"/>
              </w:rPr>
              <w:t>Period-to-Period Change for the Six Months</w:t>
            </w:r>
          </w:p>
        </w:tc>
      </w:tr>
      <w:tr>
        <w:trPr>
          <w:trHeight w:val="192"/>
        </w:trPr>
        <w:tc>
          <w:tcPr>
            <w:tcW w:w="5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w w:val="95"/>
              </w:rPr>
              <w:t>Months Ended June 30, 2020 vs. 2019</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4"/>
                <w:szCs w:val="14"/>
                <w:b w:val="1"/>
                <w:bCs w:val="1"/>
                <w:color w:val="auto"/>
              </w:rPr>
              <w:t>Ended June 30, 2020 vs. 2019</w:t>
            </w:r>
          </w:p>
        </w:tc>
        <w:tc>
          <w:tcPr>
            <w:tcW w:w="200" w:type="dxa"/>
            <w:vAlign w:val="bottom"/>
            <w:tcBorders>
              <w:bottom w:val="single" w:sz="8" w:color="auto"/>
            </w:tcBorders>
          </w:tcPr>
          <w:p>
            <w:pPr>
              <w:spacing w:after="0"/>
              <w:rPr>
                <w:sz w:val="16"/>
                <w:szCs w:val="16"/>
                <w:color w:val="auto"/>
              </w:rPr>
            </w:pPr>
          </w:p>
        </w:tc>
      </w:tr>
      <w:tr>
        <w:trPr>
          <w:trHeight w:val="196"/>
        </w:trPr>
        <w:tc>
          <w:tcPr>
            <w:tcW w:w="5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right"/>
              <w:ind w:right="93"/>
              <w:spacing w:after="0"/>
              <w:rPr>
                <w:sz w:val="20"/>
                <w:szCs w:val="20"/>
                <w:color w:val="auto"/>
              </w:rPr>
            </w:pPr>
            <w:r>
              <w:rPr>
                <w:rFonts w:ascii="Arial" w:cs="Arial" w:eastAsia="Arial" w:hAnsi="Arial"/>
                <w:sz w:val="14"/>
                <w:szCs w:val="14"/>
                <w:b w:val="1"/>
                <w:bCs w:val="1"/>
                <w:color w:val="auto"/>
              </w:rPr>
              <w:t>% Growth</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right"/>
              <w:ind w:right="93"/>
              <w:spacing w:after="0"/>
              <w:rPr>
                <w:sz w:val="20"/>
                <w:szCs w:val="20"/>
                <w:color w:val="auto"/>
              </w:rPr>
            </w:pPr>
            <w:r>
              <w:rPr>
                <w:rFonts w:ascii="Arial" w:cs="Arial" w:eastAsia="Arial" w:hAnsi="Arial"/>
                <w:sz w:val="14"/>
                <w:szCs w:val="14"/>
                <w:b w:val="1"/>
                <w:bCs w:val="1"/>
                <w:color w:val="auto"/>
              </w:rPr>
              <w:t>% Growth</w:t>
            </w:r>
          </w:p>
        </w:tc>
        <w:tc>
          <w:tcPr>
            <w:tcW w:w="200" w:type="dxa"/>
            <w:vAlign w:val="bottom"/>
          </w:tcPr>
          <w:p>
            <w:pPr>
              <w:spacing w:after="0"/>
              <w:rPr>
                <w:sz w:val="17"/>
                <w:szCs w:val="17"/>
                <w:color w:val="auto"/>
              </w:rPr>
            </w:pPr>
          </w:p>
        </w:tc>
      </w:tr>
      <w:tr>
        <w:trPr>
          <w:trHeight w:val="250"/>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 xml:space="preserve">Volume </w:t>
            </w:r>
            <w:r>
              <w:rPr>
                <w:rFonts w:ascii="Arial" w:cs="Arial" w:eastAsia="Arial" w:hAnsi="Arial"/>
                <w:sz w:val="14"/>
                <w:szCs w:val="14"/>
                <w:color w:val="auto"/>
              </w:rPr>
              <w:t>(1)</w:t>
            </w:r>
          </w:p>
        </w:tc>
        <w:tc>
          <w:tcPr>
            <w:tcW w:w="20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200" w:type="dxa"/>
            <w:vAlign w:val="bottom"/>
          </w:tcPr>
          <w:p>
            <w:pPr>
              <w:spacing w:after="0"/>
              <w:rPr>
                <w:sz w:val="21"/>
                <w:szCs w:val="21"/>
                <w:color w:val="auto"/>
              </w:rPr>
            </w:pP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5320" w:type="dxa"/>
            <w:vAlign w:val="bottom"/>
          </w:tcPr>
          <w:p>
            <w:pPr>
              <w:ind w:left="20"/>
              <w:spacing w:after="0"/>
              <w:rPr>
                <w:sz w:val="20"/>
                <w:szCs w:val="20"/>
                <w:color w:val="auto"/>
              </w:rPr>
            </w:pPr>
            <w:r>
              <w:rPr>
                <w:rFonts w:ascii="Arial" w:cs="Arial" w:eastAsia="Arial" w:hAnsi="Arial"/>
                <w:sz w:val="18"/>
                <w:szCs w:val="18"/>
                <w:color w:val="auto"/>
              </w:rPr>
              <w:t>Solid waste revenues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60" w:right="380" w:hanging="652"/>
        <w:spacing w:after="0" w:line="273" w:lineRule="auto"/>
        <w:tabs>
          <w:tab w:leader="none" w:pos="652" w:val="left"/>
        </w:tabs>
        <w:numPr>
          <w:ilvl w:val="0"/>
          <w:numId w:val="25"/>
        </w:numPr>
        <w:rPr>
          <w:rFonts w:ascii="Arial" w:cs="Arial" w:eastAsia="Arial" w:hAnsi="Arial"/>
          <w:sz w:val="14"/>
          <w:szCs w:val="14"/>
          <w:color w:val="auto"/>
        </w:rPr>
      </w:pPr>
      <w:r>
        <w:rPr>
          <w:rFonts w:ascii="Arial" w:cs="Arial" w:eastAsia="Arial" w:hAnsi="Arial"/>
          <w:sz w:val="14"/>
          <w:szCs w:val="14"/>
          <w:color w:val="auto"/>
        </w:rPr>
        <w:t>Adjusted for $0.6 million quarterly and $1.4 million year-to-date of inter-company movements between solid waste collection volume and customer solutions associated with the acquisition of a business.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impact on the change in quarterly solid waste revenues is the result of the following:</w:t>
      </w:r>
    </w:p>
    <w:p>
      <w:pPr>
        <w:spacing w:after="0" w:line="117" w:lineRule="exact"/>
        <w:rPr>
          <w:sz w:val="20"/>
          <w:szCs w:val="20"/>
          <w:color w:val="auto"/>
        </w:rPr>
      </w:pPr>
    </w:p>
    <w:p>
      <w:pPr>
        <w:ind w:left="440" w:hanging="311"/>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$2.3 million from favorable collection pricing; and</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$1.8 million from favorable disposal pricing related to landfills and transfer stations.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impact on the change in year-to-date solid waste revenues is the result of the following:</w:t>
      </w:r>
    </w:p>
    <w:p>
      <w:pPr>
        <w:spacing w:after="0" w:line="117" w:lineRule="exact"/>
        <w:rPr>
          <w:sz w:val="20"/>
          <w:szCs w:val="20"/>
          <w:color w:val="auto"/>
        </w:rPr>
      </w:pPr>
    </w:p>
    <w:p>
      <w:pPr>
        <w:ind w:left="480" w:hanging="310"/>
        <w:spacing w:after="0"/>
        <w:tabs>
          <w:tab w:leader="none" w:pos="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$4.7 million from favorable collection pricing; and</w:t>
      </w:r>
    </w:p>
    <w:p>
      <w:pPr>
        <w:spacing w:after="0" w:line="117" w:lineRule="exact"/>
        <w:rPr>
          <w:rFonts w:ascii="Arial" w:cs="Arial" w:eastAsia="Arial" w:hAnsi="Arial"/>
          <w:sz w:val="18"/>
          <w:szCs w:val="18"/>
          <w:color w:val="auto"/>
        </w:rPr>
      </w:pPr>
    </w:p>
    <w:p>
      <w:pPr>
        <w:ind w:right="4660" w:firstLine="170"/>
        <w:spacing w:after="0" w:line="375" w:lineRule="auto"/>
        <w:tabs>
          <w:tab w:leader="none" w:pos="481" w:val="left"/>
        </w:tabs>
        <w:numPr>
          <w:ilvl w:val="1"/>
          <w:numId w:val="27"/>
        </w:numPr>
        <w:rPr>
          <w:rFonts w:ascii="Arial" w:cs="Arial" w:eastAsia="Arial" w:hAnsi="Arial"/>
          <w:sz w:val="18"/>
          <w:szCs w:val="18"/>
          <w:color w:val="auto"/>
        </w:rPr>
      </w:pPr>
      <w:r>
        <w:rPr>
          <w:rFonts w:ascii="Arial" w:cs="Arial" w:eastAsia="Arial" w:hAnsi="Arial"/>
          <w:sz w:val="18"/>
          <w:szCs w:val="18"/>
          <w:color w:val="auto"/>
        </w:rPr>
        <w:t>$3.9 million from favorable disposal pricing related to landfills and transfer stations. Volume.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volume impact on the change in quarterly solid waste revenues is the result of the following:</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$(5.5) million from lower collection volumes due to the negative impacts of COVID-19; and</w:t>
      </w:r>
    </w:p>
    <w:p>
      <w:pPr>
        <w:spacing w:after="0" w:line="117" w:lineRule="exact"/>
        <w:rPr>
          <w:rFonts w:ascii="Arial" w:cs="Arial" w:eastAsia="Arial" w:hAnsi="Arial"/>
          <w:sz w:val="18"/>
          <w:szCs w:val="18"/>
          <w:color w:val="auto"/>
        </w:rPr>
      </w:pPr>
    </w:p>
    <w:p>
      <w:pPr>
        <w:ind w:left="460" w:right="340" w:hanging="331"/>
        <w:spacing w:after="0" w:line="277" w:lineRule="auto"/>
        <w:tabs>
          <w:tab w:leader="none" w:pos="4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$(5.8) million from lower disposal volumes related to landfills due to the negative impacts of COVID-19, which more than offset higher disposal volumes related to transfer stations and transportation.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volume impact on the change in year-to-date solid waste revenues is the result of the following:</w:t>
      </w:r>
    </w:p>
    <w:p>
      <w:pPr>
        <w:spacing w:after="0" w:line="117" w:lineRule="exact"/>
        <w:rPr>
          <w:sz w:val="20"/>
          <w:szCs w:val="20"/>
          <w:color w:val="auto"/>
        </w:rPr>
      </w:pPr>
    </w:p>
    <w:p>
      <w:pPr>
        <w:ind w:left="480" w:hanging="310"/>
        <w:spacing w:after="0"/>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$(5.9) million from lower disposal volumes related to landfills, transfer stations and transportation due to the negative impacts of COVID-19; and</w:t>
      </w:r>
    </w:p>
    <w:p>
      <w:pPr>
        <w:spacing w:after="0" w:line="140" w:lineRule="exact"/>
        <w:rPr>
          <w:rFonts w:ascii="Arial" w:cs="Arial" w:eastAsia="Arial" w:hAnsi="Arial"/>
          <w:sz w:val="16"/>
          <w:szCs w:val="16"/>
          <w:color w:val="auto"/>
        </w:rPr>
      </w:pPr>
    </w:p>
    <w:p>
      <w:pPr>
        <w:ind w:left="480" w:hanging="310"/>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$(7.6) million from lower collection volumes due to the negative impacts of COVID-19.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surcharge and other fees impact on the change in quarterly and year-to-date solid waste revenues is associated primarily with the Energy component of the Energy and Environmental fee and the Sustainability Recycling Adjustment fee. The Energy component of the fee floats on a monthly basis based on diesel fuel prices. The Sustainability Recycling Adjustment fee floats on a monthly basis based on recycled commodity prices.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commodity price and volume change impact on the change in quarterly and year-to-date solid waste revenues is the result of favorable energy and commodity pricing in the quarter and higher landfill gas-to-energy volumes, more than offset on a year-to-date basis by lower commodity processing volumes.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117"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The acquisitions impact on the change in quarterly and year-to-date solid waste revenues is the result of the acquisition of three tuck-in solid waste collection business in the six months ended June 30, 2020 and the acquisition of four tuck-in solid waste collection businesses, a business comprised of solid waste collection, transfer and recycling operations and a business comprised of solid waste hauling and transfer assets in the prior year.</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income (loss) by operating segment (in millions)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44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2"/>
        </w:trPr>
        <w:tc>
          <w:tcPr>
            <w:tcW w:w="22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79"/>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555"/>
              <w:spacing w:after="0"/>
              <w:rPr>
                <w:sz w:val="20"/>
                <w:szCs w:val="20"/>
                <w:color w:val="auto"/>
              </w:rPr>
            </w:pPr>
            <w:r>
              <w:rPr>
                <w:rFonts w:ascii="Arial" w:cs="Arial" w:eastAsia="Arial" w:hAnsi="Arial"/>
                <w:sz w:val="14"/>
                <w:szCs w:val="14"/>
                <w:b w:val="1"/>
                <w:bCs w:val="1"/>
                <w:color w:val="auto"/>
              </w:rPr>
              <w:t>$</w:t>
            </w:r>
          </w:p>
        </w:tc>
      </w:tr>
      <w:tr>
        <w:trPr>
          <w:trHeight w:val="196"/>
        </w:trPr>
        <w:tc>
          <w:tcPr>
            <w:tcW w:w="2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Change</w:t>
            </w:r>
          </w:p>
        </w:tc>
      </w:tr>
      <w:tr>
        <w:trPr>
          <w:trHeight w:val="250"/>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0.2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w:t>
            </w: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auto"/>
              </w:rPr>
              <w:t>Western</w:t>
            </w:r>
          </w:p>
        </w:tc>
        <w:tc>
          <w:tcPr>
            <w:tcW w:w="920" w:type="dxa"/>
            <w:vAlign w:val="bottom"/>
          </w:tcPr>
          <w:p>
            <w:pPr>
              <w:spacing w:after="0"/>
              <w:rPr>
                <w:sz w:val="21"/>
                <w:szCs w:val="21"/>
                <w:color w:val="auto"/>
              </w:rPr>
            </w:pPr>
          </w:p>
        </w:tc>
        <w:tc>
          <w:tcPr>
            <w:tcW w:w="500" w:type="dxa"/>
            <w:vAlign w:val="bottom"/>
          </w:tcPr>
          <w:p>
            <w:pPr>
              <w:jc w:val="right"/>
              <w:ind w:right="53"/>
              <w:spacing w:after="0"/>
              <w:rPr>
                <w:sz w:val="20"/>
                <w:szCs w:val="20"/>
                <w:color w:val="auto"/>
              </w:rPr>
            </w:pPr>
            <w:r>
              <w:rPr>
                <w:rFonts w:ascii="Arial" w:cs="Arial" w:eastAsia="Arial" w:hAnsi="Arial"/>
                <w:sz w:val="18"/>
                <w:szCs w:val="18"/>
                <w:color w:val="auto"/>
                <w:w w:val="96"/>
              </w:rPr>
              <w:t>11.9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w w:val="96"/>
              </w:rPr>
              <w:t>10.4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w w:val="95"/>
              </w:rPr>
              <w:t>1.5</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ind w:right="55"/>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1.8</w:t>
            </w:r>
          </w:p>
        </w:tc>
      </w:tr>
      <w:tr>
        <w:trPr>
          <w:trHeight w:val="27"/>
        </w:trPr>
        <w:tc>
          <w:tcPr>
            <w:tcW w:w="2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0.2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0.8</w:t>
            </w: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auto"/>
              </w:rPr>
              <w:t>Corporate entities</w:t>
            </w:r>
          </w:p>
        </w:tc>
        <w:tc>
          <w:tcPr>
            <w:tcW w:w="920" w:type="dxa"/>
            <w:vAlign w:val="bottom"/>
          </w:tcPr>
          <w:p>
            <w:pPr>
              <w:spacing w:after="0"/>
              <w:rPr>
                <w:sz w:val="21"/>
                <w:szCs w:val="21"/>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0.2</w:t>
            </w:r>
          </w:p>
        </w:tc>
      </w:tr>
      <w:tr>
        <w:trPr>
          <w:trHeight w:val="27"/>
        </w:trPr>
        <w:tc>
          <w:tcPr>
            <w:tcW w:w="2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2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6"/>
              </w:rPr>
              <w:t>17.4</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6"/>
              </w:rPr>
              <w:t>15.5</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1.9</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Operating results improved $0.2 million quarterly and $1.7 million year-to-date. Excluding the impact of the Southbridge Landfill closure charge and the expense from acquisition activities, our operating performance in the three and six months ended June 30, 2020 was driven by lower revenues due to the negative impact of COVID-19 on volumes in the quarter and, to a lesser extent, year-to-date and the following cost changes: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decreased $(4.7) million quarterly and $(2.3) million year-to-date due to the following:</w:t>
      </w:r>
    </w:p>
    <w:p>
      <w:pPr>
        <w:spacing w:after="0" w:line="117" w:lineRule="exact"/>
        <w:rPr>
          <w:sz w:val="20"/>
          <w:szCs w:val="20"/>
          <w:color w:val="auto"/>
        </w:rPr>
      </w:pPr>
    </w:p>
    <w:p>
      <w:pPr>
        <w:ind w:left="440" w:hanging="311"/>
        <w:spacing w:after="0"/>
        <w:tabs>
          <w:tab w:leader="none" w:pos="4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lower disposal costs associated with lower volumes due to the negative impacts of COVID-19 and to a lesser extent our focus on pricing;</w:t>
      </w:r>
    </w:p>
    <w:p>
      <w:pPr>
        <w:spacing w:after="0" w:line="128" w:lineRule="exact"/>
        <w:rPr>
          <w:rFonts w:ascii="Arial" w:cs="Arial" w:eastAsia="Arial" w:hAnsi="Arial"/>
          <w:sz w:val="17"/>
          <w:szCs w:val="17"/>
          <w:color w:val="auto"/>
        </w:rPr>
      </w:pPr>
    </w:p>
    <w:p>
      <w:pPr>
        <w:ind w:left="460" w:hanging="331"/>
        <w:spacing w:after="0" w:line="277" w:lineRule="auto"/>
        <w:tabs>
          <w:tab w:leader="none" w:pos="4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hauling and third-party transportation costs associated with lower collection volumes in the quarter due to the negative impacts of COVID-19, which offset additional costs related to acquisition activity and higher transportation rates;</w:t>
      </w:r>
    </w:p>
    <w:p>
      <w:pPr>
        <w:spacing w:after="0" w:line="62" w:lineRule="exact"/>
        <w:rPr>
          <w:rFonts w:ascii="Arial" w:cs="Arial" w:eastAsia="Arial" w:hAnsi="Arial"/>
          <w:sz w:val="18"/>
          <w:szCs w:val="18"/>
          <w:color w:val="auto"/>
        </w:rPr>
      </w:pPr>
    </w:p>
    <w:p>
      <w:pPr>
        <w:ind w:left="460" w:right="100" w:hanging="331"/>
        <w:spacing w:after="0" w:line="277" w:lineRule="auto"/>
        <w:tabs>
          <w:tab w:leader="none" w:pos="4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labor and related benefit costs due to decreased overtime and lower benefit costs more than offsetting a discretionary bonus for our front-line employees;</w:t>
      </w:r>
    </w:p>
    <w:p>
      <w:pPr>
        <w:spacing w:after="0" w:line="62" w:lineRule="exact"/>
        <w:rPr>
          <w:rFonts w:ascii="Arial" w:cs="Arial" w:eastAsia="Arial" w:hAnsi="Arial"/>
          <w:sz w:val="18"/>
          <w:szCs w:val="18"/>
          <w:color w:val="auto"/>
        </w:rPr>
      </w:pPr>
    </w:p>
    <w:p>
      <w:pPr>
        <w:ind w:left="440" w:hanging="311"/>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direct operational costs in the quarter associated with landfill operations and lower equipment costs;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fuel costs due primarily to lower fuel prices and fleet efficiency; and</w:t>
      </w:r>
    </w:p>
    <w:p>
      <w:pPr>
        <w:spacing w:after="0" w:line="117" w:lineRule="exact"/>
        <w:rPr>
          <w:rFonts w:ascii="Arial" w:cs="Arial" w:eastAsia="Arial" w:hAnsi="Arial"/>
          <w:sz w:val="18"/>
          <w:szCs w:val="18"/>
          <w:color w:val="auto"/>
        </w:rPr>
      </w:pPr>
    </w:p>
    <w:p>
      <w:pPr>
        <w:ind w:left="460" w:right="80" w:hanging="331"/>
        <w:spacing w:after="0" w:line="277" w:lineRule="auto"/>
        <w:tabs>
          <w:tab w:leader="none" w:pos="4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fleet maintenance costs due to less wear and tear in the quarter based on activity levels and lower volumes as a result of COVID-19; partially offset by</w:t>
      </w:r>
    </w:p>
    <w:p>
      <w:pPr>
        <w:spacing w:after="0" w:line="62" w:lineRule="exact"/>
        <w:rPr>
          <w:rFonts w:ascii="Arial" w:cs="Arial" w:eastAsia="Arial" w:hAnsi="Arial"/>
          <w:sz w:val="18"/>
          <w:szCs w:val="18"/>
          <w:color w:val="auto"/>
        </w:rPr>
      </w:pPr>
    </w:p>
    <w:p>
      <w:pPr>
        <w:ind w:left="440" w:hanging="311"/>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facility maintenance costs associated with acquisition activity and related business growth.</w:t>
      </w:r>
    </w:p>
    <w:p>
      <w:pPr>
        <w:spacing w:after="0" w:line="11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$0.4 million quarterly and $0.1 million year-to-date due to higher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compensation and professional fees in the quarter combined with higher bad debt expense year-to-date based on the continued economic downturn associated with COVID-19 and a discretionary bonus for our hourly back-office employees.</w:t>
      </w:r>
    </w:p>
    <w:p>
      <w:pPr>
        <w:spacing w:after="0" w:line="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remained flat quarterly and increased $0.7 million year-to-date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and amortization expense associated with the timing of acquisition activity in prior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Operating results improved $1.5 million quarterly and $1.8 million year-to-date. Excluding the impact of the expense from acquisition activities, our operating performance in the three and six months ended June 30, 2020 was driven by revenue growth and the following cost changes: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$1.5 million quarterly and $12.9 million year-to-date due to the following:</w:t>
      </w:r>
    </w:p>
    <w:p>
      <w:pPr>
        <w:spacing w:after="0" w:line="23" w:lineRule="exact"/>
        <w:rPr>
          <w:sz w:val="20"/>
          <w:szCs w:val="20"/>
          <w:color w:val="auto"/>
        </w:rPr>
      </w:pPr>
    </w:p>
    <w:p>
      <w:pPr>
        <w:jc w:val="both"/>
        <w:ind w:left="460" w:hanging="331"/>
        <w:spacing w:after="0" w:line="244" w:lineRule="auto"/>
        <w:tabs>
          <w:tab w:leader="none" w:pos="455" w:val="left"/>
        </w:tabs>
        <w:numPr>
          <w:ilvl w:val="0"/>
          <w:numId w:val="30"/>
        </w:numPr>
        <w:rPr>
          <w:rFonts w:ascii="Arial" w:cs="Arial" w:eastAsia="Arial" w:hAnsi="Arial"/>
          <w:sz w:val="19"/>
          <w:szCs w:val="19"/>
          <w:color w:val="auto"/>
        </w:rPr>
      </w:pPr>
      <w:r>
        <w:rPr>
          <w:rFonts w:ascii="Arial" w:cs="Arial" w:eastAsia="Arial" w:hAnsi="Arial"/>
          <w:sz w:val="16"/>
          <w:szCs w:val="16"/>
          <w:color w:val="auto"/>
        </w:rPr>
        <w:t>lower disposal costs associated with lower volumes, including commercial collection, construction and demolition, and landfills, due to the negative impacts of COVID-19 combined with lower volumes due to our focus on pricing; more than offset on a year-to-date basis with higher disposal costs associated with increased disposal pricing in the northeastern United Sates and additional volumes related to acquisition activity;</w:t>
      </w:r>
    </w:p>
    <w:p>
      <w:pPr>
        <w:spacing w:after="0" w:line="65" w:lineRule="exact"/>
        <w:rPr>
          <w:rFonts w:ascii="Arial" w:cs="Arial" w:eastAsia="Arial" w:hAnsi="Arial"/>
          <w:sz w:val="19"/>
          <w:szCs w:val="19"/>
          <w:color w:val="auto"/>
        </w:rPr>
      </w:pPr>
    </w:p>
    <w:p>
      <w:pPr>
        <w:ind w:left="460" w:right="20" w:hanging="331"/>
        <w:spacing w:after="0" w:line="277" w:lineRule="auto"/>
        <w:tabs>
          <w:tab w:leader="none" w:pos="4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with higher collection volumes related to acquisition activity and higher transportation rates;</w:t>
      </w:r>
    </w:p>
    <w:p>
      <w:pPr>
        <w:spacing w:after="0" w:line="102" w:lineRule="exact"/>
        <w:rPr>
          <w:rFonts w:ascii="Arial" w:cs="Arial" w:eastAsia="Arial" w:hAnsi="Arial"/>
          <w:sz w:val="18"/>
          <w:szCs w:val="18"/>
          <w:color w:val="auto"/>
        </w:rPr>
      </w:pPr>
    </w:p>
    <w:p>
      <w:pPr>
        <w:ind w:left="460" w:hanging="331"/>
        <w:spacing w:after="0" w:line="238" w:lineRule="auto"/>
        <w:tabs>
          <w:tab w:leader="none" w:pos="4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higher maintenance and repair costs associated with higher facility maintenance costs, and to a lesser extent, higher fleet maintenance costs associated with acquisition activity and related business growth, which was partially offset in the quarter associated with less wear and tear based on activity levels and lower volumes as a result of COVID-19; and</w:t>
      </w:r>
    </w:p>
    <w:p>
      <w:pPr>
        <w:spacing w:after="0" w:line="94" w:lineRule="exact"/>
        <w:rPr>
          <w:rFonts w:ascii="Arial" w:cs="Arial" w:eastAsia="Arial" w:hAnsi="Arial"/>
          <w:sz w:val="22"/>
          <w:szCs w:val="22"/>
          <w:color w:val="auto"/>
        </w:rPr>
      </w:pPr>
    </w:p>
    <w:p>
      <w:pPr>
        <w:ind w:left="460" w:right="20" w:hanging="331"/>
        <w:spacing w:after="0" w:line="277" w:lineRule="auto"/>
        <w:tabs>
          <w:tab w:leader="none" w:pos="4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labor costs associated with acquisition activity and a discretionary bonus for our front-line employees, partially offset by lower labor costs on decreased overtime and lower benefit costs; partially offset by</w:t>
      </w:r>
    </w:p>
    <w:p>
      <w:pPr>
        <w:spacing w:after="0" w:line="62" w:lineRule="exact"/>
        <w:rPr>
          <w:rFonts w:ascii="Arial" w:cs="Arial" w:eastAsia="Arial" w:hAnsi="Arial"/>
          <w:sz w:val="18"/>
          <w:szCs w:val="18"/>
          <w:color w:val="auto"/>
        </w:rPr>
      </w:pPr>
    </w:p>
    <w:p>
      <w:pPr>
        <w:ind w:left="460" w:right="60" w:hanging="331"/>
        <w:spacing w:after="0" w:line="277" w:lineRule="auto"/>
        <w:tabs>
          <w:tab w:leader="none" w:pos="4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lower direct operational costs associated with lower landfill operating costs, offset on a year-to-date basis by higher auto insurance costs, associated primarily with claims activity in the first quarter, and higher operating costs related to business growth; and</w:t>
      </w:r>
    </w:p>
    <w:p>
      <w:pPr>
        <w:spacing w:after="0" w:line="62" w:lineRule="exact"/>
        <w:rPr>
          <w:rFonts w:ascii="Arial" w:cs="Arial" w:eastAsia="Arial" w:hAnsi="Arial"/>
          <w:sz w:val="18"/>
          <w:szCs w:val="18"/>
          <w:color w:val="auto"/>
        </w:rPr>
      </w:pPr>
    </w:p>
    <w:p>
      <w:pPr>
        <w:ind w:left="440" w:hanging="311"/>
        <w:spacing w:after="0"/>
        <w:tabs>
          <w:tab w:leader="none" w:pos="4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lower fuel costs associated with lower fuel prices and fleet efficiency, partially offset by higher volumes associated with acquisition activity.</w:t>
      </w:r>
    </w:p>
    <w:p>
      <w:pPr>
        <w:spacing w:after="0" w:line="1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General and administration</w:t>
      </w:r>
      <w:r>
        <w:rPr>
          <w:rFonts w:ascii="Arial" w:cs="Arial" w:eastAsia="Arial" w:hAnsi="Arial"/>
          <w:sz w:val="17"/>
          <w:szCs w:val="17"/>
          <w:color w:val="auto"/>
        </w:rPr>
        <w:t>: General and administration expense increased $0.8 million quarterly and $2.1 million year-to-date due to higher labor costs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acquisition activity, higher accrued incentive compensation and a discretionary bonus for our hourly back-office employees.</w:t>
      </w: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03" w:right="439" w:bottom="1440" w:gutter="0" w:footer="0" w:header="0"/>
        </w:sectPr>
      </w:pPr>
    </w:p>
    <w:bookmarkStart w:id="38" w:name="page39"/>
    <w:bookmarkEnd w:id="38"/>
    <w:p>
      <w:pPr>
        <w:jc w:val="both"/>
        <w:ind w:right="420"/>
        <w:spacing w:after="0" w:line="26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$2.2 million quarterly and $5.2 million year-to-date due primarily to</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activity and higher landfill amortization expense associated with changes in cost estimates and other assumptions, partially offset by lower landfill volumes associated with the negative impacts of COVID-19.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Resource 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improved $0.2 million quarterly and $0.8 million year-to-date due to the following: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Recycling.</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Our operating performance in the three and six months ended June 30, 2020 improved primarily due to revenue growth on higher recycling processing fees and acquisition activity combined with lower operating costs on a year-to-date basis, including lower maintenance costs and lower direct operational costs, partially offset by higher depreciation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operating performance in the three and six months ended June 30, 2020 improved as revenue growth on higher volumes outpaced higher operating costs driven by two large lower margin transportation and disposal contracts.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solutions.</w:t>
      </w:r>
    </w:p>
    <w:p>
      <w:pPr>
        <w:spacing w:after="0" w:line="117"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Our operating performance in the three and six months ended June 30, 2020 declined as revenue growth associated with increased volumes was outpaced by higher cost of operations associated with the corresponding increase in hauling, transportation and disposal costs and higher labor and personnel costs.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continue to monitor the impact that the COVID-19 pandemic has had and will continue to have on our actual and forecasted cash flows, our liquidity, and our capital requirements in order to properly manage our liquidity needs as we move forward. Because of the nature of the services we provide, we expect to continue to generate positive operating cash flows through stable revenue sources. To counter the impact of expected revenue declines, we have initiated steps to reduce discretionary spending and delay certain capital expenditures and can further scale down these expenditures to meet liquidity needs.</w:t>
      </w:r>
    </w:p>
    <w:p>
      <w:pPr>
        <w:spacing w:after="0" w:line="8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have $135.9 million of undrawn capacity from our $200.0 million revolving line of credit facility ("Revolving Credit Facility") as of June 30, 2020 to help meet our liquidity needs, and our next significant debt maturity, which is comprised of our Revolving Credit Facility and term loan A facility ("Term Loan Facility", together with the Revolving Credit Facility, the "Credit Facility"), is in May 2023. We believe that we will remain in compliance with all necessary covenants of our Credit Facility over the remaining term of this facility.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cash and cash equivalents, restricted assets and debt balances, excluding any debt issuance costs (in millions),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9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Restricted assets:</w:t>
            </w: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4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Restricted investment securities - landfill closure</w:t>
            </w:r>
          </w:p>
        </w:tc>
        <w:tc>
          <w:tcPr>
            <w:tcW w:w="8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Debt:</w:t>
            </w: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4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portion</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Non-current portion</w:t>
            </w: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536.2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8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543.1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Summary of Cash Flow Activity</w:t>
            </w: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67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tcPr>
          <w:p>
            <w:pPr>
              <w:spacing w:after="0"/>
              <w:rPr>
                <w:sz w:val="20"/>
                <w:szCs w:val="20"/>
                <w:color w:val="auto"/>
              </w:rPr>
            </w:pPr>
            <w:r>
              <w:rPr>
                <w:rFonts w:ascii="Arial" w:cs="Arial" w:eastAsia="Arial" w:hAnsi="Arial"/>
                <w:sz w:val="18"/>
                <w:szCs w:val="18"/>
                <w:color w:val="auto"/>
              </w:rPr>
              <w:t>A summary of cash flows (in millions) follows:</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59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bottom w:val="single" w:sz="8" w:color="CCEEFF"/>
            </w:tcBorders>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7"/>
              <w:spacing w:after="0"/>
              <w:rPr>
                <w:sz w:val="20"/>
                <w:szCs w:val="20"/>
                <w:color w:val="auto"/>
              </w:rPr>
            </w:pPr>
            <w:r>
              <w:rPr>
                <w:rFonts w:ascii="Arial" w:cs="Arial" w:eastAsia="Arial" w:hAnsi="Arial"/>
                <w:sz w:val="18"/>
                <w:szCs w:val="18"/>
                <w:color w:val="auto"/>
                <w:w w:val="93"/>
              </w:rPr>
              <w:t>(71.5)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cash flows (in millions) follows:</w:t>
      </w:r>
    </w:p>
    <w:p>
      <w:pPr>
        <w:spacing w:after="0" w:line="55"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37.2</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Depletion of landfill operating lease obligations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3.6</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1.2</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Right-of-use asset - operating lease expense</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4.9</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(gain) on sale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Southbridge Landfill non-cash closure charge</w:t>
            </w: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0.2</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Non-cash expense from acquisition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62.2</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Changes in assets and liabilities, net</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(23.9)</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38.3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operating cash flows follows: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Net cash provided by operating activities increased $24.2 million in the six months ended June 30, 2020 as compared to the six months ended June 30, 2019. This was the result of improved operational performance combined with the favorable cash flow impact associated with the changes in our assets and liabilities, net of effects of acquisitions and divestitures. For discussion of our improved operational performance in the six months ended June 30, 2020 as compared to the six months ended June 30, 2019, see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above. The $(11.7) million decrease in the unfavorable cash flow impact associated with the changes in our assets and liabilities, net of effects of acquisitions and divestitures, which are affected by both cost changes and the timing of payments, in the six months ended June 30, 2020 as compared to the six months ended June 30, 2019 was due to the following:</w:t>
      </w:r>
    </w:p>
    <w:p>
      <w:pPr>
        <w:spacing w:after="0" w:line="56" w:lineRule="exact"/>
        <w:rPr>
          <w:sz w:val="20"/>
          <w:szCs w:val="20"/>
          <w:color w:val="auto"/>
        </w:rPr>
      </w:pPr>
    </w:p>
    <w:p>
      <w:pPr>
        <w:ind w:left="480" w:hanging="310"/>
        <w:spacing w:after="0"/>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$20.3 million favorable impact to operating cash flows associated with the change in accounts receivable due to increased collection efforts;</w:t>
      </w:r>
    </w:p>
    <w:p>
      <w:pPr>
        <w:spacing w:after="0" w:line="128" w:lineRule="exact"/>
        <w:rPr>
          <w:rFonts w:ascii="Arial" w:cs="Arial" w:eastAsia="Arial" w:hAnsi="Arial"/>
          <w:sz w:val="17"/>
          <w:szCs w:val="17"/>
          <w:color w:val="auto"/>
        </w:rPr>
      </w:pPr>
    </w:p>
    <w:p>
      <w:pPr>
        <w:ind w:left="480" w:hanging="310"/>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$3.9 million favorable impact to operating cash flows associated with the change in prepaid expenses, inventories and other assets;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$2.4 million favorable impact to operating cash flows associated with the change in accrued expenses and other liabilities; and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$0.8 million favorable impact to operating cash flows associated with lower landfill operating lease contract expenditures; partially offset by</w:t>
      </w:r>
    </w:p>
    <w:p>
      <w:pPr>
        <w:spacing w:after="0" w:line="128" w:lineRule="exact"/>
        <w:rPr>
          <w:rFonts w:ascii="Arial" w:cs="Arial" w:eastAsia="Arial" w:hAnsi="Arial"/>
          <w:sz w:val="17"/>
          <w:szCs w:val="17"/>
          <w:color w:val="auto"/>
        </w:rPr>
      </w:pPr>
    </w:p>
    <w:p>
      <w:pPr>
        <w:ind w:left="480" w:hanging="310"/>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$(13.6) million unfavorable impact to operating cash flows associated with the change in accounts payable.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55"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8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3"/>
              </w:rPr>
              <w:t>(51.6)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(46.7)</w:t>
            </w:r>
          </w:p>
        </w:tc>
      </w:tr>
      <w:tr>
        <w:trPr>
          <w:trHeight w:val="27"/>
        </w:trPr>
        <w:tc>
          <w:tcPr>
            <w:tcW w:w="8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8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0.4</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(71.5)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(74.0)</w:t>
            </w:r>
          </w:p>
        </w:tc>
      </w:tr>
      <w:tr>
        <w:trPr>
          <w:trHeight w:val="27"/>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follows:</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color w:val="auto"/>
        </w:rPr>
        <w:t>Acquisitions, net of cash acquired</w:t>
      </w:r>
      <w:r>
        <w:rPr>
          <w:rFonts w:ascii="Arial" w:cs="Arial" w:eastAsia="Arial" w:hAnsi="Arial"/>
          <w:sz w:val="16"/>
          <w:szCs w:val="16"/>
          <w:color w:val="auto"/>
        </w:rPr>
        <w:t>. In the six months ended June 30, 2020, we acquired four businesses: three tuck-in solid waste collection business in our</w:t>
      </w:r>
      <w:r>
        <w:rPr>
          <w:rFonts w:ascii="Arial" w:cs="Arial" w:eastAsia="Arial" w:hAnsi="Arial"/>
          <w:sz w:val="16"/>
          <w:szCs w:val="16"/>
          <w:i w:val="1"/>
          <w:iCs w:val="1"/>
          <w:color w:val="auto"/>
        </w:rPr>
        <w:t xml:space="preserve"> </w:t>
      </w:r>
      <w:r>
        <w:rPr>
          <w:rFonts w:ascii="Arial" w:cs="Arial" w:eastAsia="Arial" w:hAnsi="Arial"/>
          <w:sz w:val="16"/>
          <w:szCs w:val="16"/>
          <w:color w:val="auto"/>
        </w:rPr>
        <w:t>Western region and one recycling operation in our Resource Solutions segment for total consideration of $22.0 million, including $19.2 million in cash, and paid $0.9 million in holdback payments on businesses previously acquired, as compared to the six months ended June 30, 2019 during which we paid $28.9 million in total consideration, including $25.5 million in cash, to acquire three tuck-in solid waste collection businessses and a busines comprised of solid waste collection, transfer and recycling operations and paid $2.2 million in holdback payments on businesses previously acquired.</w:t>
      </w:r>
    </w:p>
    <w:p>
      <w:pPr>
        <w:spacing w:after="0" w:line="5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Capital expenditures were $4.9 million higher in the six months ended June 30, 2020 as compared to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primarily due to:</w:t>
      </w:r>
    </w:p>
    <w:p>
      <w:pPr>
        <w:spacing w:after="0" w:line="62" w:lineRule="exact"/>
        <w:rPr>
          <w:sz w:val="20"/>
          <w:szCs w:val="20"/>
          <w:color w:val="auto"/>
        </w:rPr>
      </w:pPr>
    </w:p>
    <w:p>
      <w:pPr>
        <w:ind w:left="500" w:right="540" w:hanging="330"/>
        <w:spacing w:after="0" w:line="342" w:lineRule="auto"/>
        <w:tabs>
          <w:tab w:leader="none" w:pos="495" w:val="left"/>
        </w:tabs>
        <w:numPr>
          <w:ilvl w:val="0"/>
          <w:numId w:val="32"/>
        </w:numPr>
        <w:rPr>
          <w:rFonts w:ascii="Arial" w:cs="Arial" w:eastAsia="Arial" w:hAnsi="Arial"/>
          <w:sz w:val="16"/>
          <w:szCs w:val="16"/>
          <w:color w:val="auto"/>
        </w:rPr>
      </w:pPr>
      <w:r>
        <w:rPr>
          <w:rFonts w:ascii="Arial" w:cs="Arial" w:eastAsia="Arial" w:hAnsi="Arial"/>
          <w:sz w:val="16"/>
          <w:szCs w:val="16"/>
          <w:color w:val="auto"/>
        </w:rPr>
        <w:t>$3.2 million in additional capital expenditures from the integration of newly acquired operations, which includes planned capital expenditures following an acquisition, as well as non-routine development investments that are expected to provide long-term returns; and</w:t>
      </w:r>
    </w:p>
    <w:p>
      <w:pPr>
        <w:spacing w:after="0" w:line="15" w:lineRule="exact"/>
        <w:rPr>
          <w:rFonts w:ascii="Arial" w:cs="Arial" w:eastAsia="Arial" w:hAnsi="Arial"/>
          <w:sz w:val="16"/>
          <w:szCs w:val="16"/>
          <w:color w:val="auto"/>
        </w:rPr>
      </w:pPr>
    </w:p>
    <w:p>
      <w:pPr>
        <w:ind w:left="500" w:right="20" w:hanging="330"/>
        <w:spacing w:after="0" w:line="263" w:lineRule="auto"/>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$3.5 million in additional capital expenditures from phase VI construction and development costs related to long-term infrastructure at the Subtitle D landfill in Coventry, Vermont ("Waste USA Landfill") to facilitate future landfill airspace construction which will significantly enhance the economic useful life of the Waste USA Landfill once construction is finished; partially offset by</w:t>
      </w:r>
    </w:p>
    <w:p>
      <w:pPr>
        <w:spacing w:after="0" w:line="75" w:lineRule="exact"/>
        <w:rPr>
          <w:rFonts w:ascii="Arial" w:cs="Arial" w:eastAsia="Arial" w:hAnsi="Arial"/>
          <w:sz w:val="18"/>
          <w:szCs w:val="18"/>
          <w:color w:val="auto"/>
        </w:rPr>
      </w:pPr>
    </w:p>
    <w:p>
      <w:pPr>
        <w:ind w:left="500" w:right="100" w:hanging="330"/>
        <w:spacing w:after="0" w:line="277" w:lineRule="auto"/>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$(2.0) million from lower capital expenditures primarily associated with replacement costs for vehicles, machinery equipment and containers due to age or obsolescence.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financing cash flows (in millions) follows:</w:t>
      </w:r>
    </w:p>
    <w:p>
      <w:pPr>
        <w:spacing w:after="0" w:line="163"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long-term borrowings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41.4</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Principal payments on long-term debt</w:t>
            </w:r>
          </w:p>
        </w:tc>
        <w:tc>
          <w:tcPr>
            <w:tcW w:w="8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3"/>
              </w:rPr>
              <w:t>(82.7)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(109.2)</w:t>
            </w:r>
          </w:p>
        </w:tc>
      </w:tr>
      <w:tr>
        <w:trPr>
          <w:trHeight w:val="27"/>
        </w:trPr>
        <w:tc>
          <w:tcPr>
            <w:tcW w:w="8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the exercise of share based awards</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the public issuance of Class A Common Stock</w:t>
            </w:r>
          </w:p>
        </w:tc>
        <w:tc>
          <w:tcPr>
            <w:tcW w:w="88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100.4</w:t>
            </w:r>
          </w:p>
        </w:tc>
      </w:tr>
      <w:tr>
        <w:trPr>
          <w:trHeight w:val="27"/>
        </w:trPr>
        <w:tc>
          <w:tcPr>
            <w:tcW w:w="82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follows:</w:t>
      </w:r>
    </w:p>
    <w:p>
      <w:pPr>
        <w:spacing w:after="0" w:line="11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i w:val="1"/>
          <w:iCs w:val="1"/>
          <w:color w:val="auto"/>
        </w:rPr>
        <w:t>Debt activity</w:t>
      </w:r>
      <w:r>
        <w:rPr>
          <w:rFonts w:ascii="Arial" w:cs="Arial" w:eastAsia="Arial" w:hAnsi="Arial"/>
          <w:sz w:val="17"/>
          <w:szCs w:val="17"/>
          <w:color w:val="auto"/>
        </w:rPr>
        <w:t>. Debt borrowings increased by $49.8 million and our debt payments decreased by $(26.5) million in the six months ended June 30, 2020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six months ended June 30, 2019. The increase in financing cash flows related to debt activity is associated with the use of proceeds from the issuance of Class A Common Stock in the prior year offset by higher net cash provided by operating activities.</w:t>
      </w:r>
    </w:p>
    <w:p>
      <w:pPr>
        <w:spacing w:after="0" w:line="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Proceeds from the exercise of share based awards. </w:t>
      </w:r>
      <w:r>
        <w:rPr>
          <w:rFonts w:ascii="Arial" w:cs="Arial" w:eastAsia="Arial" w:hAnsi="Arial"/>
          <w:sz w:val="18"/>
          <w:szCs w:val="18"/>
          <w:color w:val="auto"/>
        </w:rPr>
        <w:t>We received $2.3 million of cash receipts associated with the exercise of stock options in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2019 due primarily to the appreciation of our stock price in the prior year.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1" w:name="page42"/>
    <w:bookmarkEnd w:id="41"/>
    <w:p>
      <w:pPr>
        <w:ind w:right="20"/>
        <w:spacing w:after="0" w:line="257" w:lineRule="auto"/>
        <w:rPr>
          <w:sz w:val="20"/>
          <w:szCs w:val="20"/>
          <w:color w:val="auto"/>
        </w:rPr>
      </w:pPr>
      <w:r>
        <w:rPr>
          <w:rFonts w:ascii="Arial" w:cs="Arial" w:eastAsia="Arial" w:hAnsi="Arial"/>
          <w:sz w:val="18"/>
          <w:szCs w:val="18"/>
          <w:i w:val="1"/>
          <w:iCs w:val="1"/>
          <w:color w:val="auto"/>
        </w:rPr>
        <w:t>Proceeds from the public issuance of Class A Common Stock</w:t>
      </w:r>
      <w:r>
        <w:rPr>
          <w:rFonts w:ascii="Arial" w:cs="Arial" w:eastAsia="Arial" w:hAnsi="Arial"/>
          <w:sz w:val="18"/>
          <w:szCs w:val="18"/>
          <w:color w:val="auto"/>
        </w:rPr>
        <w:t>. In the six months ended June 30, 2019, we completed a public issuance of 3.6 million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Class A common stock at a public offering price of $29.50 per share. The offering resulted in net proceeds to us of $100.4 million, after deducting underwriting discounts, commissions and offering expenses. The net proceeds from the offering were and are to be used for general corporate purposes, including potential acquisitions or development of new operations or assets with the goal of complementing or expanding our business, working capital and capital expenditures.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June 30, 2020, we had outstanding $350.0 million aggregate principal amount of borrowings under our Term Loan Facility and $37.7 million aggregate principal amount of borrowings under our $200.0 million Revolving Credit Facility. The Credit Facility has a 5-year term that matures in May 2023 and bears interest at a rate of LIBOR plus 1.75% per annum, which will be reduced to a rate of LIBOR plus as low as 1.25% upon us reaching a consolidated net leverage ratio of less than 2.25x. Our Credit Facility is guaranteed jointly and severally, fully and unconditionally by all of our significant wholly-owned subsidiaries and secured by substantially all of our assets. As of June 30, 2020, further advances were available under the Revolving Credit Facility in the amount of $135.9 million. The available amount is net of outstanding irrevocable letters of credit totaling $26.4 million, at which date no amount had been drawn. We have the right to request, at our discretion, an increase in the amount of loans under the Credit Facility by an aggregate amount of $125.0 million, subject to the terms and conditions set forth in the credit agreement ("Credit Agreement").</w:t>
      </w:r>
    </w:p>
    <w:p>
      <w:pPr>
        <w:spacing w:after="0" w:line="70"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color w:val="auto"/>
        </w:rPr>
        <w:t>The Credit Agreement requires us to maintain a minimum interest coverage ratio and a maximum consolidated net leverage ratio, to be measured at the end of each fiscal quarter. As of June 30, 2020, we were in compliance with all financial covenants contained in the Credit Agreement as follows:</w:t>
      </w:r>
    </w:p>
    <w:tbl>
      <w:tblPr>
        <w:tblLayout w:type="fixed"/>
        <w:tblInd w:w="0" w:type="dxa"/>
        <w:tblCellMar>
          <w:top w:w="0" w:type="dxa"/>
          <w:left w:w="0" w:type="dxa"/>
          <w:bottom w:w="0" w:type="dxa"/>
          <w:right w:w="0" w:type="dxa"/>
        </w:tblCellMar>
      </w:tblPr>
      <w:tr>
        <w:trPr>
          <w:trHeight w:val="149"/>
        </w:trPr>
        <w:tc>
          <w:tcPr>
            <w:tcW w:w="6780" w:type="dxa"/>
            <w:vAlign w:val="bottom"/>
          </w:tcPr>
          <w:p>
            <w:pPr>
              <w:spacing w:after="0"/>
              <w:rPr>
                <w:sz w:val="12"/>
                <w:szCs w:val="12"/>
                <w:color w:val="auto"/>
              </w:rPr>
            </w:pPr>
          </w:p>
        </w:tc>
        <w:tc>
          <w:tcPr>
            <w:tcW w:w="22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Twelve Months Ended June 30,</w:t>
            </w:r>
          </w:p>
        </w:tc>
        <w:tc>
          <w:tcPr>
            <w:tcW w:w="2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Covenant Requirement at June 30,</w:t>
            </w:r>
          </w:p>
        </w:tc>
      </w:tr>
      <w:tr>
        <w:trPr>
          <w:trHeight w:val="192"/>
        </w:trPr>
        <w:tc>
          <w:tcPr>
            <w:tcW w:w="678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2020</w:t>
            </w:r>
          </w:p>
        </w:tc>
      </w:tr>
      <w:tr>
        <w:trPr>
          <w:trHeight w:val="249"/>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Maximum consolidated net leverage ratio </w:t>
            </w:r>
            <w:r>
              <w:rPr>
                <w:rFonts w:ascii="Arial" w:cs="Arial" w:eastAsia="Arial" w:hAnsi="Arial"/>
                <w:sz w:val="14"/>
                <w:szCs w:val="14"/>
                <w:color w:val="auto"/>
              </w:rPr>
              <w:t>(1)</w:t>
            </w:r>
          </w:p>
        </w:tc>
        <w:tc>
          <w:tcPr>
            <w:tcW w:w="2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4.00</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Minimum interest coverage ratio</w:t>
            </w:r>
          </w:p>
        </w:tc>
        <w:tc>
          <w:tcPr>
            <w:tcW w:w="2180" w:type="dxa"/>
            <w:vAlign w:val="bottom"/>
          </w:tcPr>
          <w:p>
            <w:pPr>
              <w:jc w:val="right"/>
              <w:ind w:right="79"/>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2180" w:type="dxa"/>
            <w:vAlign w:val="bottom"/>
          </w:tcPr>
          <w:p>
            <w:pPr>
              <w:jc w:val="right"/>
              <w:ind w:right="79"/>
              <w:spacing w:after="0"/>
              <w:rPr>
                <w:sz w:val="20"/>
                <w:szCs w:val="20"/>
                <w:color w:val="auto"/>
              </w:rPr>
            </w:pPr>
            <w:r>
              <w:rPr>
                <w:rFonts w:ascii="Arial" w:cs="Arial" w:eastAsia="Arial" w:hAnsi="Arial"/>
                <w:sz w:val="18"/>
                <w:szCs w:val="18"/>
                <w:color w:val="auto"/>
              </w:rPr>
              <w:t>3.00</w:t>
            </w:r>
          </w:p>
        </w:tc>
      </w:tr>
    </w:tbl>
    <w:p>
      <w:pPr>
        <w:spacing w:after="0" w:line="224" w:lineRule="exact"/>
        <w:rPr>
          <w:sz w:val="20"/>
          <w:szCs w:val="20"/>
          <w:color w:val="auto"/>
        </w:rPr>
      </w:pPr>
    </w:p>
    <w:p>
      <w:pPr>
        <w:ind w:left="660" w:right="40" w:hanging="652"/>
        <w:spacing w:after="0" w:line="270" w:lineRule="auto"/>
        <w:tabs>
          <w:tab w:leader="none" w:pos="652"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maximum consolidated net leverage ratio is calculated as consolidated funded debt, net of unencumbered cash and cash equivalents in excess of $2.0 million (calculated at $542.0 million as of June 30, 2020, or $543.1 million of consolidated funded debt less $1.1 million of cash and cash equivalents in excess of $2.0 million as of June 30, 2020), divided by consolidated EBITDA. Consolidated EBITDA is based on operating results for the twelve months preceding the measurement date of June 30, 2020. Consolidated funded debt, net of unencumbered cash and cash equivalents in excess of $2.0 million, and consolidated EBITDA as defined by the Credit Agreement ("Consolidated EBITDA") are non-GAAP financial measures that should not be considered an alternative to any measure of financial performance calculated and presented in accordance with generally accepted accounting principles in the United States. A reconciliation of net cash provided by operating activities to minimum consolidated EBITDA is as follows (in millions):</w:t>
      </w: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Twelve Months Ended June 30,</w:t>
            </w:r>
          </w:p>
        </w:tc>
      </w:tr>
      <w:tr>
        <w:trPr>
          <w:trHeight w:val="192"/>
        </w:trPr>
        <w:tc>
          <w:tcPr>
            <w:tcW w:w="90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2020</w:t>
            </w: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141.1</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Changes in assets and liabilities, net of effects of acquisitions and divestitures</w:t>
            </w:r>
          </w:p>
        </w:tc>
        <w:tc>
          <w:tcPr>
            <w:tcW w:w="120" w:type="dxa"/>
            <w:vAlign w:val="bottom"/>
          </w:tcPr>
          <w:p>
            <w:pPr>
              <w:spacing w:after="0"/>
              <w:rPr>
                <w:sz w:val="21"/>
                <w:szCs w:val="21"/>
                <w:color w:val="auto"/>
              </w:rPr>
            </w:pPr>
          </w:p>
        </w:tc>
        <w:tc>
          <w:tcPr>
            <w:tcW w:w="2060" w:type="dxa"/>
            <w:vAlign w:val="bottom"/>
          </w:tcPr>
          <w:p>
            <w:pPr>
              <w:jc w:val="right"/>
              <w:ind w:right="73"/>
              <w:spacing w:after="0"/>
              <w:rPr>
                <w:sz w:val="20"/>
                <w:szCs w:val="20"/>
                <w:color w:val="auto"/>
              </w:rPr>
            </w:pPr>
            <w:r>
              <w:rPr>
                <w:rFonts w:ascii="Arial" w:cs="Arial" w:eastAsia="Arial" w:hAnsi="Arial"/>
                <w:sz w:val="18"/>
                <w:szCs w:val="18"/>
                <w:color w:val="auto"/>
              </w:rPr>
              <w:t>16.6</w:t>
            </w:r>
          </w:p>
        </w:tc>
      </w:tr>
      <w:tr>
        <w:trPr>
          <w:trHeight w:val="27"/>
        </w:trPr>
        <w:tc>
          <w:tcPr>
            <w:tcW w:w="9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0.4</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Non-cash expense from acquisition activities</w:t>
            </w:r>
          </w:p>
        </w:tc>
        <w:tc>
          <w:tcPr>
            <w:tcW w:w="120" w:type="dxa"/>
            <w:vAlign w:val="bottom"/>
          </w:tcPr>
          <w:p>
            <w:pPr>
              <w:spacing w:after="0"/>
              <w:rPr>
                <w:sz w:val="21"/>
                <w:szCs w:val="21"/>
                <w:color w:val="auto"/>
              </w:rPr>
            </w:pP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(0.7)</w:t>
            </w:r>
          </w:p>
        </w:tc>
      </w:tr>
      <w:tr>
        <w:trPr>
          <w:trHeight w:val="27"/>
        </w:trPr>
        <w:tc>
          <w:tcPr>
            <w:tcW w:w="9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Withdrawal costs - multiemployer pension plan</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Southbridge Landfill non-cash closure charge</w:t>
            </w:r>
          </w:p>
        </w:tc>
        <w:tc>
          <w:tcPr>
            <w:tcW w:w="120" w:type="dxa"/>
            <w:vAlign w:val="bottom"/>
          </w:tcPr>
          <w:p>
            <w:pPr>
              <w:spacing w:after="0"/>
              <w:rPr>
                <w:sz w:val="21"/>
                <w:szCs w:val="21"/>
                <w:color w:val="auto"/>
              </w:rPr>
            </w:pPr>
          </w:p>
        </w:tc>
        <w:tc>
          <w:tcPr>
            <w:tcW w:w="2060" w:type="dxa"/>
            <w:vAlign w:val="bottom"/>
          </w:tcPr>
          <w:p>
            <w:pPr>
              <w:jc w:val="right"/>
              <w:ind w:right="73"/>
              <w:spacing w:after="0"/>
              <w:rPr>
                <w:sz w:val="20"/>
                <w:szCs w:val="20"/>
                <w:color w:val="auto"/>
              </w:rPr>
            </w:pPr>
            <w:r>
              <w:rPr>
                <w:rFonts w:ascii="Arial" w:cs="Arial" w:eastAsia="Arial" w:hAnsi="Arial"/>
                <w:sz w:val="18"/>
                <w:szCs w:val="18"/>
                <w:color w:val="auto"/>
              </w:rPr>
              <w:t>0.1</w:t>
            </w:r>
          </w:p>
        </w:tc>
      </w:tr>
      <w:tr>
        <w:trPr>
          <w:trHeight w:val="27"/>
        </w:trPr>
        <w:tc>
          <w:tcPr>
            <w:tcW w:w="9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expense</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(7.3)</w:t>
            </w:r>
          </w:p>
        </w:tc>
      </w:tr>
      <w:tr>
        <w:trPr>
          <w:trHeight w:val="27"/>
        </w:trPr>
        <w:tc>
          <w:tcPr>
            <w:tcW w:w="9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less amortization of debt issuance costs</w:t>
            </w: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21.8</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Benefit for income taxes, net of deferred income taxes</w:t>
            </w:r>
          </w:p>
        </w:tc>
        <w:tc>
          <w:tcPr>
            <w:tcW w:w="120" w:type="dxa"/>
            <w:vAlign w:val="bottom"/>
          </w:tcPr>
          <w:p>
            <w:pPr>
              <w:spacing w:after="0"/>
              <w:rPr>
                <w:sz w:val="21"/>
                <w:szCs w:val="21"/>
                <w:color w:val="auto"/>
              </w:rPr>
            </w:pP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
        </w:trPr>
        <w:tc>
          <w:tcPr>
            <w:tcW w:w="9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as allowed by the Credit Agreement</w:t>
            </w: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16.6</w:t>
            </w:r>
          </w:p>
        </w:tc>
      </w:tr>
      <w:tr>
        <w:trPr>
          <w:trHeight w:val="237"/>
        </w:trPr>
        <w:tc>
          <w:tcPr>
            <w:tcW w:w="9060" w:type="dxa"/>
            <w:vAlign w:val="bottom"/>
          </w:tcPr>
          <w:p>
            <w:pPr>
              <w:ind w:left="20"/>
              <w:spacing w:after="0"/>
              <w:rPr>
                <w:sz w:val="20"/>
                <w:szCs w:val="20"/>
                <w:color w:val="auto"/>
              </w:rPr>
            </w:pPr>
            <w:r>
              <w:rPr>
                <w:rFonts w:ascii="Arial" w:cs="Arial" w:eastAsia="Arial" w:hAnsi="Arial"/>
                <w:sz w:val="18"/>
                <w:szCs w:val="18"/>
                <w:color w:val="auto"/>
              </w:rPr>
              <w:t>Consolidated EBITDA</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176.1</w:t>
            </w:r>
          </w:p>
        </w:tc>
      </w:tr>
      <w:tr>
        <w:trPr>
          <w:trHeight w:val="27"/>
        </w:trPr>
        <w:tc>
          <w:tcPr>
            <w:tcW w:w="9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
        </w:trPr>
        <w:tc>
          <w:tcPr>
            <w:tcW w:w="9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the financial covenants described above,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As of June 30, 2020, we were in compliance with the covenants contained in the Credit Agreement.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2" w:name="page43"/>
    <w:bookmarkEnd w:id="42"/>
    <w:p>
      <w:pPr>
        <w:ind w:right="40"/>
        <w:spacing w:after="0" w:line="257" w:lineRule="auto"/>
        <w:rPr>
          <w:sz w:val="20"/>
          <w:szCs w:val="20"/>
          <w:color w:val="auto"/>
        </w:rPr>
      </w:pPr>
      <w:r>
        <w:rPr>
          <w:rFonts w:ascii="Arial" w:cs="Arial" w:eastAsia="Arial" w:hAnsi="Arial"/>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Tax-Exempt Financings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New York Bonds. </w:t>
      </w:r>
      <w:r>
        <w:rPr>
          <w:rFonts w:ascii="Arial" w:cs="Arial" w:eastAsia="Arial" w:hAnsi="Arial"/>
          <w:sz w:val="16"/>
          <w:szCs w:val="16"/>
          <w:color w:val="auto"/>
        </w:rPr>
        <w:t>As of June 30, 2020, we had outstanding $25.0 million aggregate principal amount of New York Bonds 2014 and $15.0 million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amount of New York State Environmental Facilities Corporation Solid Waste Disposal Revenue Bonds Series 2014R-2 ("New York Bonds</w:t>
      </w:r>
    </w:p>
    <w:p>
      <w:pPr>
        <w:ind w:right="20"/>
        <w:spacing w:after="0" w:line="252" w:lineRule="auto"/>
        <w:rPr>
          <w:sz w:val="20"/>
          <w:szCs w:val="20"/>
          <w:color w:val="auto"/>
        </w:rPr>
      </w:pPr>
      <w:r>
        <w:rPr>
          <w:rFonts w:ascii="Arial" w:cs="Arial" w:eastAsia="Arial" w:hAnsi="Arial"/>
          <w:sz w:val="18"/>
          <w:szCs w:val="18"/>
          <w:color w:val="auto"/>
        </w:rPr>
        <w:t>2014R-2") issued by the New York State Environmental Facilities Corporation under the indenture dated December 1, 2014 (collectively, the “New York Bonds”). The New York Bonds 2014 accrue interest at 2.875% per annum through December 2, 2029, at which time they may be converted from a fixed rate to a variable rate. The New York Bonds 2014R-2 accrue interest at 3.125% per annum through May 31, 2026, at which time they may be converted from a fixed rate to a variable rate. The New York Bonds, which are unsecured and guaranteed jointly and severally, fully and unconditionally by all of our significant wholly-owned subsidiaries, require interest payments on June 1 and December 1 of each year and mature on December 1, 2044. We borrowed the proceeds of the New York Bonds to finance or refinance certain capital projects in the state of New York and to pay certain costs of issuance of the New York Bonds.</w:t>
      </w:r>
    </w:p>
    <w:p>
      <w:pPr>
        <w:spacing w:after="0" w:line="84"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Maine Bonds. </w:t>
      </w:r>
      <w:r>
        <w:rPr>
          <w:rFonts w:ascii="Arial" w:cs="Arial" w:eastAsia="Arial" w:hAnsi="Arial"/>
          <w:sz w:val="16"/>
          <w:szCs w:val="16"/>
          <w:color w:val="auto"/>
        </w:rPr>
        <w:t>As of June 30, 2020, we had outstanding $25.0 million aggregate principal amount of Finance Authority of Maine Solid Waste Disposal</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Bonds Series 2005 (“FAME Bonds 2005R-3"), $15.0 million aggregate principal amount Finance Authority of Maine Solid Waste Disposal Revenue Bonds Series 2015 (“FAME Bonds 2015R-1”), and $15.0 million aggregate principal amount of Finance Authority of Maine Solid Waste Disposal Revenue Bonds Series 2015R-2 ("FAME Bonds 2015R-2", collectively with the FAME Bonds 2005R-3 and the FAME Bonds 2015R-1 the "FAME Bonds"). The FAME Bonds 2005R-3 accrue interest at 5.25% per annum, and interest is payable semiannually on February 1 and August 1 of each year until such bonds mature on January 1, 2025. The FAME Bonds 2015R-1 accrue interest at 5.125% per annum through August 1, 2025, at which time they may be converted from a fixed to a variable rate, and interest is payable semiannually on February 1 and August 1 of each year until the FAME Bonds 2015R-1 mature on August 1, 2035. The FAME Bonds 2015R-2 accrue interest at 4.375% per annum through July 31, 2025, at which time they may be converted from a fixed to a variable rate, and interest is payable semiannually on May 1 and November 1 of each year until the FAME Bonds 2015R-2 mature on August 1, 2035. The FAME Bonds are unsecured and guaranteed jointly and severally, fully and unconditionally by all of our significant wholly-owned subsidiaries. We borrowed the proceeds of the offering of the FAME Bonds to finance or refinance the costs of certain of our solid waste landfill facilities and solid waste collection, organics and transfer, recycling and hauling facilities, and to pay certain costs of the issuance of the FAME Bonds.</w:t>
      </w:r>
    </w:p>
    <w:p>
      <w:pPr>
        <w:spacing w:after="0" w:line="60"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Vermont Bonds. </w:t>
      </w:r>
      <w:r>
        <w:rPr>
          <w:rFonts w:ascii="Arial" w:cs="Arial" w:eastAsia="Arial" w:hAnsi="Arial"/>
          <w:sz w:val="16"/>
          <w:szCs w:val="16"/>
          <w:color w:val="auto"/>
        </w:rPr>
        <w:t>As of June 30, 2020, we had outstanding $16.0 million aggregate principal amount of Vermont Economic Development Authority Solid</w:t>
      </w:r>
      <w:r>
        <w:rPr>
          <w:rFonts w:ascii="Arial" w:cs="Arial" w:eastAsia="Arial" w:hAnsi="Arial"/>
          <w:sz w:val="16"/>
          <w:szCs w:val="16"/>
          <w:i w:val="1"/>
          <w:iCs w:val="1"/>
          <w:color w:val="auto"/>
        </w:rPr>
        <w:t xml:space="preserve"> </w:t>
      </w:r>
      <w:r>
        <w:rPr>
          <w:rFonts w:ascii="Arial" w:cs="Arial" w:eastAsia="Arial" w:hAnsi="Arial"/>
          <w:sz w:val="16"/>
          <w:szCs w:val="16"/>
          <w:color w:val="auto"/>
        </w:rPr>
        <w:t>Waste Disposal Long-Term Revenue Bonds Series 2013 ("Vermont Bonds"). The Vermont Bonds, which are guaranteed jointly and severally, fully and unconditionally by all of our significant wholly-owned subsidiaries, accrue interest at 4.625% per annum through April 2, 2028, after which time there is a mandatory tender, and interest is payable semiannually on May 1 and November 1 of each year. The Vermont Bonds mature on April 1, 2036. We borrowed the proceeds of the Vermont Bonds to finance or refinance certain qualifying property, plant and equipment assets purchased in the state of Vermont.</w:t>
      </w:r>
    </w:p>
    <w:p>
      <w:pPr>
        <w:spacing w:after="0" w:line="5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i w:val="1"/>
          <w:iCs w:val="1"/>
          <w:color w:val="auto"/>
        </w:rPr>
        <w:t xml:space="preserve">New Hampshire Bonds. </w:t>
      </w:r>
      <w:r>
        <w:rPr>
          <w:rFonts w:ascii="Arial" w:cs="Arial" w:eastAsia="Arial" w:hAnsi="Arial"/>
          <w:sz w:val="17"/>
          <w:szCs w:val="17"/>
          <w:color w:val="auto"/>
        </w:rPr>
        <w:t>As of June 30, 2020, we had outstanding $11.0 million aggregate principal amount of New Hampshire Bonds. The New Hampshire</w:t>
      </w:r>
      <w:r>
        <w:rPr>
          <w:rFonts w:ascii="Arial" w:cs="Arial" w:eastAsia="Arial" w:hAnsi="Arial"/>
          <w:sz w:val="17"/>
          <w:szCs w:val="17"/>
          <w:i w:val="1"/>
          <w:iCs w:val="1"/>
          <w:color w:val="auto"/>
        </w:rPr>
        <w:t xml:space="preserve"> </w:t>
      </w:r>
      <w:r>
        <w:rPr>
          <w:rFonts w:ascii="Arial" w:cs="Arial" w:eastAsia="Arial" w:hAnsi="Arial"/>
          <w:sz w:val="17"/>
          <w:szCs w:val="17"/>
          <w:color w:val="auto"/>
        </w:rPr>
        <w:t>Bonds, which are guaranteed jointly and severally, fully and unconditionally by all of our significant wholly-owned subsidiaries, accrue interest at 2.95% per annum through maturity on April 1, 2029. During the fixed interest rate period, the New Hampshire Bonds are not supported by a letter of credit. Interest is payable on April 1 and October 1 of each year. We borrowed the proceeds of the New Hampshire Bonds to finance or refinance certain qualifying property, plant and equipment assets purchased in the state of New Hampshire.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Although inflationary increases in costs have affected our historical operating margins, we believe that inflation generally has not had a significant impact on our operating results. Consistent with industry practice, most of our contracts provide for a pass-through of certain costs to our customers, including increases in landfill tipping fees and in some cases fuel costs, intended to mitigate the impact of inflation on our operating results. We have also implemented a number of operating efficiency programs that seek to improve productivity and reduce our service costs, and a fuel surcharge, which is designed to recover escalating fuel price fluctuations above an annually reset floor. Based on these implementations, we believe we should be able to sufficiently offset most cost increases resulting from inflation. However,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12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There can be no assurance that the northeastern United States will recover from the impact of COVID-19 mandated economic shutdowns at the same time as, or at the same rate as, other areas of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w:t>
      </w:r>
    </w:p>
    <w:p>
      <w:pPr>
        <w:spacing w:after="0" w:line="62" w:lineRule="exact"/>
        <w:rPr>
          <w:sz w:val="20"/>
          <w:szCs w:val="20"/>
          <w:color w:val="auto"/>
        </w:rPr>
      </w:pPr>
    </w:p>
    <w:p>
      <w:pPr>
        <w:ind w:left="440" w:hanging="311"/>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volume of waste relating to C&amp;D activities decreases substantially during the winter months in the northeastern United States; and</w:t>
      </w:r>
    </w:p>
    <w:p>
      <w:pPr>
        <w:spacing w:after="0" w:line="117" w:lineRule="exact"/>
        <w:rPr>
          <w:rFonts w:ascii="Arial" w:cs="Arial" w:eastAsia="Arial" w:hAnsi="Arial"/>
          <w:sz w:val="18"/>
          <w:szCs w:val="18"/>
          <w:color w:val="auto"/>
        </w:rPr>
      </w:pPr>
    </w:p>
    <w:p>
      <w:pPr>
        <w:ind w:left="460" w:hanging="331"/>
        <w:spacing w:after="0" w:line="277" w:lineRule="auto"/>
        <w:tabs>
          <w:tab w:leader="none" w:pos="4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tourism in Vermont, New Hampshire, Maine and eastern New York during the winter months tends to lower the volume of waste generated by commercial and restaurant customers, which is partially offset by increased volume from the ski industry.</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Because certain of our operating and fixed costs remain constant throughout the fiscal year, operating income is therefore impacted by a similar seasonality. Our operations can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recycling line of business in the Resource Solutions segment experiences increased volumes of fiber in November and December due to increased retail activity during the holiday season.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preparation of our financial statements requires management to make estimates and assumptions that affect the reported amounts of assets and liabilities and the disclosure of contingent assets and liabilities, as applicable, at the date of the financial statements and the reported amounts of revenues and expenses during the reporting period.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Except for the adoption of the new accounting standards discussed in Note 2, </w:t>
      </w:r>
      <w:r>
        <w:rPr>
          <w:rFonts w:ascii="Arial" w:cs="Arial" w:eastAsia="Arial" w:hAnsi="Arial"/>
          <w:sz w:val="16"/>
          <w:szCs w:val="16"/>
          <w:i w:val="1"/>
          <w:iCs w:val="1"/>
          <w:color w:val="auto"/>
        </w:rPr>
        <w:t>Accounting Changes</w:t>
      </w:r>
      <w:r>
        <w:rPr>
          <w:rFonts w:ascii="Arial" w:cs="Arial" w:eastAsia="Arial" w:hAnsi="Arial"/>
          <w:sz w:val="16"/>
          <w:szCs w:val="16"/>
          <w:color w:val="auto"/>
        </w:rPr>
        <w:t xml:space="preserve"> to our consolidated financial statements included under Part I, Item 1 of this Quarterly Report on Form 10-Q, there were no material changes in the three months ended June 30, 2020 to the application of critical accounting policies and estimates as described in Item 8 of our Annual Report on Form 10-K for the fiscal year ended December 31,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For a description of the new accounting standards that may affect us, 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to our consolidated financial statements included under Part I, Item 1 of this Quarterly Report on Form 10-Q.</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commodity prices. We have a variety of strategies to mitigate these market risks, including at times using derivative instruments to hedge some portion of these risks.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Volatility</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In the six months ended June 30, 2020, we entered into three forward starting interest rate derivative agreements with a total notional amount of $60.0 million that will serve to replace existing interest rate derivative agreements upon their expiration between June 2022 and May 2023. In the six months ended June 30, 2020, we also amended three interest rate derivative agreements to settle each of the 1.0% floors and replace each with a 0.0% floor in line with our Term Loan Facility, which resulted in us dedesignating the original hedging relationships. We subsequently designated new hedging relationships between the three interest rate derivative agreements and the variable rate interest payments related to the Term Loan Facility based on a quantitative assessment that was performed using regression analysis, which indicated that the hedging relationships were highly effective. Because the interest rate payments associated with the variable rate portion of our long-term debt will still occur, the net loss of $(0.8) million associated with the dedesignated interest rate derivative agreements and the $0.4 million cash settlement received in exchange for settling the 1.0% floors in accumulated other comprehensive loss were not reclassified into earnings. Instead, this loss and settlement amount will continue to be reclassified from accumulated other comprehensive loss into interest expense as the interest payments affect earnings.</w:t>
      </w:r>
    </w:p>
    <w:p>
      <w:pPr>
        <w:spacing w:after="0" w:line="6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As of both June 30, 2020 and December 31, 2019, our interest rate derivative agreements have a total notional amount of $190.0 million. According to the terms of the agreements, we receive interest based on the 1-month LIBOR index and pay interest at a weighted average rate of approximately 2.54%. The agreements mature between February 2021 and May 2023.</w:t>
      </w:r>
    </w:p>
    <w:p>
      <w:pPr>
        <w:spacing w:after="0" w:line="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Additionally, we have forward starting interest rate derivative agreements with a total notional amount of $125.0 million that mature between February 2026 and May 2028. We receive interest based on the 1-month LIBOR index, restricted by a 0.0% floor, and will pay interest at a weighted average rate of approximately 1.63%.</w:t>
      </w:r>
    </w:p>
    <w:p>
      <w:pPr>
        <w:spacing w:after="0" w:line="7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June 30, 2020, we have $155.4 million of fixed rate debt in addition to the $190.0 million fixed through our interest rate derivative agreements. We had interest rate risk relating to approximately $197.7 million of long-term debt as of June 30, 2020. The weighted average interest rate on the variable rate portion of long-term debt was approximately 2.0% at June 30, 2020. Should the average interest rate on the variable rate portion of long-term debt change by 100 basis points, we estimate that our annual interest expense would change by up to approximately $2.0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Volatility</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Information about commodity price market volatility market risk as of June 30, 2020 does not differ materially from that discussed in Part II, Item 7A of our Annual Report on Form 10-K for the fiscal year ended December 31, 2019.</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June 30, 2020.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2020, our chief executive officer and chief financial officer concluded that, as of such date, our disclosure controls and procedures were effective at the reasonable assurance level.</w:t>
      </w:r>
    </w:p>
    <w:p>
      <w:pPr>
        <w:spacing w:after="0" w:line="7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three months ended June 30, 2020 that has materially affected, or is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 (including related litigation)</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was operated by SRD and later closed in November 2018 when Southbridge Landfill reached its final capacity. Those results indicated the presence of contaminants above the levels triggering notice and response obligations under MADEP regulations. In response to those results, we have carried out an Immediate Response Action pursuant to Massachusetts General Law Chapter 21E (the "Charlton 21E Obligations") pursuant to state law. Further, we implemented a plan to analyze and better understand the groundwater near the Southbridge Landfill and we investigated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7" w:name="page48"/>
    <w:bookmarkEnd w:id="47"/>
    <w:p>
      <w:pPr>
        <w:spacing w:after="0" w:line="286" w:lineRule="auto"/>
        <w:rPr>
          <w:sz w:val="20"/>
          <w:szCs w:val="20"/>
          <w:color w:val="auto"/>
        </w:rPr>
      </w:pPr>
      <w:r>
        <w:rPr>
          <w:rFonts w:ascii="Arial" w:cs="Arial" w:eastAsia="Arial" w:hAnsi="Arial"/>
          <w:sz w:val="16"/>
          <w:szCs w:val="16"/>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 We believe the Litigation to be factually inaccurate, and without legal merit, and we and SRD are vigorously defending the Litigation. Nevertheless, we believe it is reasonably possible that a loss will occur as a result of the Litigation although an estimate of loss cannot be reasonably provided at this time.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5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December 2017, we filed a Motion to Dismiss the Litigation, and on October 1, 2018, the Massachusetts Court granted our Motion to Dismiss, and accordingly, dismissed the Citizen Groups claims under the Acts. The Massachusetts Court has retained jurisdiction of the Residents claims. The Citizen Groups intend to appeal the Massachusetts Court’s decision to grant our Motion to Dismiss. The Residents moved for a stay of their case until the Citizen Groups appealed. We opposed the stay and in March 2019, the Massachusetts Court denied the Residents motion for a stay. We are in active discovery in the Residents case.</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entered into an Administrative Consent Order on April 26, 2017 (the “ACO”), with MADEP, the Town, and the Town of Charlton, committing us to equally share the costs with MADEP, of up to $10.0 million ($5.0 million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has issued a twenty (20) year bond for our portion of the Waterline costs in the amount of $4.1 million. We have agreed to reimburse the Town for periodic payments under such bond. Construction of the Waterline is complete and homeowners are relying on municipal water supply. Remaining aspects of the project are minor and are expected to be completed in 2020. Bond reimbursement to the Town commenced in the quarter ended June 30, 2020.</w:t>
      </w:r>
    </w:p>
    <w:p>
      <w:pPr>
        <w:spacing w:after="0" w:line="73"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We have recorded an environmental remediation liability related to our obligation associated with the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 The changes to the environmental remediation liability associated with the Southbridge Landfill are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Accretion expense</w:t>
            </w:r>
          </w:p>
        </w:tc>
        <w:tc>
          <w:tcPr>
            <w:tcW w:w="92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0.1</w:t>
            </w:r>
          </w:p>
        </w:tc>
      </w:tr>
      <w:tr>
        <w:trPr>
          <w:trHeight w:val="27"/>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Revisions in estimates </w:t>
            </w:r>
            <w:r>
              <w:rPr>
                <w:rFonts w:ascii="Arial" w:cs="Arial" w:eastAsia="Arial" w:hAnsi="Arial"/>
                <w:sz w:val="14"/>
                <w:szCs w:val="14"/>
                <w:color w:val="auto"/>
              </w:rPr>
              <w:t>(1)</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(0.2)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(2)</w:t>
            </w:r>
          </w:p>
        </w:tc>
        <w:tc>
          <w:tcPr>
            <w:tcW w:w="92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7"/>
              </w:rPr>
              <w:t>(0.3)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8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60" w:right="80" w:hanging="652"/>
        <w:spacing w:after="0" w:line="273" w:lineRule="auto"/>
        <w:tabs>
          <w:tab w:leader="none" w:pos="652"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The revision of estimate is associated with the completion of the environmental remediation at the site. See Note 13, </w:t>
      </w:r>
      <w:r>
        <w:rPr>
          <w:rFonts w:ascii="Arial" w:cs="Arial" w:eastAsia="Arial" w:hAnsi="Arial"/>
          <w:sz w:val="14"/>
          <w:szCs w:val="14"/>
          <w:i w:val="1"/>
          <w:iCs w:val="1"/>
          <w:color w:val="auto"/>
        </w:rPr>
        <w:t>Other Items and Charges</w:t>
      </w:r>
      <w:r>
        <w:rPr>
          <w:rFonts w:ascii="Arial" w:cs="Arial" w:eastAsia="Arial" w:hAnsi="Arial"/>
          <w:sz w:val="14"/>
          <w:szCs w:val="14"/>
          <w:color w:val="auto"/>
        </w:rPr>
        <w:t xml:space="preserve"> to our consolidated financial statements included under Part I, Item 1 of this Quarterly Report on Form 10-Q for further discussion.</w:t>
      </w:r>
    </w:p>
    <w:p>
      <w:pPr>
        <w:spacing w:after="0" w:line="11" w:lineRule="exact"/>
        <w:rPr>
          <w:rFonts w:ascii="Arial" w:cs="Arial" w:eastAsia="Arial" w:hAnsi="Arial"/>
          <w:sz w:val="14"/>
          <w:szCs w:val="14"/>
          <w:color w:val="auto"/>
        </w:rPr>
      </w:pPr>
    </w:p>
    <w:p>
      <w:pPr>
        <w:ind w:left="640" w:hanging="632"/>
        <w:spacing w:after="0"/>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amounts that are being processed through accounts payable as a part of our disbursements cycle.</w:t>
      </w:r>
    </w:p>
    <w:p>
      <w:pPr>
        <w:spacing w:after="0" w:line="11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completed the first phase of landfill capping and closure in the fiscal year ended December 31, 2019 at the Southbridge Landfill and are actively seeking approval from MADEP to close and cap the remainder of the landfill.</w:t>
      </w:r>
    </w:p>
    <w:p>
      <w:pPr>
        <w:spacing w:after="0" w:line="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 million.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 million.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The majority of the remediation work has been completed as of June 30, 2020. WSI is jointly and severally liable with NiMo, Alcoa and Reynolds for the total cost to remediate.</w:t>
      </w:r>
    </w:p>
    <w:p>
      <w:pPr>
        <w:spacing w:after="0" w:line="6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Potsdam site based on incurred costs to date and estimated costs to complete the remediation in other accrued liabilities and other long-term liabilities. We inflate the estimated costs in current dollars to the expected time of payment and discount the total cost to present value using a risk-free interest rate of 1.5%. The environmental remediation liability associated with the Potsdam site was $1.2 million as of both June 30, 2020 and December 31, 2019.</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w:t>
      </w:r>
    </w:p>
    <w:p>
      <w:pPr>
        <w:spacing w:after="0" w:line="11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or about March 8, 2018, the Citizen Groups described above delivered correspondence to our subsidiary, North Country Environmental Services, Inc. ("NCES") and us, providing notice of the Citizen Groups' intent to sue NCES and us for violations of the CWA in conjunction with NCES's operation of its landfill in Bethlehem, New Hampshire ("NCES Landfill"). On May 14, 2018, the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On June 15, 2018, we and NCES filed a Motion to Dismiss the New Hampshire Litigation. On July 13, 2018, the Citizen Groups filed objections to our Motion to Dismiss. On July 27, 2018, we filed a reply in support of our Motion to Dismiss. On September 25, 2018, the New Hampshire Court denied our Motion to Dismiss. In March of 2019, we filed a motion in the New Hampshire Litigation asking for a stay of this litigation until certain appeals from discordant federal circuit courts were heard by the Supreme Court of the United States (“SCOTUS”), in the case identified as “County of Maui v. Hawaii Wildlife Fund (“MAUI”)”. Our motion for a stay was granted in the New Hampshire Litigation, and SCOTUS heard the case in 2019 and issued a ruling on April 23, 2020. SCOTUS remanded the case to the U.S. Court of Appeals for the Ninth Circuit in San Francisco (the “Circuit Court”) ruling that the Circuit Court’s standard as to whether ground water impacts navigable waters is too broad. We do not believe that the MAUI decision resolves the issues presented in the New Hampshire Litigation, and until the Circuit Court rules in the remanded MAUI case, we intend to continue to vigorously defend against the New Hampshire Litigation, which we believe is without merit. The Citizens Groups filed a motion with the New Hampshire</w:t>
      </w:r>
    </w:p>
    <w:p>
      <w:pPr>
        <w:spacing w:after="0" w:line="6" w:lineRule="exact"/>
        <w:rPr>
          <w:sz w:val="20"/>
          <w:szCs w:val="20"/>
          <w:color w:val="auto"/>
        </w:rPr>
      </w:pPr>
    </w:p>
    <w:p>
      <w:pPr>
        <w:ind w:right="620"/>
        <w:spacing w:after="0" w:line="375" w:lineRule="auto"/>
        <w:rPr>
          <w:sz w:val="20"/>
          <w:szCs w:val="20"/>
          <w:color w:val="auto"/>
        </w:rPr>
      </w:pPr>
      <w:r>
        <w:rPr>
          <w:rFonts w:ascii="Arial" w:cs="Arial" w:eastAsia="Arial" w:hAnsi="Arial"/>
          <w:sz w:val="18"/>
          <w:szCs w:val="18"/>
          <w:color w:val="auto"/>
        </w:rPr>
        <w:t xml:space="preserve">Court on July 15, 2020 to amend their complaint based on MAUI. We intend to oppose this motion to amend, and our filing is due August 7, 2020. </w:t>
      </w:r>
      <w:r>
        <w:rPr>
          <w:rFonts w:ascii="Arial" w:cs="Arial" w:eastAsia="Arial" w:hAnsi="Arial"/>
          <w:sz w:val="18"/>
          <w:szCs w:val="18"/>
          <w:i w:val="1"/>
          <w:iCs w:val="1"/>
          <w:color w:val="auto"/>
        </w:rPr>
        <w:t>Ontario County, New York Class Action Litigation</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or about September 17, 2019, Richard Vandemortel and Deb Vandemortel filed a class action complaint against us on behalf of similarly situated citizens in Ontario County, New York. The lawsuit has been filed in Ontario County (the “New York Litigation”). It alleges that over one thousand (1,000) citizens constitute the putative class in the New York Litigation, and it seeks damages for diminution of property values and infringement of the putative class’ rights to live without interference to their daily lives due to odors emanating from the Subtitle D landfill located in Seneca, New York, which is operated by us pursuant to a long-term Operation, Maintenance and Lease Agreement with Ontario County. The New York Litigation was served on us on October 14, 2019. We intend to present a vigorous defense.</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Hakes Landfill Litigation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or about December 19, 2019, the New York State Department of Environmental Conservation (“Department”) issued certain permits to us to expand the landfill owned and operated by Hakes C&amp;D Disposal Inc. in the Town of Campbell, Steuben County, New York (“Hakes Landfill”). The permits authorize approximately five years of expansion capacity at the Hakes Landfill. The authorizations issued by the Department followed approvals issued by the Town of Campbell Planning Board (“Planning Board”) in January 2019, and the Town Board of the Town of Campbell (“Town Board”) in March 2019, granting site plan review and a zoning change for the project.</w:t>
      </w:r>
    </w:p>
    <w:p>
      <w:pPr>
        <w:spacing w:after="0" w:line="8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Litigation was commenced by the Sierra Club, several other non-governmental organizations, and several individuals (“the Petitioners”), challenging the approvals issued by the Department, the Planning Board and the Town Board in New York State Supreme Court, Steuben County (the “Litigation”). The challenge was based upon allegations that the agencies issuing these approvals did not follow the requirements of Article 8 of the Environmental Conservation Law of the State of New York, the State Environmental Quality Review Act (“SEQRA”), by failing to address certain radioactivity issues alleged by Petitioners to be associated with certain drilling wastes authorized for disposal at the Hakes Landfill. The Petitioners also made a motion for a preliminary injunction to restrain construction and operation of the expansion cell. We filed a motion to dismiss the Litigation filed by the Petitioners, and on July 31, 2020, the motion to dismiss was granted, which also rendered the preliminary injunction motion moot, and confirmed that the Town of Campbell and the Department reviewed scientific evidence, came to a reasoned decision, and all procedural requirements were met in the issuance of the approvals.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business is subject to a number of risks, including those identified in Item 1A, “Risk Factors” of our Annual Report on Form 10-K for the fiscal year ended December 31, 2019 ("2019 10-K"), that could have a material effect on our business, results of operations, financial condition and/or liquidity and that could cause our operating results to vary significantly from period to period. The novel coronavirus ("COVID-19") pandemic has heightened, and in some cases manifested, certain of the risks we normally face in operating our business, including those disclosed in the 2019 10-K, and the risk factor disclosures in the 2019 10-K are qualified by the information relating to COVID-19 that is described in this Quarterly Report on Form 10-Q, including the risk factor set forth below. There have been no other material changes to the risk factors disclosed in the 2019 10-K. We may disclose additional changes to our risk factors or disclose additional factors from time to time in our future filings with the Securities and Exchange Commission.</w:t>
      </w:r>
    </w:p>
    <w:p>
      <w:pPr>
        <w:spacing w:after="0" w:line="58"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The COVID-19 pandemic and related decline in economic activity is adversely affecting, and will continue to adversely affect, our business, outlook, liquidity and results of operations, and we have experienced and expect to continue to experience reductions in demand for certain of our services.</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COVID-19 pandemic has caused, and will continue to cause, significant economic disruption across our geographic footprint. Although as an essential service provider we have continued our operations, the COVID-19 pandemic negatively impacted our revenue at the end of the first quarter of 2020 and through the second quarter of 2020 as many of our commercial collection customers requested service level decreases and volumes into our landfills declined. The decline in our customers’ demand for our services and reduced volumes into our landfills has had, and is likely to continue to have, an adverse impact on our financial condition, results of operations and cash flows.</w:t>
      </w:r>
    </w:p>
    <w:p>
      <w:pPr>
        <w:spacing w:after="0" w:line="8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are closely monitoring and evaluating the potential impacts that the COVID-19 pandemic may have on our business as well as our customers and employees. Due to the uncertain and evolving nature of economic conditions, we are unable to predict accurately the full extent of the impact and effects that the COVID-19 pandemic will have on our business going forward. We currently expect, however, that the COVID-19 pandemic will continue to negatively impact our financial performance going forward. We expect that the COVID-19 pandemic will negatively impact our business in other ways, including, but not limited to, higher costs associated with providing a safe working environment for our employees, potential employee layoffs or furloughs, employee impacts from illness, supporting a remote administration workforce, community response measures, the inability of customers to continue to pay for services, temporary closures of our facilities or the facilities of our customers, and an increase in borrowing costs.</w:t>
      </w:r>
    </w:p>
    <w:p>
      <w:pPr>
        <w:spacing w:after="0" w:line="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extent of the effects of the COVID-19 pandemic on our business, results of operations and cash flows will ultimately depend on future developments. These include, but are not limited to, the severity, extent and duration of the outbreak; actions taken by national, state and local governments to contain the outbreak or treat its impact; the speed and effectiveness of responses to combat the outbreak; the effect of the changes in hiring levels and remote working arrangements that we and our customers have implemented; and the impact on our contracts with customers and vendors. The COVID-19 pandemic may also materially adversely affect our operating and financial results in a manner that is not currently known to us or that we do not currently consider to present significant risks to our operations.</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200"/>
          </w:cols>
          <w:pgMar w:left="320" w:top="1107" w:right="379" w:bottom="1440" w:gutter="0" w:footer="0" w:header="0"/>
        </w:sectPr>
      </w:pPr>
    </w:p>
    <w:p>
      <w:pPr>
        <w:spacing w:after="0" w:line="275"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13335</wp:posOffset>
            </wp:positionV>
            <wp:extent cx="6686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31.1 +</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31.2 +</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32.1 ++</w:t>
      </w:r>
    </w:p>
    <w:p>
      <w:pPr>
        <w:spacing w:after="0" w:line="26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32.2 ++</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3690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70" w:lineRule="exact"/>
        <w:rPr>
          <w:sz w:val="20"/>
          <w:szCs w:val="20"/>
          <w:color w:val="auto"/>
        </w:rPr>
      </w:pPr>
    </w:p>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Certification of John W. Casella, Principal Executive Officer, pursuant to Section 302 of the Sarbanes – Oxley Act of 2002.</w:t>
        </w:r>
      </w:hyperlink>
    </w:p>
    <w:p>
      <w:pPr>
        <w:spacing w:after="0" w:line="117" w:lineRule="exact"/>
        <w:rPr>
          <w:sz w:val="20"/>
          <w:szCs w:val="20"/>
          <w:color w:val="auto"/>
        </w:rPr>
      </w:pPr>
    </w:p>
    <w:p>
      <w:pPr>
        <w:spacing w:after="0"/>
        <w:rPr>
          <w:rFonts w:ascii="Arial" w:cs="Arial" w:eastAsia="Arial" w:hAnsi="Arial"/>
          <w:sz w:val="17"/>
          <w:szCs w:val="17"/>
          <w:u w:val="single" w:color="auto"/>
          <w:color w:val="0000FF"/>
        </w:rPr>
      </w:pPr>
      <w:hyperlink w:anchor="page54">
        <w:r>
          <w:rPr>
            <w:rFonts w:ascii="Arial" w:cs="Arial" w:eastAsia="Arial" w:hAnsi="Arial"/>
            <w:sz w:val="17"/>
            <w:szCs w:val="17"/>
            <w:u w:val="single" w:color="auto"/>
            <w:color w:val="0000FF"/>
          </w:rPr>
          <w:t>Certification of Edmond R. Coletta, Principal Financial Officer, pursuant to Section 302 of the Sarbanes – Oxley Act of 2002.</w:t>
        </w:r>
      </w:hyperlink>
    </w:p>
    <w:p>
      <w:pPr>
        <w:spacing w:after="0" w:line="129" w:lineRule="exact"/>
        <w:rPr>
          <w:sz w:val="20"/>
          <w:szCs w:val="20"/>
          <w:color w:val="auto"/>
        </w:rPr>
      </w:pPr>
    </w:p>
    <w:p>
      <w:pPr>
        <w:ind w:right="220"/>
        <w:spacing w:after="0" w:line="235" w:lineRule="auto"/>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Certification of Chief Executive Officer pursuant to 18 U.S.C. Section 1350, as adopted pursuant to Section 906 of the Sarbanes- Oxley</w:t>
        </w:r>
      </w:hyperlink>
      <w:r>
        <w:rPr>
          <w:rFonts w:ascii="Arial" w:cs="Arial" w:eastAsia="Arial" w:hAnsi="Arial"/>
          <w:sz w:val="18"/>
          <w:szCs w:val="18"/>
          <w:u w:val="single" w:color="auto"/>
          <w:color w:val="0000FF"/>
        </w:rPr>
        <w:t xml:space="preserve"> </w:t>
      </w:r>
      <w:hyperlink w:anchor="page55">
        <w:r>
          <w:rPr>
            <w:rFonts w:ascii="Arial" w:cs="Arial" w:eastAsia="Arial" w:hAnsi="Arial"/>
            <w:sz w:val="18"/>
            <w:szCs w:val="18"/>
            <w:u w:val="single" w:color="auto"/>
            <w:color w:val="0000FF"/>
          </w:rPr>
          <w:t>Act of 2002.</w:t>
        </w:r>
      </w:hyperlink>
    </w:p>
    <w:p>
      <w:pPr>
        <w:spacing w:after="0" w:line="54" w:lineRule="exact"/>
        <w:rPr>
          <w:sz w:val="20"/>
          <w:szCs w:val="20"/>
          <w:color w:val="auto"/>
        </w:rPr>
      </w:pPr>
    </w:p>
    <w:p>
      <w:pPr>
        <w:ind w:right="280"/>
        <w:spacing w:after="0" w:line="235" w:lineRule="auto"/>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Certification of Chief Financial Officer pursuant to 18 U.S.C. Section 1350, as adopted pursuant to Section 906 of the Sarbanes- Oxley</w:t>
        </w:r>
      </w:hyperlink>
      <w:r>
        <w:rPr>
          <w:rFonts w:ascii="Arial" w:cs="Arial" w:eastAsia="Arial" w:hAnsi="Arial"/>
          <w:sz w:val="18"/>
          <w:szCs w:val="18"/>
          <w:u w:val="single" w:color="auto"/>
          <w:color w:val="0000FF"/>
        </w:rPr>
        <w:t xml:space="preserve"> </w:t>
      </w:r>
      <w:hyperlink w:anchor="page56">
        <w:r>
          <w:rPr>
            <w:rFonts w:ascii="Arial" w:cs="Arial" w:eastAsia="Arial" w:hAnsi="Arial"/>
            <w:sz w:val="18"/>
            <w:szCs w:val="18"/>
            <w:u w:val="single" w:color="auto"/>
            <w:color w:val="0000FF"/>
          </w:rPr>
          <w:t>Act of 2002.</w:t>
        </w:r>
      </w:hyperlink>
    </w:p>
    <w:p>
      <w:pPr>
        <w:spacing w:after="0" w:line="6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62" w:lineRule="exact"/>
        <w:rPr>
          <w:sz w:val="20"/>
          <w:szCs w:val="20"/>
          <w:color w:val="auto"/>
        </w:rPr>
      </w:pPr>
    </w:p>
    <w:p>
      <w:pPr>
        <w:sectPr>
          <w:pgSz w:w="11900" w:h="16838" w:orient="portrait"/>
          <w:cols w:equalWidth="0" w:num="2">
            <w:col w:w="860" w:space="340"/>
            <w:col w:w="10000"/>
          </w:cols>
          <w:pgMar w:left="320" w:top="1107" w:right="379" w:bottom="1440" w:gutter="0" w:footer="0" w:header="0"/>
          <w:type w:val="continuous"/>
        </w:sectPr>
      </w:pPr>
    </w:p>
    <w:tbl>
      <w:tblPr>
        <w:tblLayout w:type="fixed"/>
        <w:tblInd w:w="220" w:type="dxa"/>
        <w:tblCellMar>
          <w:top w:w="0" w:type="dxa"/>
          <w:left w:w="0" w:type="dxa"/>
          <w:bottom w:w="0" w:type="dxa"/>
          <w:right w:w="0" w:type="dxa"/>
        </w:tblCellMar>
      </w:tblPr>
      <w:tr>
        <w:trPr>
          <w:trHeight w:val="23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0"/>
              </w:rPr>
              <w:t>101.SCH</w:t>
            </w:r>
          </w:p>
        </w:tc>
        <w:tc>
          <w:tcPr>
            <w:tcW w:w="10040" w:type="dxa"/>
            <w:vAlign w:val="bottom"/>
          </w:tcPr>
          <w:p>
            <w:pPr>
              <w:ind w:left="160"/>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7"/>
              </w:rPr>
              <w:t>101.CAL</w:t>
            </w:r>
          </w:p>
        </w:tc>
        <w:tc>
          <w:tcPr>
            <w:tcW w:w="10040" w:type="dxa"/>
            <w:vAlign w:val="bottom"/>
          </w:tcPr>
          <w:p>
            <w:pPr>
              <w:ind w:left="160"/>
              <w:spacing w:after="0"/>
              <w:rPr>
                <w:sz w:val="20"/>
                <w:szCs w:val="20"/>
                <w:color w:val="auto"/>
              </w:rPr>
            </w:pPr>
            <w:r>
              <w:rPr>
                <w:rFonts w:ascii="Arial" w:cs="Arial" w:eastAsia="Arial" w:hAnsi="Arial"/>
                <w:sz w:val="18"/>
                <w:szCs w:val="18"/>
                <w:color w:val="auto"/>
              </w:rPr>
              <w:t>Inline XBRL Taxonomy Calculation Linkbase Document.**</w:t>
            </w:r>
          </w:p>
        </w:tc>
      </w:tr>
      <w:tr>
        <w:trPr>
          <w:trHeight w:val="324"/>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8"/>
              </w:rPr>
              <w:t>101.LAB</w:t>
            </w:r>
          </w:p>
        </w:tc>
        <w:tc>
          <w:tcPr>
            <w:tcW w:w="10040" w:type="dxa"/>
            <w:vAlign w:val="bottom"/>
          </w:tcPr>
          <w:p>
            <w:pPr>
              <w:ind w:left="160"/>
              <w:spacing w:after="0"/>
              <w:rPr>
                <w:sz w:val="20"/>
                <w:szCs w:val="20"/>
                <w:color w:val="auto"/>
              </w:rPr>
            </w:pPr>
            <w:r>
              <w:rPr>
                <w:rFonts w:ascii="Arial" w:cs="Arial" w:eastAsia="Arial" w:hAnsi="Arial"/>
                <w:sz w:val="18"/>
                <w:szCs w:val="18"/>
                <w:color w:val="auto"/>
              </w:rPr>
              <w:t>Inline XBRL Taxonomy Label Linkbase Document.**</w:t>
            </w:r>
          </w:p>
        </w:tc>
      </w:tr>
      <w:tr>
        <w:trPr>
          <w:trHeight w:val="324"/>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101.PRE</w:t>
            </w:r>
          </w:p>
        </w:tc>
        <w:tc>
          <w:tcPr>
            <w:tcW w:w="10040" w:type="dxa"/>
            <w:vAlign w:val="bottom"/>
          </w:tcPr>
          <w:p>
            <w:pPr>
              <w:ind w:left="160"/>
              <w:spacing w:after="0"/>
              <w:rPr>
                <w:sz w:val="20"/>
                <w:szCs w:val="20"/>
                <w:color w:val="auto"/>
              </w:rPr>
            </w:pPr>
            <w:r>
              <w:rPr>
                <w:rFonts w:ascii="Arial" w:cs="Arial" w:eastAsia="Arial" w:hAnsi="Arial"/>
                <w:sz w:val="18"/>
                <w:szCs w:val="18"/>
                <w:color w:val="auto"/>
              </w:rPr>
              <w:t>Inline XBRL Taxonomy Presentation Linkbase Document.**</w:t>
            </w:r>
          </w:p>
        </w:tc>
      </w:tr>
      <w:tr>
        <w:trPr>
          <w:trHeight w:val="324"/>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2"/>
              </w:rPr>
              <w:t>101.DEF</w:t>
            </w:r>
          </w:p>
        </w:tc>
        <w:tc>
          <w:tcPr>
            <w:tcW w:w="10040" w:type="dxa"/>
            <w:vAlign w:val="bottom"/>
          </w:tcPr>
          <w:p>
            <w:pPr>
              <w:ind w:left="1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6"/>
              </w:rPr>
              <w:t>104</w:t>
            </w:r>
          </w:p>
        </w:tc>
        <w:tc>
          <w:tcPr>
            <w:tcW w:w="10040" w:type="dxa"/>
            <w:vAlign w:val="bottom"/>
          </w:tcPr>
          <w:p>
            <w:pPr>
              <w:ind w:left="160"/>
              <w:spacing w:after="0"/>
              <w:rPr>
                <w:sz w:val="20"/>
                <w:szCs w:val="20"/>
                <w:color w:val="auto"/>
              </w:rPr>
            </w:pPr>
            <w:r>
              <w:rPr>
                <w:rFonts w:ascii="Arial" w:cs="Arial" w:eastAsia="Arial" w:hAnsi="Arial"/>
                <w:sz w:val="18"/>
                <w:szCs w:val="18"/>
                <w:color w:val="auto"/>
                <w:w w:val="92"/>
              </w:rPr>
              <w:t>Cover Page Interactive Data File (formatted as inline XBRL with applicable taxonomy extension information contained in Exhibits 101.)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0" w:right="40" w:hanging="742"/>
        <w:spacing w:after="0" w:line="285" w:lineRule="auto"/>
        <w:tabs>
          <w:tab w:leader="none" w:pos="12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Submitted Electronically Herewith. Attached as Exhibit 101 to this report are the following formatted in inline XBRL (Extensible Business Reporting Language): (i) Consolidated Balance Sheets as of June 30, 2020 and December 31, 2019, (ii) Consolidated Statements of Operations for the three and six months ended June 30, 2020 and 2019, (iii) Consolidated Statements of Comprehensive Income for the three and six months ended June 30, 2020 and 2019, (iv) Consolidated Statements of Stockholders’ Equity (Deficit) for the six months ended June 30, 2020 and 2019, (v) Consolidated Statements of Cash Flows for the six months ended June 30, 2020 and 2019, and</w:t>
      </w:r>
    </w:p>
    <w:p>
      <w:pPr>
        <w:spacing w:after="0" w:line="1"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8"/>
          <w:szCs w:val="18"/>
          <w:color w:val="auto"/>
        </w:rPr>
        <w:t>(vi) Notes to Consolidated Financial Statements.</w:t>
      </w:r>
    </w:p>
    <w:p>
      <w:pPr>
        <w:spacing w:after="0" w:line="49" w:lineRule="exact"/>
        <w:rPr>
          <w:sz w:val="20"/>
          <w:szCs w:val="20"/>
          <w:color w:val="auto"/>
        </w:rPr>
      </w:pPr>
    </w:p>
    <w:p>
      <w:pPr>
        <w:ind w:left="1200" w:hanging="703"/>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200" w:hanging="753"/>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Casella Waste Systems, Inc.</w:t>
      </w:r>
    </w:p>
    <w:p>
      <w:pPr>
        <w:spacing w:after="0" w:line="333" w:lineRule="exact"/>
        <w:rPr>
          <w:sz w:val="20"/>
          <w:szCs w:val="20"/>
          <w:color w:val="auto"/>
        </w:rPr>
      </w:pPr>
    </w:p>
    <w:p>
      <w:pPr>
        <w:ind w:left="20"/>
        <w:spacing w:after="0"/>
        <w:tabs>
          <w:tab w:leader="none" w:pos="3760" w:val="left"/>
        </w:tabs>
        <w:rPr>
          <w:sz w:val="20"/>
          <w:szCs w:val="20"/>
          <w:color w:val="auto"/>
        </w:rPr>
      </w:pPr>
      <w:r>
        <w:rPr>
          <w:rFonts w:ascii="Arial" w:cs="Arial" w:eastAsia="Arial" w:hAnsi="Arial"/>
          <w:sz w:val="18"/>
          <w:szCs w:val="18"/>
          <w:color w:val="auto"/>
        </w:rPr>
        <w:t>Date: August 4, 2020</w:t>
      </w:r>
      <w:r>
        <w:rPr>
          <w:sz w:val="20"/>
          <w:szCs w:val="20"/>
          <w:color w:val="auto"/>
        </w:rPr>
        <w:tab/>
      </w:r>
      <w:r>
        <w:rPr>
          <w:rFonts w:ascii="Arial" w:cs="Arial" w:eastAsia="Arial" w:hAnsi="Arial"/>
          <w:sz w:val="16"/>
          <w:szCs w:val="16"/>
          <w:color w:val="auto"/>
        </w:rPr>
        <w:t>By: /s/ Christopher B. Heald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31750</wp:posOffset>
            </wp:positionV>
            <wp:extent cx="33515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5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Christopher B. Heald</w:t>
      </w:r>
    </w:p>
    <w:p>
      <w:pPr>
        <w:spacing w:after="0" w:line="6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Vice President and Chief Accounting Officer</w:t>
      </w:r>
    </w:p>
    <w:p>
      <w:pPr>
        <w:spacing w:after="0" w:line="6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(Principal Accounting Officer)</w:t>
      </w:r>
    </w:p>
    <w:p>
      <w:pPr>
        <w:spacing w:after="0" w:line="333" w:lineRule="exact"/>
        <w:rPr>
          <w:sz w:val="20"/>
          <w:szCs w:val="20"/>
          <w:color w:val="auto"/>
        </w:rPr>
      </w:pPr>
    </w:p>
    <w:p>
      <w:pPr>
        <w:ind w:left="20"/>
        <w:spacing w:after="0"/>
        <w:tabs>
          <w:tab w:leader="none" w:pos="3760" w:val="left"/>
        </w:tabs>
        <w:rPr>
          <w:sz w:val="20"/>
          <w:szCs w:val="20"/>
          <w:color w:val="auto"/>
        </w:rPr>
      </w:pPr>
      <w:r>
        <w:rPr>
          <w:rFonts w:ascii="Arial" w:cs="Arial" w:eastAsia="Arial" w:hAnsi="Arial"/>
          <w:sz w:val="18"/>
          <w:szCs w:val="18"/>
          <w:color w:val="auto"/>
        </w:rPr>
        <w:t>Date: August 4, 2020</w:t>
      </w:r>
      <w:r>
        <w:rPr>
          <w:sz w:val="20"/>
          <w:szCs w:val="20"/>
          <w:color w:val="auto"/>
        </w:rPr>
        <w:tab/>
      </w:r>
      <w:r>
        <w:rPr>
          <w:rFonts w:ascii="Arial" w:cs="Arial" w:eastAsia="Arial" w:hAnsi="Arial"/>
          <w:sz w:val="16"/>
          <w:szCs w:val="16"/>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31750</wp:posOffset>
            </wp:positionV>
            <wp:extent cx="33515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Edmond R. Coletta</w:t>
      </w:r>
    </w:p>
    <w:p>
      <w:pPr>
        <w:spacing w:after="0" w:line="6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00"/>
          </w:cols>
          <w:pgMar w:left="320" w:top="110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00"/>
          </w:cols>
          <w:pgMar w:left="320" w:top="1107" w:right="37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117" w:lineRule="exact"/>
        <w:rPr>
          <w:sz w:val="20"/>
          <w:szCs w:val="20"/>
          <w:color w:val="auto"/>
        </w:rPr>
      </w:pPr>
    </w:p>
    <w:p>
      <w:pPr>
        <w:ind w:left="660" w:hanging="247"/>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17" w:lineRule="exact"/>
        <w:rPr>
          <w:rFonts w:ascii="Arial" w:cs="Arial" w:eastAsia="Arial" w:hAnsi="Arial"/>
          <w:sz w:val="18"/>
          <w:szCs w:val="18"/>
          <w:color w:val="auto"/>
        </w:rPr>
      </w:pPr>
    </w:p>
    <w:p>
      <w:pPr>
        <w:ind w:left="420" w:right="120" w:hanging="7"/>
        <w:spacing w:after="0" w:line="263" w:lineRule="auto"/>
        <w:tabs>
          <w:tab w:leader="none" w:pos="663"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20" w:right="80" w:hanging="7"/>
        <w:spacing w:after="0" w:line="308" w:lineRule="auto"/>
        <w:tabs>
          <w:tab w:leader="none" w:pos="663"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20" w:right="300" w:hanging="7"/>
        <w:spacing w:after="0" w:line="263" w:lineRule="auto"/>
        <w:tabs>
          <w:tab w:leader="none" w:pos="66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20" w:firstLine="479"/>
        <w:spacing w:after="0" w:line="263" w:lineRule="auto"/>
        <w:tabs>
          <w:tab w:leader="none" w:pos="1302"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140" w:firstLine="479"/>
        <w:spacing w:after="0" w:line="263" w:lineRule="auto"/>
        <w:tabs>
          <w:tab w:leader="none" w:pos="129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240" w:firstLine="479"/>
        <w:spacing w:after="0" w:line="342" w:lineRule="auto"/>
        <w:tabs>
          <w:tab w:leader="none" w:pos="1302"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20" w:firstLine="479"/>
        <w:spacing w:after="0" w:line="263" w:lineRule="auto"/>
        <w:tabs>
          <w:tab w:leader="none" w:pos="129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20" w:hanging="7"/>
        <w:spacing w:after="0" w:line="308" w:lineRule="auto"/>
        <w:tabs>
          <w:tab w:leader="none" w:pos="663"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60" w:firstLine="479"/>
        <w:spacing w:after="0" w:line="308" w:lineRule="auto"/>
        <w:tabs>
          <w:tab w:leader="none" w:pos="1302"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160" w:firstLine="479"/>
        <w:spacing w:after="0" w:line="277" w:lineRule="auto"/>
        <w:tabs>
          <w:tab w:leader="none" w:pos="1299"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August 4, 2020</w:t>
      </w:r>
      <w:r>
        <w:rPr>
          <w:sz w:val="20"/>
          <w:szCs w:val="20"/>
          <w:color w:val="auto"/>
        </w:rPr>
        <w:tab/>
      </w:r>
      <w:r>
        <w:rPr>
          <w:rFonts w:ascii="Arial" w:cs="Arial" w:eastAsia="Arial" w:hAnsi="Arial"/>
          <w:sz w:val="16"/>
          <w:szCs w:val="16"/>
          <w:color w:val="auto"/>
        </w:rPr>
        <w:t>By: /s/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28371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W. Casella</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117" w:lineRule="exact"/>
        <w:rPr>
          <w:sz w:val="20"/>
          <w:szCs w:val="20"/>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17" w:lineRule="exact"/>
        <w:rPr>
          <w:rFonts w:ascii="Arial" w:cs="Arial" w:eastAsia="Arial" w:hAnsi="Arial"/>
          <w:sz w:val="18"/>
          <w:szCs w:val="18"/>
          <w:color w:val="auto"/>
        </w:rPr>
      </w:pPr>
    </w:p>
    <w:p>
      <w:pPr>
        <w:ind w:left="420" w:right="120" w:hanging="7"/>
        <w:spacing w:after="0" w:line="263" w:lineRule="auto"/>
        <w:tabs>
          <w:tab w:leader="none" w:pos="6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20" w:right="80" w:hanging="7"/>
        <w:spacing w:after="0" w:line="308" w:lineRule="auto"/>
        <w:tabs>
          <w:tab w:leader="none" w:pos="663"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20" w:right="300" w:hanging="7"/>
        <w:spacing w:after="0" w:line="263" w:lineRule="auto"/>
        <w:tabs>
          <w:tab w:leader="none" w:pos="6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20" w:firstLine="479"/>
        <w:spacing w:after="0" w:line="263" w:lineRule="auto"/>
        <w:tabs>
          <w:tab w:leader="none" w:pos="1302"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140" w:firstLine="479"/>
        <w:spacing w:after="0" w:line="263" w:lineRule="auto"/>
        <w:tabs>
          <w:tab w:leader="none" w:pos="1299"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240" w:firstLine="479"/>
        <w:spacing w:after="0" w:line="342" w:lineRule="auto"/>
        <w:tabs>
          <w:tab w:leader="none" w:pos="1302"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20" w:firstLine="479"/>
        <w:spacing w:after="0" w:line="263" w:lineRule="auto"/>
        <w:tabs>
          <w:tab w:leader="none" w:pos="1299"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20" w:hanging="7"/>
        <w:spacing w:after="0" w:line="308" w:lineRule="auto"/>
        <w:tabs>
          <w:tab w:leader="none" w:pos="66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60" w:firstLine="479"/>
        <w:spacing w:after="0" w:line="308" w:lineRule="auto"/>
        <w:tabs>
          <w:tab w:leader="none" w:pos="1302"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160" w:firstLine="479"/>
        <w:spacing w:after="0" w:line="277" w:lineRule="auto"/>
        <w:tabs>
          <w:tab w:leader="none" w:pos="1299"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tabs>
          <w:tab w:leader="none" w:pos="4560" w:val="left"/>
        </w:tabs>
        <w:rPr>
          <w:sz w:val="20"/>
          <w:szCs w:val="20"/>
          <w:color w:val="auto"/>
        </w:rPr>
      </w:pPr>
      <w:r>
        <w:rPr>
          <w:rFonts w:ascii="Arial" w:cs="Arial" w:eastAsia="Arial" w:hAnsi="Arial"/>
          <w:sz w:val="18"/>
          <w:szCs w:val="18"/>
          <w:color w:val="auto"/>
        </w:rPr>
        <w:t>Date: August 4, 2020</w:t>
      </w:r>
      <w:r>
        <w:rPr>
          <w:sz w:val="20"/>
          <w:szCs w:val="20"/>
          <w:color w:val="auto"/>
        </w:rPr>
        <w:tab/>
      </w:r>
      <w:r>
        <w:rPr>
          <w:rFonts w:ascii="Arial" w:cs="Arial" w:eastAsia="Arial" w:hAnsi="Arial"/>
          <w:sz w:val="16"/>
          <w:szCs w:val="16"/>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31750</wp:posOffset>
            </wp:positionV>
            <wp:extent cx="32232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Edmond R. Coletta</w:t>
      </w:r>
    </w:p>
    <w:p>
      <w:pPr>
        <w:spacing w:after="0" w:line="63"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63"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June 30, 2020 as filed with the Securities and Exchange Commission on the date hereof (“Report”), the undersigned, John W. Casella, Chairman and Chief Executive Officer, hereby certifies, pursuant to 18 U.S.C. Section 1350, that, to his knowledge:</w:t>
      </w:r>
    </w:p>
    <w:p>
      <w:pPr>
        <w:spacing w:after="0" w:line="184" w:lineRule="exact"/>
        <w:rPr>
          <w:sz w:val="20"/>
          <w:szCs w:val="20"/>
          <w:color w:val="auto"/>
        </w:rPr>
      </w:pPr>
    </w:p>
    <w:p>
      <w:pPr>
        <w:ind w:left="640" w:hanging="227"/>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227"/>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August 4, 2020</w:t>
      </w:r>
      <w:r>
        <w:rPr>
          <w:sz w:val="20"/>
          <w:szCs w:val="20"/>
          <w:color w:val="auto"/>
        </w:rPr>
        <w:tab/>
      </w:r>
      <w:r>
        <w:rPr>
          <w:rFonts w:ascii="Arial" w:cs="Arial" w:eastAsia="Arial" w:hAnsi="Arial"/>
          <w:sz w:val="16"/>
          <w:szCs w:val="16"/>
          <w:color w:val="auto"/>
        </w:rPr>
        <w:t>By: /s/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2837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June 30, 2020 as filed with the Securities and Exchange Commission on the date hereof (“Report”), the undersigned, Edmond R. Coletta, Senior Vice President and Chief Financial Officer, hereby certifies, pursuant to 18 U.S.C. Section 1350, that, to his knowledge:</w:t>
      </w:r>
    </w:p>
    <w:p>
      <w:pPr>
        <w:spacing w:after="0" w:line="184" w:lineRule="exact"/>
        <w:rPr>
          <w:sz w:val="20"/>
          <w:szCs w:val="20"/>
          <w:color w:val="auto"/>
        </w:rPr>
      </w:pPr>
    </w:p>
    <w:p>
      <w:pPr>
        <w:ind w:left="640" w:hanging="227"/>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227"/>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260" w:val="left"/>
        </w:tabs>
        <w:rPr>
          <w:sz w:val="20"/>
          <w:szCs w:val="20"/>
          <w:color w:val="auto"/>
        </w:rPr>
      </w:pPr>
      <w:r>
        <w:rPr>
          <w:rFonts w:ascii="Arial" w:cs="Arial" w:eastAsia="Arial" w:hAnsi="Arial"/>
          <w:sz w:val="18"/>
          <w:szCs w:val="18"/>
          <w:color w:val="auto"/>
        </w:rPr>
        <w:t>Date: August 4, 2020</w:t>
      </w:r>
      <w:r>
        <w:rPr>
          <w:sz w:val="20"/>
          <w:szCs w:val="20"/>
          <w:color w:val="auto"/>
        </w:rPr>
        <w:tab/>
      </w:r>
      <w:r>
        <w:rPr>
          <w:rFonts w:ascii="Arial" w:cs="Arial" w:eastAsia="Arial" w:hAnsi="Arial"/>
          <w:sz w:val="16"/>
          <w:szCs w:val="16"/>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31750</wp:posOffset>
            </wp:positionV>
            <wp:extent cx="2871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0"/>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decimal"/>
      <w:start w:val="13"/>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lvl w:ilvl="1">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lvl w:ilvl="1">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2020-08-04T15:50:53Z</dcterms:created>
  <dcterms:modified xsi:type="dcterms:W3CDTF">2020-08-04T15:50:53Z</dcterms:modified>
</cp:coreProperties>
</file>