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2059940</wp:posOffset>
            </wp:positionH>
            <wp:positionV relativeFrom="page">
              <wp:posOffset>517525</wp:posOffset>
            </wp:positionV>
            <wp:extent cx="4243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page">
              <wp:posOffset>2059940</wp:posOffset>
            </wp:positionH>
            <wp:positionV relativeFrom="page">
              <wp:posOffset>483235</wp:posOffset>
            </wp:positionV>
            <wp:extent cx="4243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4307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31115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83820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00" w:right="340" w:hanging="374"/>
        <w:spacing w:after="0" w:line="235" w:lineRule="auto"/>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400" w:right="320" w:hanging="374"/>
        <w:spacing w:after="0" w:line="235" w:lineRule="auto"/>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34290</wp:posOffset>
            </wp:positionV>
            <wp:extent cx="2777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56515</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4" w:lineRule="exact"/>
        <w:rPr>
          <w:sz w:val="24"/>
          <w:szCs w:val="24"/>
          <w:color w:val="auto"/>
        </w:rPr>
      </w:pPr>
    </w:p>
    <w:tbl>
      <w:tblPr>
        <w:tblLayout w:type="fixed"/>
        <w:tblInd w:w="2760" w:type="dxa"/>
        <w:tblCellMar>
          <w:top w:w="0" w:type="dxa"/>
          <w:left w:w="0" w:type="dxa"/>
          <w:bottom w:w="0" w:type="dxa"/>
          <w:right w:w="0" w:type="dxa"/>
        </w:tblCellMar>
      </w:tblPr>
      <w:tr>
        <w:trPr>
          <w:trHeight w:val="186"/>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Delaware</w:t>
            </w:r>
          </w:p>
        </w:tc>
        <w:tc>
          <w:tcPr>
            <w:tcW w:w="1900" w:type="dxa"/>
            <w:vAlign w:val="bottom"/>
          </w:tcPr>
          <w:p>
            <w:pPr>
              <w:jc w:val="center"/>
              <w:ind w:left="728"/>
              <w:spacing w:after="0"/>
              <w:rPr>
                <w:sz w:val="20"/>
                <w:szCs w:val="20"/>
                <w:color w:val="auto"/>
              </w:rPr>
            </w:pPr>
            <w:r>
              <w:rPr>
                <w:rFonts w:ascii="Arial" w:cs="Arial" w:eastAsia="Arial" w:hAnsi="Arial"/>
                <w:sz w:val="14"/>
                <w:szCs w:val="14"/>
                <w:b w:val="1"/>
                <w:bCs w:val="1"/>
                <w:color w:val="auto"/>
                <w:w w:val="93"/>
              </w:rPr>
              <w:t>03-0338873</w:t>
            </w:r>
          </w:p>
        </w:tc>
      </w:tr>
      <w:tr>
        <w:trPr>
          <w:trHeight w:val="161"/>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3"/>
              </w:rPr>
              <w:t>(State or other jurisdiction of</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4"/>
              </w:rPr>
              <w:t>incorporation or organization)</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4"/>
              </w:rPr>
              <w:t>Identification No.)</w:t>
            </w:r>
          </w:p>
        </w:tc>
      </w:tr>
      <w:tr>
        <w:trPr>
          <w:trHeight w:val="355"/>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5"/>
              </w:rPr>
              <w:t>25 Greens Hill Lane,</w:t>
            </w:r>
          </w:p>
        </w:tc>
        <w:tc>
          <w:tcPr>
            <w:tcW w:w="1900" w:type="dxa"/>
            <w:vAlign w:val="bottom"/>
          </w:tcPr>
          <w:p>
            <w:pPr>
              <w:spacing w:after="0"/>
              <w:rPr>
                <w:sz w:val="24"/>
                <w:szCs w:val="24"/>
                <w:color w:val="auto"/>
              </w:rPr>
            </w:pPr>
          </w:p>
        </w:tc>
      </w:tr>
      <w:tr>
        <w:trPr>
          <w:trHeight w:val="203"/>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Rutland, Vermont</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2"/>
              </w:rPr>
              <w:t>05701</w:t>
            </w:r>
          </w:p>
        </w:tc>
      </w:tr>
      <w:tr>
        <w:trPr>
          <w:trHeight w:val="203"/>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8"/>
              </w:rPr>
              <w:t>(Zip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68580</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05"/>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Symbol(s)</w:t>
            </w:r>
          </w:p>
        </w:tc>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87"/>
        </w:trPr>
        <w:tc>
          <w:tcPr>
            <w:tcW w:w="3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$0.01 par value per share</w:t>
            </w:r>
          </w:p>
        </w:tc>
        <w:tc>
          <w:tcPr>
            <w:tcW w:w="100" w:type="dxa"/>
            <w:vAlign w:val="bottom"/>
          </w:tcPr>
          <w:p>
            <w:pPr>
              <w:spacing w:after="0"/>
              <w:rPr>
                <w:sz w:val="15"/>
                <w:szCs w:val="15"/>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CWST</w:t>
            </w: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97"/>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c>
          <w:tcPr>
            <w:tcW w:w="0" w:type="dxa"/>
            <w:vAlign w:val="bottom"/>
          </w:tcPr>
          <w:p>
            <w:pPr>
              <w:spacing w:after="0"/>
              <w:rPr>
                <w:sz w:val="1"/>
                <w:szCs w:val="1"/>
                <w:color w:val="auto"/>
              </w:rPr>
            </w:pPr>
          </w:p>
        </w:tc>
      </w:tr>
    </w:tbl>
    <w:p>
      <w:pPr>
        <w:spacing w:after="0" w:line="191" w:lineRule="exact"/>
        <w:rPr>
          <w:sz w:val="24"/>
          <w:szCs w:val="24"/>
          <w:color w:val="auto"/>
        </w:rPr>
      </w:pPr>
    </w:p>
    <w:p>
      <w:pPr>
        <w:spacing w:after="0" w:line="27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 w:lineRule="exact"/>
        <w:rPr>
          <w:sz w:val="24"/>
          <w:szCs w:val="24"/>
          <w:color w:val="auto"/>
        </w:rPr>
      </w:pPr>
    </w:p>
    <w:p>
      <w:pPr>
        <w:ind w:right="140"/>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34"/>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9"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1" w:lineRule="exact"/>
        <w:rPr>
          <w:sz w:val="24"/>
          <w:szCs w:val="24"/>
          <w:color w:val="auto"/>
        </w:rPr>
      </w:pPr>
    </w:p>
    <w:p>
      <w:pPr>
        <w:spacing w:after="0" w:line="184" w:lineRule="exact"/>
        <w:tabs>
          <w:tab w:leader="none" w:pos="7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October 15, 2023:</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6000" w:type="dxa"/>
            <w:vAlign w:val="bottom"/>
          </w:tcPr>
          <w:p>
            <w:pPr>
              <w:ind w:left="1580"/>
              <w:spacing w:after="0"/>
              <w:rPr>
                <w:sz w:val="20"/>
                <w:szCs w:val="20"/>
                <w:color w:val="auto"/>
              </w:rPr>
            </w:pPr>
            <w:r>
              <w:rPr>
                <w:rFonts w:ascii="Arial" w:cs="Arial" w:eastAsia="Arial" w:hAnsi="Arial"/>
                <w:sz w:val="16"/>
                <w:szCs w:val="16"/>
                <w:color w:val="auto"/>
              </w:rPr>
              <w:t>Class A common stock, $0.01 par value per share:</w:t>
            </w:r>
          </w:p>
        </w:tc>
        <w:tc>
          <w:tcPr>
            <w:tcW w:w="5240" w:type="dxa"/>
            <w:vAlign w:val="bottom"/>
          </w:tcPr>
          <w:p>
            <w:pPr>
              <w:jc w:val="right"/>
              <w:ind w:right="3279"/>
              <w:spacing w:after="0"/>
              <w:rPr>
                <w:sz w:val="20"/>
                <w:szCs w:val="20"/>
                <w:color w:val="auto"/>
              </w:rPr>
            </w:pPr>
            <w:r>
              <w:rPr>
                <w:rFonts w:ascii="Arial" w:cs="Arial" w:eastAsia="Arial" w:hAnsi="Arial"/>
                <w:sz w:val="16"/>
                <w:szCs w:val="16"/>
                <w:color w:val="auto"/>
              </w:rPr>
              <w:t>56,994,524</w:t>
            </w:r>
          </w:p>
        </w:tc>
      </w:tr>
      <w:tr>
        <w:trPr>
          <w:trHeight w:val="216"/>
        </w:trPr>
        <w:tc>
          <w:tcPr>
            <w:tcW w:w="6000" w:type="dxa"/>
            <w:vAlign w:val="bottom"/>
          </w:tcPr>
          <w:p>
            <w:pPr>
              <w:ind w:left="1600"/>
              <w:spacing w:after="0"/>
              <w:rPr>
                <w:sz w:val="20"/>
                <w:szCs w:val="20"/>
                <w:color w:val="auto"/>
              </w:rPr>
            </w:pPr>
            <w:r>
              <w:rPr>
                <w:rFonts w:ascii="Arial" w:cs="Arial" w:eastAsia="Arial" w:hAnsi="Arial"/>
                <w:sz w:val="16"/>
                <w:szCs w:val="16"/>
                <w:color w:val="auto"/>
              </w:rPr>
              <w:t>Class B common stock, $0.01 par value per share:</w:t>
            </w:r>
          </w:p>
        </w:tc>
        <w:tc>
          <w:tcPr>
            <w:tcW w:w="5240" w:type="dxa"/>
            <w:vAlign w:val="bottom"/>
          </w:tcPr>
          <w:p>
            <w:pPr>
              <w:jc w:val="right"/>
              <w:ind w:right="3279"/>
              <w:spacing w:after="0"/>
              <w:rPr>
                <w:sz w:val="20"/>
                <w:szCs w:val="20"/>
                <w:color w:val="auto"/>
              </w:rPr>
            </w:pPr>
            <w:r>
              <w:rPr>
                <w:rFonts w:ascii="Arial" w:cs="Arial" w:eastAsia="Arial" w:hAnsi="Arial"/>
                <w:sz w:val="16"/>
                <w:szCs w:val="16"/>
                <w:color w:val="auto"/>
              </w:rPr>
              <w:t>988,200</w:t>
            </w:r>
          </w:p>
        </w:tc>
      </w:tr>
      <w:tr>
        <w:trPr>
          <w:trHeight w:val="128"/>
        </w:trPr>
        <w:tc>
          <w:tcPr>
            <w:tcW w:w="6000" w:type="dxa"/>
            <w:vAlign w:val="bottom"/>
            <w:tcBorders>
              <w:bottom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34"/>
        </w:trPr>
        <w:tc>
          <w:tcPr>
            <w:tcW w:w="60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675"/>
        </w:trPr>
        <w:tc>
          <w:tcPr>
            <w:tcW w:w="60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19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3"/>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8"/>
        </w:trPr>
        <w:tc>
          <w:tcPr>
            <w:tcW w:w="824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71,152</w:t>
            </w: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Accounts receivable, net of allowance for credit losses of $3,703 and $3,016, respectively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140,332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100,886</w:t>
            </w: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Refundable income taxes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15,182</w:t>
            </w: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13,472</w:t>
            </w:r>
          </w:p>
        </w:tc>
      </w:tr>
      <w:tr>
        <w:trPr>
          <w:trHeight w:val="230"/>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6,787</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207,479</w:t>
            </w:r>
          </w:p>
        </w:tc>
      </w:tr>
      <w:tr>
        <w:trPr>
          <w:trHeight w:val="176"/>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1"/>
              </w:rPr>
              <w:t>Property, plant and equipment, net of accumulated depreciation and amortization of $1,136,955 and $1,064,756,</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935,402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720,550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92,063</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737,150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274,458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Restricted cash and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22,903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27,112</w:t>
            </w: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2,498,015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1,449,215</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19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8"/>
        </w:trPr>
        <w:tc>
          <w:tcPr>
            <w:tcW w:w="824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maturities of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74,203</w:t>
            </w: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Accrued payroll and related expenses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23,556</w:t>
            </w: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3,742</w:t>
            </w: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accrued final capping, closure and post-closure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w:t>
            </w:r>
          </w:p>
        </w:tc>
      </w:tr>
      <w:tr>
        <w:trPr>
          <w:trHeight w:val="230"/>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46,237</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1,012,169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585,015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Accrued final capping, closure and post-closure costs, less current portion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104,401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102,642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28,276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5"/>
        </w:trPr>
        <w:tc>
          <w:tcPr>
            <w:tcW w:w="82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4"/>
              </w:rPr>
              <w:t>Class A common stock, $0.01 par value per share; 100,000,000 shares authorized; 56,994,000 and</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50,704,000 shares issued and outstanding, respectively</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175"/>
        </w:trPr>
        <w:tc>
          <w:tcPr>
            <w:tcW w:w="8240" w:type="dxa"/>
            <w:vAlign w:val="bottom"/>
          </w:tcPr>
          <w:p>
            <w:pPr>
              <w:ind w:left="780"/>
              <w:spacing w:after="0" w:line="176" w:lineRule="exact"/>
              <w:rPr>
                <w:sz w:val="20"/>
                <w:szCs w:val="20"/>
                <w:color w:val="auto"/>
              </w:rPr>
            </w:pPr>
            <w:r>
              <w:rPr>
                <w:rFonts w:ascii="Arial" w:cs="Arial" w:eastAsia="Arial" w:hAnsi="Arial"/>
                <w:sz w:val="18"/>
                <w:szCs w:val="18"/>
                <w:color w:val="auto"/>
                <w:w w:val="89"/>
              </w:rPr>
              <w:t>Class B common stock, $0.01 par value per share; 1,000,000 shares authorized; 988,000 shares issued</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780"/>
              <w:spacing w:after="0"/>
              <w:rPr>
                <w:sz w:val="20"/>
                <w:szCs w:val="20"/>
                <w:color w:val="auto"/>
              </w:rPr>
            </w:pPr>
            <w:r>
              <w:rPr>
                <w:rFonts w:ascii="Arial" w:cs="Arial" w:eastAsia="Arial" w:hAnsi="Arial"/>
                <w:sz w:val="18"/>
                <w:szCs w:val="18"/>
                <w:color w:val="auto"/>
              </w:rPr>
              <w:t>and outstanding, respectively; 10 votes per share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661,761</w:t>
            </w:r>
          </w:p>
        </w:tc>
      </w:tr>
      <w:tr>
        <w:trPr>
          <w:trHeight w:val="230"/>
        </w:trPr>
        <w:tc>
          <w:tcPr>
            <w:tcW w:w="8240" w:type="dxa"/>
            <w:vAlign w:val="bottom"/>
          </w:tcPr>
          <w:p>
            <w:pPr>
              <w:ind w:left="7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(144,710)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(171,920)</w:t>
            </w: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Accumulated other comprehensive income, net of tax</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r>
      <w:tr>
        <w:trPr>
          <w:trHeight w:val="22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497,900</w:t>
            </w: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1,449,215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50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812,962</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operations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538,779</w:t>
            </w: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Arial" w:cs="Arial" w:eastAsia="Arial" w:hAnsi="Arial"/>
                <w:sz w:val="18"/>
                <w:szCs w:val="18"/>
                <w:color w:val="auto"/>
              </w:rPr>
              <w:t>General and administration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112,721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97,702</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93,106</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Arial" w:cs="Arial" w:eastAsia="Arial" w:hAnsi="Arial"/>
                <w:sz w:val="18"/>
                <w:szCs w:val="18"/>
                <w:color w:val="auto"/>
              </w:rPr>
              <w:t>Expense from acquisition activities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Southbridge Landfill closure charge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Arial" w:cs="Arial" w:eastAsia="Arial" w:hAnsi="Arial"/>
                <w:sz w:val="18"/>
                <w:szCs w:val="18"/>
                <w:color w:val="auto"/>
              </w:rPr>
              <w:t>Legal settlement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Environmental remediation charge</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318,547</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258,980</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837,908</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734,787</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78,175</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17,078</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termination of bridge financing</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14,840</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63,335</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18,172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22,672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27,210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44,658</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share attributable to common stockholders: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54,228</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51,604</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tcPr>
          <w:p>
            <w:pPr>
              <w:ind w:left="340"/>
              <w:spacing w:after="0" w:line="203" w:lineRule="exact"/>
              <w:rPr>
                <w:sz w:val="20"/>
                <w:szCs w:val="20"/>
                <w:color w:val="auto"/>
              </w:rPr>
            </w:pPr>
            <w:r>
              <w:rPr>
                <w:rFonts w:ascii="Arial" w:cs="Arial" w:eastAsia="Arial" w:hAnsi="Arial"/>
                <w:sz w:val="18"/>
                <w:szCs w:val="18"/>
                <w:color w:val="auto"/>
              </w:rPr>
              <w:t>Diluted earnings per common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92"/>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2022</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18,172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44,658</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 before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activity: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200" w:type="dxa"/>
            <w:vAlign w:val="bottom"/>
          </w:tcPr>
          <w:p>
            <w:pPr>
              <w:ind w:left="560"/>
              <w:spacing w:after="0"/>
              <w:rPr>
                <w:sz w:val="20"/>
                <w:szCs w:val="20"/>
                <w:color w:val="auto"/>
              </w:rPr>
            </w:pPr>
            <w:r>
              <w:rPr>
                <w:rFonts w:ascii="Arial" w:cs="Arial" w:eastAsia="Arial" w:hAnsi="Arial"/>
                <w:sz w:val="18"/>
                <w:szCs w:val="18"/>
                <w:color w:val="auto"/>
              </w:rPr>
              <w:t>Interest rate swap settlements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(2,224)</w:t>
            </w:r>
          </w:p>
        </w:tc>
      </w:tr>
      <w:tr>
        <w:trPr>
          <w:trHeight w:val="175"/>
        </w:trPr>
        <w:tc>
          <w:tcPr>
            <w:tcW w:w="52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Interest rate swap (income) loss reclassified into interest</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5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expense</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(1,805)</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r>
      <w:tr>
        <w:trPr>
          <w:trHeight w:val="175"/>
        </w:trPr>
        <w:tc>
          <w:tcPr>
            <w:tcW w:w="5200" w:type="dxa"/>
            <w:vAlign w:val="bottom"/>
          </w:tcPr>
          <w:p>
            <w:pPr>
              <w:ind w:left="560"/>
              <w:spacing w:after="0" w:line="176" w:lineRule="exact"/>
              <w:rPr>
                <w:sz w:val="20"/>
                <w:szCs w:val="20"/>
                <w:color w:val="auto"/>
              </w:rPr>
            </w:pPr>
            <w:r>
              <w:rPr>
                <w:rFonts w:ascii="Arial" w:cs="Arial" w:eastAsia="Arial" w:hAnsi="Arial"/>
                <w:sz w:val="18"/>
                <w:szCs w:val="18"/>
                <w:color w:val="auto"/>
              </w:rPr>
              <w:t>Unrealized gain resulting from changes in fair value of</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derivative instruments</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17,362</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tax</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17,274</w:t>
            </w:r>
          </w:p>
        </w:tc>
      </w:tr>
      <w:tr>
        <w:trPr>
          <w:trHeight w:val="175"/>
        </w:trPr>
        <w:tc>
          <w:tcPr>
            <w:tcW w:w="5200" w:type="dxa"/>
            <w:vAlign w:val="bottom"/>
          </w:tcPr>
          <w:p>
            <w:pPr>
              <w:ind w:left="360"/>
              <w:spacing w:after="0" w:line="176" w:lineRule="exact"/>
              <w:rPr>
                <w:sz w:val="20"/>
                <w:szCs w:val="20"/>
                <w:color w:val="auto"/>
              </w:rPr>
            </w:pPr>
            <w:r>
              <w:rPr>
                <w:rFonts w:ascii="Arial" w:cs="Arial" w:eastAsia="Arial" w:hAnsi="Arial"/>
                <w:sz w:val="18"/>
                <w:szCs w:val="18"/>
                <w:color w:val="auto"/>
                <w:w w:val="99"/>
              </w:rPr>
              <w:t>Income tax provision related to items of other comprehensive</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13,033</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20,044</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26,582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57,691</w:t>
            </w:r>
          </w:p>
        </w:tc>
      </w:tr>
      <w:tr>
        <w:trPr>
          <w:trHeight w:val="21"/>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40"/>
              <w:spacing w:after="0"/>
              <w:rPr>
                <w:sz w:val="20"/>
                <w:szCs w:val="20"/>
                <w:color w:val="auto"/>
              </w:rPr>
            </w:pPr>
            <w:r>
              <w:rPr>
                <w:rFonts w:ascii="Arial" w:cs="Arial" w:eastAsia="Arial" w:hAnsi="Arial"/>
                <w:sz w:val="13"/>
                <w:szCs w:val="13"/>
                <w:b w:val="1"/>
                <w:bCs w:val="1"/>
                <w:color w:val="auto"/>
              </w:rPr>
              <w:t>Casella Waste Systems, Inc. Stockholders' 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Class A</w:t>
            </w:r>
          </w:p>
        </w:tc>
        <w:tc>
          <w:tcPr>
            <w:tcW w:w="156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5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Accumulated Other</w:t>
            </w:r>
          </w:p>
        </w:tc>
        <w:tc>
          <w:tcPr>
            <w:tcW w:w="0" w:type="dxa"/>
            <w:vAlign w:val="bottom"/>
          </w:tcPr>
          <w:p>
            <w:pPr>
              <w:spacing w:after="0"/>
              <w:rPr>
                <w:sz w:val="1"/>
                <w:szCs w:val="1"/>
                <w:color w:val="auto"/>
              </w:rPr>
            </w:pPr>
          </w:p>
        </w:tc>
      </w:tr>
      <w:tr>
        <w:trPr>
          <w:trHeight w:val="41"/>
        </w:trPr>
        <w:tc>
          <w:tcPr>
            <w:tcW w:w="3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3"/>
            <w:vMerge w:val="restart"/>
          </w:tcPr>
          <w:p>
            <w:pPr>
              <w:jc w:val="right"/>
              <w:ind w:right="140"/>
              <w:spacing w:after="0" w:line="122" w:lineRule="exact"/>
              <w:rPr>
                <w:sz w:val="20"/>
                <w:szCs w:val="20"/>
                <w:color w:val="auto"/>
              </w:rPr>
            </w:pPr>
            <w:r>
              <w:rPr>
                <w:rFonts w:ascii="Arial" w:cs="Arial" w:eastAsia="Arial" w:hAnsi="Arial"/>
                <w:sz w:val="13"/>
                <w:szCs w:val="13"/>
                <w:b w:val="1"/>
                <w:bCs w:val="1"/>
                <w:color w:val="auto"/>
                <w:w w:val="90"/>
              </w:rPr>
              <w:t>Additional Paid-</w:t>
            </w:r>
          </w:p>
        </w:tc>
        <w:tc>
          <w:tcPr>
            <w:tcW w:w="120" w:type="dxa"/>
            <w:vAlign w:val="bottom"/>
          </w:tcPr>
          <w:p>
            <w:pPr>
              <w:spacing w:after="0"/>
              <w:rPr>
                <w:sz w:val="3"/>
                <w:szCs w:val="3"/>
                <w:color w:val="auto"/>
              </w:rPr>
            </w:pPr>
          </w:p>
        </w:tc>
        <w:tc>
          <w:tcPr>
            <w:tcW w:w="1000" w:type="dxa"/>
            <w:vAlign w:val="bottom"/>
            <w:gridSpan w:val="2"/>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3"/>
                <w:szCs w:val="3"/>
                <w:color w:val="auto"/>
              </w:rPr>
            </w:pPr>
          </w:p>
        </w:tc>
        <w:tc>
          <w:tcPr>
            <w:tcW w:w="1040" w:type="dxa"/>
            <w:vAlign w:val="bottom"/>
            <w:vMerge w:val="restart"/>
          </w:tcPr>
          <w:p>
            <w:pPr>
              <w:jc w:val="right"/>
              <w:ind w:right="89"/>
              <w:spacing w:after="0" w:line="122" w:lineRule="exact"/>
              <w:rPr>
                <w:sz w:val="20"/>
                <w:szCs w:val="20"/>
                <w:color w:val="auto"/>
              </w:rPr>
            </w:pPr>
            <w:r>
              <w:rPr>
                <w:rFonts w:ascii="Arial" w:cs="Arial" w:eastAsia="Arial" w:hAnsi="Arial"/>
                <w:sz w:val="13"/>
                <w:szCs w:val="13"/>
                <w:b w:val="1"/>
                <w:bCs w:val="1"/>
                <w:color w:val="auto"/>
                <w:w w:val="88"/>
              </w:rPr>
              <w:t>Comprehensive</w:t>
            </w:r>
          </w:p>
        </w:tc>
        <w:tc>
          <w:tcPr>
            <w:tcW w:w="0" w:type="dxa"/>
            <w:vAlign w:val="bottom"/>
          </w:tcPr>
          <w:p>
            <w:pPr>
              <w:spacing w:after="0"/>
              <w:rPr>
                <w:sz w:val="1"/>
                <w:szCs w:val="1"/>
                <w:color w:val="auto"/>
              </w:rPr>
            </w:pPr>
          </w:p>
        </w:tc>
      </w:tr>
      <w:tr>
        <w:trPr>
          <w:trHeight w:val="61"/>
        </w:trPr>
        <w:tc>
          <w:tcPr>
            <w:tcW w:w="3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040" w:type="dxa"/>
            <w:vAlign w:val="bottom"/>
          </w:tcPr>
          <w:p>
            <w:pPr>
              <w:jc w:val="right"/>
              <w:ind w:right="309"/>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83"/>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2022</w:t>
            </w: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497,900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661,761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(171,920)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7,542</w:t>
            </w:r>
          </w:p>
        </w:tc>
        <w:tc>
          <w:tcPr>
            <w:tcW w:w="0" w:type="dxa"/>
            <w:vAlign w:val="bottom"/>
          </w:tcPr>
          <w:p>
            <w:pPr>
              <w:spacing w:after="0"/>
              <w:rPr>
                <w:sz w:val="1"/>
                <w:szCs w:val="1"/>
                <w:color w:val="auto"/>
              </w:rPr>
            </w:pPr>
          </w:p>
        </w:tc>
      </w:tr>
      <w:tr>
        <w:trPr>
          <w:trHeight w:val="182"/>
        </w:trPr>
        <w:tc>
          <w:tcPr>
            <w:tcW w:w="352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2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1,976</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3,548</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340"/>
              <w:spacing w:after="0"/>
              <w:rPr>
                <w:sz w:val="20"/>
                <w:szCs w:val="20"/>
                <w:color w:val="auto"/>
              </w:rPr>
            </w:pPr>
            <w:r>
              <w:rPr>
                <w:rFonts w:ascii="Arial" w:cs="Arial" w:eastAsia="Arial" w:hAnsi="Arial"/>
                <w:sz w:val="14"/>
                <w:szCs w:val="14"/>
                <w:color w:val="auto"/>
              </w:rPr>
              <w:t>Other comprehensive loss: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rPr>
                <w:sz w:val="20"/>
                <w:szCs w:val="20"/>
                <w:color w:val="auto"/>
              </w:rPr>
            </w:pPr>
            <w:r>
              <w:rPr>
                <w:rFonts w:ascii="Arial" w:cs="Arial" w:eastAsia="Arial" w:hAnsi="Arial"/>
                <w:sz w:val="14"/>
                <w:szCs w:val="14"/>
                <w:color w:val="auto"/>
              </w:rPr>
              <w:t>Balance, March 31, 2023</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501,655</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50,898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663,735</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(168,372)</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5,773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w w:val="97"/>
              </w:rPr>
              <w:t>Issuance of Class A common stock - equity offering, net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496,238</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496,177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stock issuance costs</w:t>
            </w: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2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20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2,366</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5,490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340"/>
              <w:spacing w:after="0"/>
              <w:rPr>
                <w:sz w:val="20"/>
                <w:szCs w:val="20"/>
                <w:color w:val="auto"/>
              </w:rPr>
            </w:pPr>
            <w:r>
              <w:rPr>
                <w:rFonts w:ascii="Arial" w:cs="Arial" w:eastAsia="Arial" w:hAnsi="Arial"/>
                <w:sz w:val="14"/>
                <w:szCs w:val="14"/>
                <w:color w:val="auto"/>
              </w:rPr>
              <w:t>Other comprehensive income: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1,835</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rPr>
                <w:sz w:val="20"/>
                <w:szCs w:val="20"/>
                <w:color w:val="auto"/>
              </w:rPr>
            </w:pPr>
            <w:r>
              <w:rPr>
                <w:rFonts w:ascii="Arial" w:cs="Arial" w:eastAsia="Arial" w:hAnsi="Arial"/>
                <w:sz w:val="14"/>
                <w:szCs w:val="14"/>
                <w:color w:val="auto"/>
              </w:rPr>
              <w:t>Balance, June 30, 2023</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1,008,383</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56,974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1,163,077</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(162,882)</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7,608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3"/>
              </w:rPr>
              <w:t>Issuance of Class A common stock - stock issuance costs</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20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2,358</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18,172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18,172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340"/>
              <w:spacing w:after="0"/>
              <w:rPr>
                <w:sz w:val="20"/>
                <w:szCs w:val="20"/>
                <w:color w:val="auto"/>
              </w:rPr>
            </w:pPr>
            <w:r>
              <w:rPr>
                <w:rFonts w:ascii="Arial" w:cs="Arial" w:eastAsia="Arial" w:hAnsi="Arial"/>
                <w:sz w:val="14"/>
                <w:szCs w:val="14"/>
                <w:color w:val="auto"/>
              </w:rPr>
              <w:t>Other comprehensive income: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1,872</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1,872</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Arial" w:cs="Arial" w:eastAsia="Arial" w:hAnsi="Arial"/>
                <w:sz w:val="14"/>
                <w:szCs w:val="14"/>
                <w:color w:val="auto"/>
              </w:rPr>
              <w:t>Balance, September 30, 2023</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1,030,867</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56,994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1,165,517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(144,710)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9,480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134"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11"/>
          </w:tcPr>
          <w:p>
            <w:pPr>
              <w:ind w:left="340"/>
              <w:spacing w:after="0"/>
              <w:rPr>
                <w:sz w:val="20"/>
                <w:szCs w:val="20"/>
                <w:color w:val="auto"/>
              </w:rPr>
            </w:pPr>
            <w:r>
              <w:rPr>
                <w:rFonts w:ascii="Arial" w:cs="Arial" w:eastAsia="Arial" w:hAnsi="Arial"/>
                <w:sz w:val="13"/>
                <w:szCs w:val="13"/>
                <w:b w:val="1"/>
                <w:bCs w:val="1"/>
                <w:color w:val="auto"/>
              </w:rPr>
              <w:t>Casella Waste Systems, Inc. Stockholders' Equity</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7"/>
              </w:rPr>
              <w:t>Class A</w:t>
            </w:r>
          </w:p>
        </w:tc>
        <w:tc>
          <w:tcPr>
            <w:tcW w:w="156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5"/>
              </w:rPr>
              <w:t>Common Stock</w:t>
            </w:r>
          </w:p>
        </w:tc>
        <w:tc>
          <w:tcPr>
            <w:tcW w:w="156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8"/>
              </w:rPr>
              <w:t>Common Stock</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0" w:type="dxa"/>
            <w:vAlign w:val="bottom"/>
          </w:tcPr>
          <w:p>
            <w:pPr>
              <w:spacing w:after="0"/>
              <w:rPr>
                <w:sz w:val="1"/>
                <w:szCs w:val="1"/>
                <w:color w:val="auto"/>
              </w:rPr>
            </w:pPr>
          </w:p>
        </w:tc>
      </w:tr>
      <w:tr>
        <w:trPr>
          <w:trHeight w:val="41"/>
        </w:trPr>
        <w:tc>
          <w:tcPr>
            <w:tcW w:w="3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3"/>
            <w:vMerge w:val="restart"/>
          </w:tcPr>
          <w:p>
            <w:pPr>
              <w:ind w:left="20"/>
              <w:spacing w:after="0" w:line="122" w:lineRule="exact"/>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3"/>
                <w:szCs w:val="3"/>
                <w:color w:val="auto"/>
              </w:rPr>
            </w:pPr>
          </w:p>
        </w:tc>
        <w:tc>
          <w:tcPr>
            <w:tcW w:w="1000" w:type="dxa"/>
            <w:vAlign w:val="bottom"/>
            <w:gridSpan w:val="2"/>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3"/>
                <w:szCs w:val="3"/>
                <w:color w:val="auto"/>
              </w:rPr>
            </w:pPr>
          </w:p>
        </w:tc>
        <w:tc>
          <w:tcPr>
            <w:tcW w:w="1040" w:type="dxa"/>
            <w:vAlign w:val="bottom"/>
            <w:vMerge w:val="restart"/>
          </w:tcPr>
          <w:p>
            <w:pPr>
              <w:jc w:val="center"/>
              <w:ind w:right="49"/>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5"/>
                <w:szCs w:val="15"/>
                <w:color w:val="auto"/>
              </w:rPr>
            </w:pPr>
          </w:p>
        </w:tc>
        <w:tc>
          <w:tcPr>
            <w:tcW w:w="1040" w:type="dxa"/>
            <w:vAlign w:val="bottom"/>
          </w:tcPr>
          <w:p>
            <w:pPr>
              <w:jc w:val="center"/>
              <w:ind w:right="49"/>
              <w:spacing w:after="0"/>
              <w:rPr>
                <w:sz w:val="20"/>
                <w:szCs w:val="20"/>
                <w:color w:val="auto"/>
              </w:rPr>
            </w:pPr>
            <w:r>
              <w:rPr>
                <w:rFonts w:ascii="Arial" w:cs="Arial" w:eastAsia="Arial" w:hAnsi="Arial"/>
                <w:sz w:val="13"/>
                <w:szCs w:val="13"/>
                <w:b w:val="1"/>
                <w:bCs w:val="1"/>
                <w:color w:val="auto"/>
                <w:w w:val="86"/>
              </w:rPr>
              <w:t>Income (Loss)</w:t>
            </w:r>
          </w:p>
        </w:tc>
        <w:tc>
          <w:tcPr>
            <w:tcW w:w="0" w:type="dxa"/>
            <w:vAlign w:val="bottom"/>
          </w:tcPr>
          <w:p>
            <w:pPr>
              <w:spacing w:after="0"/>
              <w:rPr>
                <w:sz w:val="1"/>
                <w:szCs w:val="1"/>
                <w:color w:val="auto"/>
              </w:rPr>
            </w:pPr>
          </w:p>
        </w:tc>
      </w:tr>
      <w:tr>
        <w:trPr>
          <w:trHeight w:val="183"/>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422,457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652,045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(224,999)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(5,103)</w:t>
            </w:r>
          </w:p>
        </w:tc>
        <w:tc>
          <w:tcPr>
            <w:tcW w:w="0" w:type="dxa"/>
            <w:vAlign w:val="bottom"/>
          </w:tcPr>
          <w:p>
            <w:pPr>
              <w:spacing w:after="0"/>
              <w:rPr>
                <w:sz w:val="1"/>
                <w:szCs w:val="1"/>
                <w:color w:val="auto"/>
              </w:rPr>
            </w:pPr>
          </w:p>
        </w:tc>
      </w:tr>
      <w:tr>
        <w:trPr>
          <w:trHeight w:val="182"/>
        </w:trPr>
        <w:tc>
          <w:tcPr>
            <w:tcW w:w="350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340"/>
              <w:spacing w:after="0"/>
              <w:rPr>
                <w:sz w:val="20"/>
                <w:szCs w:val="20"/>
                <w:color w:val="auto"/>
              </w:rPr>
            </w:pPr>
            <w:r>
              <w:rPr>
                <w:rFonts w:ascii="Arial" w:cs="Arial" w:eastAsia="Arial" w:hAnsi="Arial"/>
                <w:sz w:val="14"/>
                <w:szCs w:val="14"/>
                <w:color w:val="auto"/>
              </w:rPr>
              <w:t>Other comprehensive income:</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6,143</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6,143</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rPr>
                <w:sz w:val="20"/>
                <w:szCs w:val="20"/>
                <w:color w:val="auto"/>
              </w:rPr>
            </w:pPr>
            <w:r>
              <w:rPr>
                <w:rFonts w:ascii="Arial" w:cs="Arial" w:eastAsia="Arial" w:hAnsi="Arial"/>
                <w:sz w:val="14"/>
                <w:szCs w:val="14"/>
                <w:color w:val="auto"/>
              </w:rPr>
              <w:t>Balance, March 31, 2022</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435,050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50,650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654,303</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(220,809)</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Issuances of Class A common stock</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17,796</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comprehensive income:</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560"/>
              <w:spacing w:after="0"/>
              <w:rPr>
                <w:sz w:val="20"/>
                <w:szCs w:val="20"/>
                <w:color w:val="auto"/>
              </w:rPr>
            </w:pPr>
            <w:r>
              <w:rPr>
                <w:rFonts w:ascii="Arial" w:cs="Arial" w:eastAsia="Arial" w:hAnsi="Arial"/>
                <w:sz w:val="14"/>
                <w:szCs w:val="14"/>
                <w:color w:val="auto"/>
              </w:rPr>
              <w:t>Hedging activity</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2,980</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2022</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457,566</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50,690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656,042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(203,013)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4,020</w:t>
            </w:r>
          </w:p>
        </w:tc>
        <w:tc>
          <w:tcPr>
            <w:tcW w:w="0" w:type="dxa"/>
            <w:vAlign w:val="bottom"/>
          </w:tcPr>
          <w:p>
            <w:pPr>
              <w:spacing w:after="0"/>
              <w:rPr>
                <w:sz w:val="1"/>
                <w:szCs w:val="1"/>
                <w:color w:val="auto"/>
              </w:rPr>
            </w:pPr>
          </w:p>
        </w:tc>
      </w:tr>
      <w:tr>
        <w:trPr>
          <w:trHeight w:val="182"/>
        </w:trPr>
        <w:tc>
          <w:tcPr>
            <w:tcW w:w="350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22,672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22,672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340"/>
              <w:spacing w:after="0"/>
              <w:rPr>
                <w:sz w:val="20"/>
                <w:szCs w:val="20"/>
                <w:color w:val="auto"/>
              </w:rPr>
            </w:pPr>
            <w:r>
              <w:rPr>
                <w:rFonts w:ascii="Arial" w:cs="Arial" w:eastAsia="Arial" w:hAnsi="Arial"/>
                <w:sz w:val="14"/>
                <w:szCs w:val="14"/>
                <w:color w:val="auto"/>
              </w:rPr>
              <w:t>Other comprehensive income:</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3,910</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3,910</w:t>
            </w:r>
          </w:p>
        </w:tc>
        <w:tc>
          <w:tcPr>
            <w:tcW w:w="0" w:type="dxa"/>
            <w:vAlign w:val="bottom"/>
          </w:tcPr>
          <w:p>
            <w:pPr>
              <w:spacing w:after="0"/>
              <w:rPr>
                <w:sz w:val="1"/>
                <w:szCs w:val="1"/>
                <w:color w:val="auto"/>
              </w:rPr>
            </w:pPr>
          </w:p>
        </w:tc>
      </w:tr>
      <w:tr>
        <w:trPr>
          <w:trHeight w:val="169"/>
        </w:trPr>
        <w:tc>
          <w:tcPr>
            <w:tcW w:w="3500" w:type="dxa"/>
            <w:vAlign w:val="bottom"/>
          </w:tcPr>
          <w:p>
            <w:pPr>
              <w:ind w:left="20"/>
              <w:spacing w:after="0"/>
              <w:rPr>
                <w:sz w:val="20"/>
                <w:szCs w:val="20"/>
                <w:color w:val="auto"/>
              </w:rPr>
            </w:pPr>
            <w:r>
              <w:rPr>
                <w:rFonts w:ascii="Arial" w:cs="Arial" w:eastAsia="Arial" w:hAnsi="Arial"/>
                <w:sz w:val="14"/>
                <w:szCs w:val="14"/>
                <w:color w:val="auto"/>
              </w:rPr>
              <w:t>Balance, September 30, 2022</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486,559</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50,692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658,453</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(180,341)</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7,930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931"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6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2"/>
        </w:trPr>
        <w:tc>
          <w:tcPr>
            <w:tcW w:w="8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27,210</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44,658</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2"/>
        </w:trPr>
        <w:tc>
          <w:tcPr>
            <w:tcW w:w="82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116,095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93,106</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7,470</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6,018</w:t>
            </w:r>
          </w:p>
        </w:tc>
      </w:tr>
      <w:tr>
        <w:trPr>
          <w:trHeight w:val="182"/>
        </w:trPr>
        <w:tc>
          <w:tcPr>
            <w:tcW w:w="8240" w:type="dxa"/>
            <w:vAlign w:val="bottom"/>
          </w:tcPr>
          <w:p>
            <w:pPr>
              <w:ind w:left="34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1,414</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5,589</w:t>
            </w:r>
          </w:p>
        </w:tc>
      </w:tr>
      <w:tr>
        <w:trPr>
          <w:trHeight w:val="182"/>
        </w:trPr>
        <w:tc>
          <w:tcPr>
            <w:tcW w:w="8240" w:type="dxa"/>
            <w:vAlign w:val="bottom"/>
          </w:tcPr>
          <w:p>
            <w:pPr>
              <w:ind w:left="340"/>
              <w:spacing w:after="0"/>
              <w:rPr>
                <w:sz w:val="20"/>
                <w:szCs w:val="20"/>
                <w:color w:val="auto"/>
              </w:rPr>
            </w:pPr>
            <w:r>
              <w:rPr>
                <w:rFonts w:ascii="Arial" w:cs="Arial" w:eastAsia="Arial" w:hAnsi="Arial"/>
                <w:sz w:val="14"/>
                <w:szCs w:val="14"/>
                <w:color w:val="auto"/>
              </w:rPr>
              <w:t>Operating lease right-of-use assets expense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10,956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10,405</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Disposition of assets, other items and charges, net</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182"/>
        </w:trPr>
        <w:tc>
          <w:tcPr>
            <w:tcW w:w="8240" w:type="dxa"/>
            <w:vAlign w:val="bottom"/>
          </w:tcPr>
          <w:p>
            <w:pPr>
              <w:ind w:left="340"/>
              <w:spacing w:after="0"/>
              <w:rPr>
                <w:sz w:val="20"/>
                <w:szCs w:val="20"/>
                <w:color w:val="auto"/>
              </w:rPr>
            </w:pPr>
            <w:r>
              <w:rPr>
                <w:rFonts w:ascii="Arial" w:cs="Arial" w:eastAsia="Arial" w:hAnsi="Arial"/>
                <w:sz w:val="14"/>
                <w:szCs w:val="14"/>
                <w:color w:val="auto"/>
              </w:rPr>
              <w:t>Loss from termination of bridge financing</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8,191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13,819</w:t>
            </w:r>
          </w:p>
        </w:tc>
      </w:tr>
      <w:tr>
        <w:trPr>
          <w:trHeight w:val="182"/>
        </w:trPr>
        <w:tc>
          <w:tcPr>
            <w:tcW w:w="8240" w:type="dxa"/>
            <w:vAlign w:val="bottom"/>
          </w:tcPr>
          <w:p>
            <w:pPr>
              <w:ind w:left="340"/>
              <w:spacing w:after="0"/>
              <w:rPr>
                <w:sz w:val="20"/>
                <w:szCs w:val="20"/>
                <w:color w:val="auto"/>
              </w:rPr>
            </w:pPr>
            <w:r>
              <w:rPr>
                <w:rFonts w:ascii="Arial" w:cs="Arial" w:eastAsia="Arial" w:hAnsi="Arial"/>
                <w:sz w:val="14"/>
                <w:szCs w:val="14"/>
                <w:color w:val="auto"/>
              </w:rPr>
              <w:t>Changes in assets and liabilities, net of effects of acquisitions and divestitures: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(23,298)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(14,230)</w:t>
            </w:r>
          </w:p>
        </w:tc>
      </w:tr>
      <w:tr>
        <w:trPr>
          <w:trHeight w:val="182"/>
        </w:trPr>
        <w:tc>
          <w:tcPr>
            <w:tcW w:w="8240" w:type="dxa"/>
            <w:vAlign w:val="bottom"/>
          </w:tcPr>
          <w:p>
            <w:pPr>
              <w:ind w:left="660"/>
              <w:spacing w:after="0"/>
              <w:rPr>
                <w:sz w:val="20"/>
                <w:szCs w:val="20"/>
                <w:color w:val="auto"/>
              </w:rPr>
            </w:pPr>
            <w:r>
              <w:rPr>
                <w:rFonts w:ascii="Arial" w:cs="Arial" w:eastAsia="Arial" w:hAnsi="Arial"/>
                <w:sz w:val="14"/>
                <w:szCs w:val="14"/>
                <w:color w:val="auto"/>
              </w:rPr>
              <w:t>Landfill operating lease contract expenditures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(3,336)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(3,336)</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24,568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7,946</w:t>
            </w:r>
          </w:p>
        </w:tc>
      </w:tr>
      <w:tr>
        <w:trPr>
          <w:trHeight w:val="182"/>
        </w:trPr>
        <w:tc>
          <w:tcPr>
            <w:tcW w:w="8240" w:type="dxa"/>
            <w:vAlign w:val="bottom"/>
          </w:tcPr>
          <w:p>
            <w:pPr>
              <w:ind w:left="660"/>
              <w:spacing w:after="0"/>
              <w:rPr>
                <w:sz w:val="20"/>
                <w:szCs w:val="20"/>
                <w:color w:val="auto"/>
              </w:rPr>
            </w:pPr>
            <w:r>
              <w:rPr>
                <w:rFonts w:ascii="Arial" w:cs="Arial" w:eastAsia="Arial" w:hAnsi="Arial"/>
                <w:sz w:val="14"/>
                <w:szCs w:val="14"/>
                <w:color w:val="auto"/>
              </w:rPr>
              <w:t>Prepaid expenses, inventories and other assets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(10,112)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(5,799)</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Accrued expenses, contract liabilities and other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(14,351)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(6,877)</w:t>
            </w:r>
          </w:p>
        </w:tc>
      </w:tr>
      <w:tr>
        <w:trPr>
          <w:trHeight w:val="176"/>
        </w:trPr>
        <w:tc>
          <w:tcPr>
            <w:tcW w:w="82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157,825</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152,431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2"/>
        </w:trPr>
        <w:tc>
          <w:tcPr>
            <w:tcW w:w="8240" w:type="dxa"/>
            <w:vAlign w:val="bottom"/>
          </w:tcPr>
          <w:p>
            <w:pPr>
              <w:ind w:left="34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(847,763)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(73,963)</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Additions to property, plant and equipment</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(90,364)</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(87,667)</w:t>
            </w:r>
          </w:p>
        </w:tc>
      </w:tr>
      <w:tr>
        <w:trPr>
          <w:trHeight w:val="182"/>
        </w:trPr>
        <w:tc>
          <w:tcPr>
            <w:tcW w:w="8240" w:type="dxa"/>
            <w:vAlign w:val="bottom"/>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(937,156)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(161,059)</w:t>
            </w:r>
          </w:p>
        </w:tc>
      </w:tr>
      <w:tr>
        <w:trPr>
          <w:trHeight w:val="162"/>
        </w:trPr>
        <w:tc>
          <w:tcPr>
            <w:tcW w:w="82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Proceeds from debt borrowings</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465,000</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82,200</w:t>
            </w:r>
          </w:p>
        </w:tc>
      </w:tr>
      <w:tr>
        <w:trPr>
          <w:trHeight w:val="182"/>
        </w:trPr>
        <w:tc>
          <w:tcPr>
            <w:tcW w:w="8240" w:type="dxa"/>
            <w:vAlign w:val="bottom"/>
          </w:tcPr>
          <w:p>
            <w:pPr>
              <w:ind w:left="340"/>
              <w:spacing w:after="0"/>
              <w:rPr>
                <w:sz w:val="20"/>
                <w:szCs w:val="20"/>
                <w:color w:val="auto"/>
              </w:rPr>
            </w:pPr>
            <w:r>
              <w:rPr>
                <w:rFonts w:ascii="Arial" w:cs="Arial" w:eastAsia="Arial" w:hAnsi="Arial"/>
                <w:sz w:val="14"/>
                <w:szCs w:val="14"/>
                <w:color w:val="auto"/>
              </w:rPr>
              <w:t>Principal payments on debt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(18,563)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(57,407)</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Payments of debt issuance costs</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(12,759)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(1,232)</w:t>
            </w:r>
          </w:p>
        </w:tc>
      </w:tr>
      <w:tr>
        <w:trPr>
          <w:trHeight w:val="182"/>
        </w:trPr>
        <w:tc>
          <w:tcPr>
            <w:tcW w:w="8240" w:type="dxa"/>
            <w:vAlign w:val="bottom"/>
          </w:tcPr>
          <w:p>
            <w:pPr>
              <w:ind w:left="340"/>
              <w:spacing w:after="0"/>
              <w:rPr>
                <w:sz w:val="20"/>
                <w:szCs w:val="20"/>
                <w:color w:val="auto"/>
              </w:rPr>
            </w:pPr>
            <w:r>
              <w:rPr>
                <w:rFonts w:ascii="Arial" w:cs="Arial" w:eastAsia="Arial" w:hAnsi="Arial"/>
                <w:sz w:val="14"/>
                <w:szCs w:val="14"/>
                <w:color w:val="auto"/>
              </w:rPr>
              <w:t>Payments of contingent consideration</w:t>
            </w:r>
          </w:p>
        </w:tc>
        <w:tc>
          <w:tcPr>
            <w:tcW w:w="32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Proceeds from the exercise of share based awards</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182"/>
        </w:trPr>
        <w:tc>
          <w:tcPr>
            <w:tcW w:w="8240" w:type="dxa"/>
            <w:vAlign w:val="bottom"/>
          </w:tcPr>
          <w:p>
            <w:pPr>
              <w:ind w:left="340"/>
              <w:spacing w:after="0"/>
              <w:rPr>
                <w:sz w:val="20"/>
                <w:szCs w:val="20"/>
                <w:color w:val="auto"/>
              </w:rPr>
            </w:pPr>
            <w:r>
              <w:rPr>
                <w:rFonts w:ascii="Arial" w:cs="Arial" w:eastAsia="Arial" w:hAnsi="Arial"/>
                <w:sz w:val="14"/>
                <w:szCs w:val="14"/>
                <w:color w:val="auto"/>
              </w:rPr>
              <w:t>Proceeds from the public offering of Class A common stock</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496,231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929,998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22,753</w:t>
            </w:r>
          </w:p>
        </w:tc>
      </w:tr>
      <w:tr>
        <w:trPr>
          <w:trHeight w:val="176"/>
        </w:trPr>
        <w:tc>
          <w:tcPr>
            <w:tcW w:w="824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150,667</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14,125</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71,152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33,809</w:t>
            </w:r>
          </w:p>
        </w:tc>
      </w:tr>
      <w:tr>
        <w:trPr>
          <w:trHeight w:val="176"/>
        </w:trPr>
        <w:tc>
          <w:tcPr>
            <w:tcW w:w="82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221,819</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47,934</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9"/>
        </w:trPr>
        <w:tc>
          <w:tcPr>
            <w:tcW w:w="824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3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r>
      <w:tr>
        <w:trPr>
          <w:trHeight w:val="182"/>
        </w:trPr>
        <w:tc>
          <w:tcPr>
            <w:tcW w:w="8240" w:type="dxa"/>
            <w:vAlign w:val="bottom"/>
          </w:tcPr>
          <w:p>
            <w:pPr>
              <w:ind w:left="340"/>
              <w:spacing w:after="0"/>
              <w:rPr>
                <w:sz w:val="20"/>
                <w:szCs w:val="20"/>
                <w:color w:val="auto"/>
              </w:rPr>
            </w:pPr>
            <w:r>
              <w:rPr>
                <w:rFonts w:ascii="Arial" w:cs="Arial" w:eastAsia="Arial" w:hAnsi="Arial"/>
                <w:sz w:val="14"/>
                <w:szCs w:val="14"/>
                <w:color w:val="auto"/>
              </w:rPr>
              <w:t>Cash paid during the period for:</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Cash interest payments</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28,626</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14,750</w:t>
            </w:r>
          </w:p>
        </w:tc>
      </w:tr>
      <w:tr>
        <w:trPr>
          <w:trHeight w:val="182"/>
        </w:trPr>
        <w:tc>
          <w:tcPr>
            <w:tcW w:w="8240" w:type="dxa"/>
            <w:vAlign w:val="bottom"/>
          </w:tcPr>
          <w:p>
            <w:pPr>
              <w:ind w:left="660"/>
              <w:spacing w:after="0"/>
              <w:rPr>
                <w:sz w:val="20"/>
                <w:szCs w:val="20"/>
                <w:color w:val="auto"/>
              </w:rPr>
            </w:pPr>
            <w:r>
              <w:rPr>
                <w:rFonts w:ascii="Arial" w:cs="Arial" w:eastAsia="Arial" w:hAnsi="Arial"/>
                <w:sz w:val="14"/>
                <w:szCs w:val="14"/>
                <w:color w:val="auto"/>
              </w:rPr>
              <w:t>Cash income tax payments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9,689</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2,875</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2"/>
        </w:trPr>
        <w:tc>
          <w:tcPr>
            <w:tcW w:w="8240" w:type="dxa"/>
            <w:vAlign w:val="bottom"/>
          </w:tcPr>
          <w:p>
            <w:pPr>
              <w:ind w:left="660"/>
              <w:spacing w:after="0"/>
              <w:rPr>
                <w:sz w:val="20"/>
                <w:szCs w:val="20"/>
                <w:color w:val="auto"/>
              </w:rPr>
            </w:pPr>
            <w:r>
              <w:rPr>
                <w:rFonts w:ascii="Arial" w:cs="Arial" w:eastAsia="Arial" w:hAnsi="Arial"/>
                <w:sz w:val="14"/>
                <w:szCs w:val="14"/>
                <w:color w:val="auto"/>
              </w:rPr>
              <w:t>Non-current assets obtained through long-term financing obligations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8,053</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9,420</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Right-of-use assets obtained in exchange for operating lease obligations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7,672</w:t>
            </w:r>
          </w:p>
        </w:tc>
      </w:tr>
      <w:tr>
        <w:trPr>
          <w:trHeight w:val="20"/>
        </w:trPr>
        <w:tc>
          <w:tcPr>
            <w:tcW w:w="82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21" w:lineRule="exact"/>
        <w:rPr>
          <w:sz w:val="20"/>
          <w:szCs w:val="20"/>
          <w:color w:val="auto"/>
        </w:rPr>
      </w:pPr>
    </w:p>
    <w:p>
      <w:pPr>
        <w:jc w:val="both"/>
        <w:ind w:right="660"/>
        <w:spacing w:after="0" w:line="311" w:lineRule="auto"/>
        <w:rPr>
          <w:sz w:val="20"/>
          <w:szCs w:val="20"/>
          <w:color w:val="auto"/>
        </w:rPr>
      </w:pPr>
      <w:r>
        <w:rPr>
          <w:rFonts w:ascii="Arial" w:cs="Arial" w:eastAsia="Arial" w:hAnsi="Arial"/>
          <w:sz w:val="16"/>
          <w:szCs w:val="16"/>
          <w:color w:val="auto"/>
        </w:rPr>
        <w:t>Casella Waste Systems, Inc. (“Parent”), a Delaware corporation, and its consolidated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41" w:lineRule="exact"/>
        <w:rPr>
          <w:sz w:val="20"/>
          <w:szCs w:val="20"/>
          <w:color w:val="auto"/>
        </w:rPr>
      </w:pPr>
    </w:p>
    <w:p>
      <w:pPr>
        <w:ind w:right="400"/>
        <w:spacing w:after="0" w:line="272" w:lineRule="auto"/>
        <w:rPr>
          <w:sz w:val="20"/>
          <w:szCs w:val="20"/>
          <w:color w:val="auto"/>
        </w:rPr>
      </w:pPr>
      <w:r>
        <w:rPr>
          <w:rFonts w:ascii="Arial" w:cs="Arial" w:eastAsia="Arial" w:hAnsi="Arial"/>
          <w:sz w:val="17"/>
          <w:szCs w:val="17"/>
          <w:color w:val="auto"/>
        </w:rPr>
        <w:t xml:space="preserve">We provide integrated solid waste services in nine states: Vermont, New Hampshire, New York, Massachusetts, Connecticut, Maine, Pennsylvania, Delaware and Maryland, with our headquarters located in Rutland, Vermont. On June 30, 2023, we acquired the equity interests of four wholly owned subsidiaries of GFL Environmental Inc. ("GFL Subsidiaries"), which are the basis of our newly formed regional operating segment, the Mid-Atlantic region, that expanded our integrated solid waste services into the states of Delaware and Maryland ("GFL Acquisition"). See Note 4,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for further disclosure. Operations under the Mid-Atlantic region commenced on July 1, 2023. The GFL Acquisition was funded from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financing transactions (see Note 7, </w:t>
      </w:r>
      <w:r>
        <w:rPr>
          <w:rFonts w:ascii="Arial" w:cs="Arial" w:eastAsia="Arial" w:hAnsi="Arial"/>
          <w:sz w:val="17"/>
          <w:szCs w:val="17"/>
          <w:i w:val="1"/>
          <w:iCs w:val="1"/>
          <w:color w:val="auto"/>
        </w:rPr>
        <w:t>Debt</w:t>
      </w:r>
      <w:r>
        <w:rPr>
          <w:rFonts w:ascii="Arial" w:cs="Arial" w:eastAsia="Arial" w:hAnsi="Arial"/>
          <w:sz w:val="17"/>
          <w:szCs w:val="17"/>
          <w:color w:val="auto"/>
        </w:rPr>
        <w:t xml:space="preserve"> for further disclosure), the net proceeds from an equity offering completed June 16, 2023 (see Note 9, </w:t>
      </w:r>
      <w:r>
        <w:rPr>
          <w:rFonts w:ascii="Arial" w:cs="Arial" w:eastAsia="Arial" w:hAnsi="Arial"/>
          <w:sz w:val="17"/>
          <w:szCs w:val="17"/>
          <w:i w:val="1"/>
          <w:iCs w:val="1"/>
          <w:color w:val="auto"/>
        </w:rPr>
        <w:t xml:space="preserve">Stockholders’ Equity </w:t>
      </w:r>
      <w:r>
        <w:rPr>
          <w:rFonts w:ascii="Arial" w:cs="Arial" w:eastAsia="Arial" w:hAnsi="Arial"/>
          <w:sz w:val="17"/>
          <w:szCs w:val="17"/>
          <w:color w:val="auto"/>
        </w:rPr>
        <w:t>for further disclosure), and cash on hand.</w:t>
      </w:r>
    </w:p>
    <w:p>
      <w:pPr>
        <w:spacing w:after="0" w:line="6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manage our solid waste operations on a geographic basis through regional operating segments, the Eastern, Western and Mid-Atlantic regions, each of which provides a comprehensive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our Annual Report on Form 10-K for the fiscal year ended December 31, 2022 ("fiscal year 2022"), which was filed with the SEC on February 17, 2023 ("2022 Form 10-K").</w:t>
      </w:r>
    </w:p>
    <w:p>
      <w:pPr>
        <w:spacing w:after="0" w:line="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including normal recurring and nonrecurring adjustments, as applicable, necessary for a fair presentation of the financial position, results of operations and cash flows for the periods presented. The results for the three and nine months ended September 30, 2023 may not be indicative of the results for any other interim period or the entire fiscal year. The consolidated financial statements presented herein should be read in conjunction with our audited consolidated financial statements included in our 2022 Form 10-K.</w:t>
      </w:r>
    </w:p>
    <w:p>
      <w:pPr>
        <w:spacing w:after="0" w:line="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prior period amounts in the consolidated financial statements are conformed to current period presentation. This includes the presentation of certain adjustments to reconcile net income to net cash provided by operating activities, which have been reclassified within cash flows from operating activities.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evaluated subsequent events or transactions that have occurred after the consolidated balance sheet date of September 30, 2023 through the date of filing of the consolidated financial statements with the SEC on this Quarterly Report on Form 10-Q and determined that there have been no material events that have occurred that would require recognition or adjustments to our disclosures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spacing w:after="0"/>
        <w:tabs>
          <w:tab w:leader="none" w:pos="300" w:val="left"/>
        </w:tabs>
        <w:rPr>
          <w:sz w:val="20"/>
          <w:szCs w:val="20"/>
          <w:color w:val="auto"/>
        </w:rPr>
      </w:pPr>
      <w:r>
        <w:rPr>
          <w:rFonts w:ascii="Arial" w:cs="Arial" w:eastAsia="Arial" w:hAnsi="Arial"/>
          <w:sz w:val="18"/>
          <w:szCs w:val="18"/>
          <w:b w:val="1"/>
          <w:bCs w:val="1"/>
          <w:color w:val="auto"/>
        </w:rPr>
        <w:t>2.</w:t>
        <w:tab/>
        <w:t>ACCOUNTING CHANGES</w:t>
      </w:r>
    </w:p>
    <w:p>
      <w:pPr>
        <w:spacing w:after="0" w:line="121" w:lineRule="exact"/>
        <w:rPr>
          <w:sz w:val="20"/>
          <w:szCs w:val="20"/>
          <w:color w:val="auto"/>
        </w:rPr>
      </w:pPr>
    </w:p>
    <w:p>
      <w:pPr>
        <w:jc w:val="both"/>
        <w:ind w:right="420"/>
        <w:spacing w:after="0" w:line="262" w:lineRule="auto"/>
        <w:rPr>
          <w:sz w:val="20"/>
          <w:szCs w:val="20"/>
          <w:color w:val="auto"/>
        </w:rPr>
      </w:pPr>
      <w:r>
        <w:rPr>
          <w:rFonts w:ascii="Arial" w:cs="Arial" w:eastAsia="Arial" w:hAnsi="Arial"/>
          <w:sz w:val="18"/>
          <w:szCs w:val="18"/>
          <w:color w:val="auto"/>
        </w:rPr>
        <w:t>The following table provides a brief description of a recent Accounting Standards Update ("ASU") to the Accounting Standards Codification ("ASC") issued by the Financial Accounting Standards Board (“FASB”) that we adopted and is deemed to have a possible material impact on our consolidated financial statements based on current account balances and activity:</w:t>
      </w:r>
    </w:p>
    <w:tbl>
      <w:tblPr>
        <w:tblLayout w:type="fixed"/>
        <w:tblInd w:w="0" w:type="dxa"/>
        <w:tblCellMar>
          <w:top w:w="0" w:type="dxa"/>
          <w:left w:w="0" w:type="dxa"/>
          <w:bottom w:w="0" w:type="dxa"/>
          <w:right w:w="0" w:type="dxa"/>
        </w:tblCellMar>
      </w:tblPr>
      <w:tr>
        <w:trPr>
          <w:trHeight w:val="151"/>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5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Description</w:t>
            </w:r>
          </w:p>
        </w:tc>
        <w:tc>
          <w:tcPr>
            <w:tcW w:w="4700" w:type="dxa"/>
            <w:vAlign w:val="bottom"/>
          </w:tcPr>
          <w:p>
            <w:pPr>
              <w:jc w:val="center"/>
              <w:ind w:left="308"/>
              <w:spacing w:after="0" w:line="151"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47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82"/>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Accounting standards adopted effective January 1, 2023</w:t>
            </w:r>
          </w:p>
        </w:tc>
        <w:tc>
          <w:tcPr>
            <w:tcW w:w="254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07" w:right="339" w:bottom="1440" w:gutter="0" w:footer="0" w:header="0"/>
        </w:sectPr>
      </w:pPr>
    </w:p>
    <w:p>
      <w:pPr>
        <w:ind w:left="20"/>
        <w:spacing w:after="0" w:line="247" w:lineRule="auto"/>
        <w:rPr>
          <w:sz w:val="20"/>
          <w:szCs w:val="20"/>
          <w:color w:val="auto"/>
        </w:rPr>
      </w:pPr>
      <w:r>
        <w:rPr>
          <w:rFonts w:ascii="Arial" w:cs="Arial" w:eastAsia="Arial" w:hAnsi="Arial"/>
          <w:sz w:val="16"/>
          <w:szCs w:val="16"/>
          <w:color w:val="auto"/>
        </w:rPr>
        <w:t>ASU No. 2020-04: Reference Rate Reform (Topic 848), as amended through</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2022</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6"/>
          <w:szCs w:val="16"/>
          <w:color w:val="auto"/>
        </w:rPr>
        <w:t>Provides temporary optional guidance to ease the potential burden in applying GAAP to contract</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modifications and hedging relationships that reference London Inter-Bank Offered Rate ("LIBOR") or another reference rate expected to</w:t>
      </w:r>
    </w:p>
    <w:p>
      <w:pPr>
        <w:spacing w:after="0" w:line="2"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be discontinued, subject to meeting certain criteria.</w:t>
      </w:r>
    </w:p>
    <w:p>
      <w:pPr>
        <w:spacing w:after="0" w:line="20" w:lineRule="exact"/>
        <w:rPr>
          <w:sz w:val="20"/>
          <w:szCs w:val="20"/>
          <w:color w:val="auto"/>
        </w:rPr>
      </w:pPr>
      <w:r>
        <w:rPr>
          <w:sz w:val="20"/>
          <w:szCs w:val="20"/>
          <w:color w:val="auto"/>
        </w:rPr>
        <w:br w:type="column"/>
      </w:r>
    </w:p>
    <w:p>
      <w:pPr>
        <w:ind w:right="60"/>
        <w:spacing w:after="0" w:line="247" w:lineRule="auto"/>
        <w:rPr>
          <w:sz w:val="20"/>
          <w:szCs w:val="20"/>
          <w:color w:val="auto"/>
        </w:rPr>
      </w:pPr>
      <w:r>
        <w:rPr>
          <w:rFonts w:ascii="Arial" w:cs="Arial" w:eastAsia="Arial" w:hAnsi="Arial"/>
          <w:sz w:val="16"/>
          <w:szCs w:val="16"/>
          <w:color w:val="auto"/>
        </w:rPr>
        <w:t>This guidance provides optional expedients and exceptions for applying GAAP to contracts, hedging relationships and</w:t>
      </w:r>
    </w:p>
    <w:p>
      <w:pPr>
        <w:spacing w:after="0" w:line="1"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other transactions affected by reference rate reform if certain criteria are met. Effective the quarter ended March 31, 2023, we elected optional expedients under this</w:t>
      </w:r>
    </w:p>
    <w:p>
      <w:pPr>
        <w:spacing w:after="0" w:line="2" w:lineRule="exact"/>
        <w:rPr>
          <w:sz w:val="20"/>
          <w:szCs w:val="20"/>
          <w:color w:val="auto"/>
        </w:rPr>
      </w:pPr>
    </w:p>
    <w:p>
      <w:pPr>
        <w:ind w:right="200"/>
        <w:spacing w:after="0" w:line="234" w:lineRule="auto"/>
        <w:rPr>
          <w:sz w:val="20"/>
          <w:szCs w:val="20"/>
          <w:color w:val="auto"/>
        </w:rPr>
      </w:pPr>
      <w:r>
        <w:rPr>
          <w:rFonts w:ascii="Arial" w:cs="Arial" w:eastAsia="Arial" w:hAnsi="Arial"/>
          <w:sz w:val="16"/>
          <w:szCs w:val="16"/>
          <w:color w:val="auto"/>
        </w:rPr>
        <w:t>guidance that allowed us to maintain hedge effectiveness upon modifying contract terms related to reference rate reform in our amended and restated credit agreement,</w:t>
      </w:r>
    </w:p>
    <w:p>
      <w:pPr>
        <w:spacing w:after="0" w:line="2" w:lineRule="exact"/>
        <w:rPr>
          <w:sz w:val="20"/>
          <w:szCs w:val="20"/>
          <w:color w:val="auto"/>
        </w:rPr>
      </w:pPr>
    </w:p>
    <w:p>
      <w:pPr>
        <w:ind w:right="300"/>
        <w:spacing w:after="0" w:line="234" w:lineRule="auto"/>
        <w:rPr>
          <w:sz w:val="20"/>
          <w:szCs w:val="20"/>
          <w:color w:val="auto"/>
        </w:rPr>
      </w:pPr>
      <w:r>
        <w:rPr>
          <w:rFonts w:ascii="Arial" w:cs="Arial" w:eastAsia="Arial" w:hAnsi="Arial"/>
          <w:sz w:val="16"/>
          <w:szCs w:val="16"/>
          <w:color w:val="auto"/>
        </w:rPr>
        <w:t>dated as of December 22, 2021, as amended by the first amendment, dated as of February 9, 2023, the second amendment, dated as of February 9, 2023, and the third</w:t>
      </w:r>
    </w:p>
    <w:p>
      <w:pPr>
        <w:spacing w:after="0" w:line="2" w:lineRule="exact"/>
        <w:rPr>
          <w:sz w:val="20"/>
          <w:szCs w:val="20"/>
          <w:color w:val="auto"/>
        </w:rPr>
      </w:pPr>
    </w:p>
    <w:p>
      <w:pPr>
        <w:jc w:val="both"/>
        <w:ind w:right="120"/>
        <w:spacing w:after="0" w:line="234" w:lineRule="auto"/>
        <w:rPr>
          <w:sz w:val="20"/>
          <w:szCs w:val="20"/>
          <w:color w:val="auto"/>
        </w:rPr>
      </w:pPr>
      <w:r>
        <w:rPr>
          <w:rFonts w:ascii="Arial" w:cs="Arial" w:eastAsia="Arial" w:hAnsi="Arial"/>
          <w:sz w:val="16"/>
          <w:szCs w:val="16"/>
          <w:color w:val="auto"/>
        </w:rPr>
        <w:t>amendment, dated as of April 25, 2023, collectively with the specified acquisition loan joinder, dated May 25, 2023 ("Loan Joinder") (the "Amended and Restated Credit</w:t>
      </w:r>
    </w:p>
    <w:p>
      <w:pPr>
        <w:spacing w:after="0" w:line="2" w:lineRule="exact"/>
        <w:rPr>
          <w:sz w:val="20"/>
          <w:szCs w:val="20"/>
          <w:color w:val="auto"/>
        </w:rPr>
      </w:pPr>
    </w:p>
    <w:p>
      <w:pPr>
        <w:ind w:right="380"/>
        <w:spacing w:after="0" w:line="234" w:lineRule="auto"/>
        <w:rPr>
          <w:sz w:val="20"/>
          <w:szCs w:val="20"/>
          <w:color w:val="auto"/>
        </w:rPr>
      </w:pPr>
      <w:r>
        <w:rPr>
          <w:rFonts w:ascii="Arial" w:cs="Arial" w:eastAsia="Arial" w:hAnsi="Arial"/>
          <w:sz w:val="16"/>
          <w:szCs w:val="16"/>
          <w:color w:val="auto"/>
        </w:rPr>
        <w:t>Agreement") until we transitioned our interest rate derivative agreements from LIBOR to term secured overnight financing rate ("Term SOFR") in the quarter</w:t>
      </w:r>
    </w:p>
    <w:p>
      <w:pPr>
        <w:spacing w:after="0" w:line="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 xml:space="preserve">ended June 30, 2023, See Note 7, </w:t>
      </w:r>
      <w:r>
        <w:rPr>
          <w:rFonts w:ascii="Arial" w:cs="Arial" w:eastAsia="Arial" w:hAnsi="Arial"/>
          <w:sz w:val="17"/>
          <w:szCs w:val="17"/>
          <w:i w:val="1"/>
          <w:iCs w:val="1"/>
          <w:color w:val="auto"/>
        </w:rPr>
        <w:t>Debt</w:t>
      </w:r>
      <w:r>
        <w:rPr>
          <w:rFonts w:ascii="Arial" w:cs="Arial" w:eastAsia="Arial" w:hAnsi="Arial"/>
          <w:sz w:val="17"/>
          <w:szCs w:val="17"/>
          <w:color w:val="auto"/>
        </w:rPr>
        <w:t>. This guidance will be in effect through December 31, 2024.</w:t>
      </w:r>
    </w:p>
    <w:p>
      <w:pPr>
        <w:spacing w:after="0" w:line="200" w:lineRule="exact"/>
        <w:rPr>
          <w:sz w:val="20"/>
          <w:szCs w:val="20"/>
          <w:color w:val="auto"/>
        </w:rPr>
      </w:pPr>
    </w:p>
    <w:p>
      <w:pPr>
        <w:sectPr>
          <w:pgSz w:w="11900" w:h="16838" w:orient="portrait"/>
          <w:cols w:equalWidth="0" w:num="3">
            <w:col w:w="3000" w:space="180"/>
            <w:col w:w="3560" w:space="200"/>
            <w:col w:w="4300"/>
          </w:cols>
          <w:pgMar w:left="320" w:top="1107" w:right="339" w:bottom="1440" w:gutter="0" w:footer="0" w:header="0"/>
          <w:type w:val="continuous"/>
        </w:sectPr>
      </w:pPr>
    </w:p>
    <w:p>
      <w:pPr>
        <w:spacing w:after="0" w:line="3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Revenues associated with our solid waste operations are derived mainly from solid waste collection and disposal services, including landfill, transfer station and transportation services, landfill gas-to-energy services and processing services. Revenues associated with our resource-renewal operations are derived from processing services and non-processing services, which we now refer to as our National Accounts business.</w:t>
      </w:r>
    </w:p>
    <w:p>
      <w:pPr>
        <w:spacing w:after="0" w:line="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tables set forth revenues disaggregated by service line and timing of revenue recognition by operating segment for each of the three and nine months ended September 30, 2023 and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Eastern</w:t>
            </w:r>
          </w:p>
        </w:tc>
        <w:tc>
          <w:tcPr>
            <w:tcW w:w="28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Western</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Mid-Atlantic (1)</w:t>
            </w: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Resource Solutions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Total Revenues</w:t>
            </w:r>
          </w:p>
        </w:tc>
      </w:tr>
      <w:tr>
        <w:trPr>
          <w:trHeight w:val="25"/>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206,093</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Landfill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26,151</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station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34,951</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5,235</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30,803</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Accounts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47,705</w:t>
            </w:r>
          </w:p>
        </w:tc>
      </w:tr>
      <w:tr>
        <w:trPr>
          <w:trHeight w:val="223"/>
        </w:trPr>
        <w:tc>
          <w:tcPr>
            <w:tcW w:w="40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97,507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136,019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75,487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352,735</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9,321</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343,414</w:t>
            </w:r>
          </w:p>
        </w:tc>
      </w:tr>
      <w:tr>
        <w:trPr>
          <w:trHeight w:val="223"/>
        </w:trPr>
        <w:tc>
          <w:tcPr>
            <w:tcW w:w="40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136,019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75,487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352,735</w:t>
            </w: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Three Months Ended September 30,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ind w:left="140"/>
              <w:spacing w:after="0"/>
              <w:rPr>
                <w:sz w:val="20"/>
                <w:szCs w:val="20"/>
                <w:color w:val="auto"/>
              </w:rPr>
            </w:pPr>
            <w:r>
              <w:rPr>
                <w:rFonts w:ascii="Arial" w:cs="Arial" w:eastAsia="Arial" w:hAnsi="Arial"/>
                <w:sz w:val="14"/>
                <w:szCs w:val="14"/>
                <w:b w:val="1"/>
                <w:bCs w:val="1"/>
                <w:color w:val="auto"/>
              </w:rPr>
              <w:t>Eastern</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Western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Mid-Atlantic (1)</w:t>
            </w:r>
          </w:p>
        </w:tc>
        <w:tc>
          <w:tcPr>
            <w:tcW w:w="20" w:type="dxa"/>
            <w:vAlign w:val="bottom"/>
          </w:tcPr>
          <w:p>
            <w:pPr>
              <w:spacing w:after="0"/>
              <w:rPr>
                <w:sz w:val="16"/>
                <w:szCs w:val="16"/>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Resource Solutions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Total Revenues</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144,117</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Landfill</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28,140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station</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35,292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Accounts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48,069</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93,137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295,268</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19"/>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12,934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282,334</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93,137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295,268</w:t>
            </w:r>
          </w:p>
        </w:tc>
        <w:tc>
          <w:tcPr>
            <w:tcW w:w="0" w:type="dxa"/>
            <w:vAlign w:val="bottom"/>
          </w:tcPr>
          <w:p>
            <w:pPr>
              <w:spacing w:after="0"/>
              <w:rPr>
                <w:sz w:val="1"/>
                <w:szCs w:val="1"/>
                <w:color w:val="auto"/>
              </w:rPr>
            </w:pPr>
          </w:p>
        </w:tc>
      </w:tr>
      <w:tr>
        <w:trPr>
          <w:trHeight w:val="21"/>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September 30, 2023</w:t>
            </w: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rPr>
              <w:t>Eastern</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Western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Mid-Atlantic (1)</w:t>
            </w:r>
          </w:p>
        </w:tc>
        <w:tc>
          <w:tcPr>
            <w:tcW w:w="20" w:type="dxa"/>
            <w:vAlign w:val="bottom"/>
          </w:tcPr>
          <w:p>
            <w:pPr>
              <w:spacing w:after="0"/>
              <w:rPr>
                <w:sz w:val="24"/>
                <w:szCs w:val="2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b w:val="1"/>
                <w:bCs w:val="1"/>
                <w:color w:val="auto"/>
              </w:rPr>
              <w:t>Resource Solutions</w:t>
            </w:r>
          </w:p>
        </w:tc>
        <w:tc>
          <w:tcPr>
            <w:tcW w:w="160" w:type="dxa"/>
            <w:vAlign w:val="bottom"/>
          </w:tcPr>
          <w:p>
            <w:pPr>
              <w:spacing w:after="0"/>
              <w:rPr>
                <w:sz w:val="24"/>
                <w:szCs w:val="24"/>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Total Revenues</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194,801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257,891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495,917</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Landfill</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21,109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75,052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15,060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83,321</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Accounts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139,262</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274,740</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371,281</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215,232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904,975</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19"/>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23,121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25,532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274,401</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369,209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192,111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879,443</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274,740</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371,281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215,232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904,975</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September 30, 2022</w:t>
            </w: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4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ind w:left="140"/>
              <w:spacing w:after="0"/>
              <w:rPr>
                <w:sz w:val="20"/>
                <w:szCs w:val="20"/>
                <w:color w:val="auto"/>
              </w:rPr>
            </w:pPr>
            <w:r>
              <w:rPr>
                <w:rFonts w:ascii="Arial" w:cs="Arial" w:eastAsia="Arial" w:hAnsi="Arial"/>
                <w:sz w:val="14"/>
                <w:szCs w:val="14"/>
                <w:b w:val="1"/>
                <w:bCs w:val="1"/>
                <w:color w:val="auto"/>
              </w:rPr>
              <w:t>Eastern</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Western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Mid-Atlantic (1)</w:t>
            </w:r>
          </w:p>
        </w:tc>
        <w:tc>
          <w:tcPr>
            <w:tcW w:w="2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Resource Solutions</w:t>
            </w:r>
          </w:p>
        </w:tc>
        <w:tc>
          <w:tcPr>
            <w:tcW w:w="160" w:type="dxa"/>
            <w:vAlign w:val="bottom"/>
          </w:tcPr>
          <w:p>
            <w:pPr>
              <w:spacing w:after="0"/>
              <w:rPr>
                <w:sz w:val="24"/>
                <w:szCs w:val="24"/>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Total Revenues</w:t>
            </w: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300" w:type="dxa"/>
            <w:vAlign w:val="bottom"/>
            <w:gridSpan w:val="3"/>
          </w:tcPr>
          <w:p>
            <w:pPr>
              <w:spacing w:after="0"/>
              <w:rPr>
                <w:sz w:val="2"/>
                <w:szCs w:val="2"/>
                <w:color w:val="auto"/>
              </w:rPr>
            </w:pPr>
          </w:p>
        </w:tc>
        <w:tc>
          <w:tcPr>
            <w:tcW w:w="420" w:type="dxa"/>
            <w:vAlign w:val="bottom"/>
            <w:gridSpan w:val="2"/>
          </w:tcPr>
          <w:p>
            <w:pPr>
              <w:spacing w:after="0"/>
              <w:rPr>
                <w:sz w:val="2"/>
                <w:szCs w:val="2"/>
                <w:color w:val="auto"/>
              </w:rPr>
            </w:pPr>
          </w:p>
        </w:tc>
        <w:tc>
          <w:tcPr>
            <w:tcW w:w="10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172,671</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228,239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400,910</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Landfill</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72,847</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81,486</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101,304</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Accounts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135,195</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251,720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332,626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812,962</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19"/>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46,279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48,098</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251,368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764,864</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251,720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332,626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812,962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Operations under the Mid-Atlantic region commenced July 1, 2023.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ind w:right="80"/>
        <w:spacing w:after="0" w:line="255" w:lineRule="auto"/>
        <w:rPr>
          <w:sz w:val="20"/>
          <w:szCs w:val="20"/>
          <w:color w:val="auto"/>
        </w:rPr>
      </w:pPr>
      <w:r>
        <w:rPr>
          <w:rFonts w:ascii="Arial" w:cs="Arial" w:eastAsia="Arial" w:hAnsi="Arial"/>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$4,617 and $17,575 in the three and nine months ended September 30, 2023, respectively, and $5,460 and $15,162 in the three and nine months ended September 30, 2022, respectively. Rebates are generally recorded as a reduction of revenues upon the sale of such materials, or upon receipt of the recycled materials at our facilities. We did not record revenues in the three and nine months ended September 30, 2023 or September 30, 2022 from performance obligations satisfied in previous periods.</w:t>
      </w:r>
    </w:p>
    <w:p>
      <w:pPr>
        <w:spacing w:after="0" w:line="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Contract receivables, which are included in accounts receivable, net in our consolidated balance sheets are recorded when billed or when related revenue is earned, if earlier, and represent claims against third-parties that will be settled in cash. Accounts receivable, net includes gross receivables from contracts of $126,672 and $102,234 as of September 30, 2023 and December 31, 2022, respectively. Certain customers are billed in advance and, accordingly, recognition of the related revenues for which payment has been received is deferred as a contract liability until the services are provided and control transferred to the customer. We recognized contract liabilities of $18,852 and $3,742 as of September 30, 2023 and December 31, 2022, respectively. Due to the short term nature of advanced billings, substantially all of the deferred revenue recognized as a contract liability as of December 31, 2022 and December 31, 2021 was recognized as revenue during the nine months ended September 30, 2023 and September 30, 2022, respectively, when the services were performed.</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COMBINATIONS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nine months ended September 30, 2023, we acquired five businesses: the GFL Subsidiaries, which includes solid waste collection, transfer and recycling operations in Pennsylvania, Maryland and Delaware and whose assets are allocated between our Mid-Atlantic region and Resource Solutions operating segments; Consolidated Waste Services, LLC and its affiliates (dba Twin Bridges), which was completed on September 1, 2023, consisting of a collection, transfer and recycling business in the greater Albany, New York area whose assets are allocated between our Western region and Resource Solutions operating segments ("Twin Bridges Acquisition"); as well as three solid-waste collection businesses that provide collection, transfer and recycling services. In the nine months ended September 30, 2022, we acquired twelve businesses primarily related to our solid-waste operations, which included solid-waste collection, recycling, transfer station and transportation businesses.</w:t>
      </w:r>
    </w:p>
    <w:p>
      <w:pPr>
        <w:spacing w:after="0" w:line="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operating results of these businesses have been included in the accompanying unaudited consolidated statements of operations from each date of acquisition, and the purchase price has been allocated to the net assets acquired based on fair values at each date of acquisition with the residual amounts recorded as goodwill. Purchase price allocations are based on information existing at the acquisition dates or upon closing the transactions. Acquired intangible assets other than goodwill that are subject to amortization may include customer relationships, trade names and covenants not-to-compete. Such assets are amortized over a two-year to ten-year period from the date of acquisition. Substantially all amounts recorded to goodwill are expected to be deductible for tax purposes.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 summary of the purchase price paid and the purchase price allocation for acquisitions follows:</w:t>
      </w:r>
    </w:p>
    <w:p>
      <w:pPr>
        <w:spacing w:after="0" w:line="4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Cash used in acquisitions, net of cash acquired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842,635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72,731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consideration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Holdbacks and additional consideration owed to sellers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Allocated as follows: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r>
      <w:tr>
        <w:trPr>
          <w:trHeight w:val="229"/>
        </w:trPr>
        <w:tc>
          <w:tcPr>
            <w:tcW w:w="8240" w:type="dxa"/>
            <w:vAlign w:val="bottom"/>
          </w:tcPr>
          <w:p>
            <w:pPr>
              <w:ind w:left="560"/>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8,566</w:t>
            </w:r>
          </w:p>
        </w:tc>
      </w:tr>
      <w:tr>
        <w:trPr>
          <w:trHeight w:val="229"/>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560"/>
              <w:spacing w:after="0"/>
              <w:rPr>
                <w:sz w:val="20"/>
                <w:szCs w:val="20"/>
                <w:color w:val="auto"/>
              </w:rPr>
            </w:pPr>
            <w:r>
              <w:rPr>
                <w:rFonts w:ascii="Arial" w:cs="Arial" w:eastAsia="Arial" w:hAnsi="Arial"/>
                <w:sz w:val="18"/>
                <w:szCs w:val="18"/>
                <w:color w:val="auto"/>
              </w:rPr>
              <w:t>Covenants not-to-compete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29"/>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11,417</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liabilities, less current portion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39,372</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Excess purchase price allocated to goodwill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38,691</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Certain purchase price allocations, including but not limited to the GFL Acquisition and the Twin Bridges Acquisition, which are subject to finalizing the third-party valuations, are preliminary and are based on information existing at the acquisition dates or upon closing the transaction. Accordingly, the purchase price allocations are subject to change.</w:t>
      </w:r>
    </w:p>
    <w:p>
      <w:pPr>
        <w:spacing w:after="0" w:line="76"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Unaudited pro forma combined information that shows our operational results as though each acquisition completed since the beginning of the prior fiscal year had occurred as of January 1, 2022 is as follows:</w:t>
      </w:r>
    </w:p>
    <w:tbl>
      <w:tblPr>
        <w:tblLayout w:type="fixed"/>
        <w:tblInd w:w="0" w:type="dxa"/>
        <w:tblCellMar>
          <w:top w:w="0" w:type="dxa"/>
          <w:left w:w="0" w:type="dxa"/>
          <w:bottom w:w="0" w:type="dxa"/>
          <w:right w:w="0" w:type="dxa"/>
        </w:tblCellMar>
      </w:tblPr>
      <w:tr>
        <w:trPr>
          <w:trHeight w:val="144"/>
        </w:trPr>
        <w:tc>
          <w:tcPr>
            <w:tcW w:w="5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gridSpan w:val="5"/>
          </w:tcPr>
          <w:p>
            <w:pPr>
              <w:ind w:left="380"/>
              <w:spacing w:after="0" w:line="145"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2"/>
                <w:szCs w:val="12"/>
                <w:color w:val="auto"/>
              </w:rPr>
            </w:pPr>
          </w:p>
        </w:tc>
        <w:tc>
          <w:tcPr>
            <w:tcW w:w="2400" w:type="dxa"/>
            <w:vAlign w:val="bottom"/>
            <w:gridSpan w:val="4"/>
          </w:tcPr>
          <w:p>
            <w:pPr>
              <w:jc w:val="right"/>
              <w:ind w:right="652"/>
              <w:spacing w:after="0" w:line="145"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1,061,748</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34,584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40,537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75,876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92,345</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50,001</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57,962</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51,604</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unaudited pro forma results set forth in the table above have been prepared for comparative purposes only and are not necessarily indicative of the actual results of operations had the acquisitions occurred as of January 1, 2022 or of the results of our future operations. Furthermore, the unaudited pro forma results do not give effect to all cost savings or incremental costs that may occur as the result of the integration and consolidation of the completed acquisitions.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tabs>
          <w:tab w:leader="none" w:pos="300" w:val="left"/>
        </w:tabs>
        <w:rPr>
          <w:sz w:val="20"/>
          <w:szCs w:val="20"/>
          <w:color w:val="auto"/>
        </w:rPr>
      </w:pPr>
      <w:r>
        <w:rPr>
          <w:rFonts w:ascii="Arial" w:cs="Arial" w:eastAsia="Arial" w:hAnsi="Arial"/>
          <w:sz w:val="18"/>
          <w:szCs w:val="18"/>
          <w:b w:val="1"/>
          <w:bCs w:val="1"/>
          <w:color w:val="auto"/>
        </w:rPr>
        <w:t>5.</w:t>
        <w:tab/>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operating segment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0"/>
              </w:rPr>
              <w:t>Acquisitions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Measurement Period</w:t>
            </w:r>
          </w:p>
        </w:tc>
        <w:tc>
          <w:tcPr>
            <w:tcW w:w="240" w:type="dxa"/>
            <w:vAlign w:val="bottom"/>
          </w:tcPr>
          <w:p>
            <w:pPr>
              <w:spacing w:after="0"/>
              <w:rPr>
                <w:sz w:val="14"/>
                <w:szCs w:val="14"/>
                <w:color w:val="auto"/>
              </w:rPr>
            </w:pPr>
          </w:p>
        </w:tc>
        <w:tc>
          <w:tcPr>
            <w:tcW w:w="140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6"/>
                <w:szCs w:val="16"/>
                <w:color w:val="auto"/>
              </w:rPr>
            </w:pPr>
          </w:p>
        </w:tc>
        <w:tc>
          <w:tcPr>
            <w:tcW w:w="140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2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76,353</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183,286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97,905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281,244</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331,975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331,975</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38,766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47,578</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274,458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462,639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737,150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Summaries of intangible assets by type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Covenants</w:t>
            </w:r>
          </w:p>
        </w:tc>
        <w:tc>
          <w:tcPr>
            <w:tcW w:w="20" w:type="dxa"/>
            <w:vAlign w:val="bottom"/>
          </w:tcPr>
          <w:p>
            <w:pPr>
              <w:spacing w:after="0"/>
              <w:rPr>
                <w:sz w:val="14"/>
                <w:szCs w:val="14"/>
                <w:color w:val="auto"/>
              </w:rPr>
            </w:pPr>
          </w:p>
        </w:tc>
        <w:tc>
          <w:tcPr>
            <w:tcW w:w="17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1"/>
              </w:rPr>
              <w:t>Customer Relationships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Trade Names</w:t>
            </w:r>
          </w:p>
        </w:tc>
        <w:tc>
          <w:tcPr>
            <w:tcW w:w="240" w:type="dxa"/>
            <w:vAlign w:val="bottom"/>
          </w:tcPr>
          <w:p>
            <w:pPr>
              <w:spacing w:after="0"/>
              <w:rPr>
                <w:sz w:val="14"/>
                <w:szCs w:val="14"/>
                <w:color w:val="auto"/>
              </w:rPr>
            </w:pPr>
          </w:p>
        </w:tc>
        <w:tc>
          <w:tcPr>
            <w:tcW w:w="140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Not-to-Compete</w:t>
            </w:r>
          </w:p>
        </w:tc>
        <w:tc>
          <w:tcPr>
            <w:tcW w:w="20" w:type="dxa"/>
            <w:vAlign w:val="bottom"/>
          </w:tcPr>
          <w:p>
            <w:pPr>
              <w:spacing w:after="0"/>
              <w:rPr>
                <w:sz w:val="17"/>
                <w:szCs w:val="17"/>
                <w:color w:val="auto"/>
              </w:rPr>
            </w:pPr>
          </w:p>
        </w:tc>
        <w:tc>
          <w:tcPr>
            <w:tcW w:w="174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Balance, September 30, 2023</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272,731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350,096</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(61,201)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(93,407)</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211,530</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256,689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Covenants</w:t>
            </w:r>
          </w:p>
        </w:tc>
        <w:tc>
          <w:tcPr>
            <w:tcW w:w="20" w:type="dxa"/>
            <w:vAlign w:val="bottom"/>
          </w:tcPr>
          <w:p>
            <w:pPr>
              <w:spacing w:after="0"/>
              <w:rPr>
                <w:sz w:val="24"/>
                <w:szCs w:val="24"/>
                <w:color w:val="auto"/>
              </w:rPr>
            </w:pPr>
          </w:p>
        </w:tc>
        <w:tc>
          <w:tcPr>
            <w:tcW w:w="17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1"/>
              </w:rPr>
              <w:t>Customer Relationships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Trade Names</w:t>
            </w:r>
          </w:p>
        </w:tc>
        <w:tc>
          <w:tcPr>
            <w:tcW w:w="240" w:type="dxa"/>
            <w:vAlign w:val="bottom"/>
          </w:tcPr>
          <w:p>
            <w:pPr>
              <w:spacing w:after="0"/>
              <w:rPr>
                <w:sz w:val="24"/>
                <w:szCs w:val="24"/>
                <w:color w:val="auto"/>
              </w:rPr>
            </w:pPr>
          </w:p>
        </w:tc>
        <w:tc>
          <w:tcPr>
            <w:tcW w:w="140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Not-to-Compete</w:t>
            </w:r>
          </w:p>
        </w:tc>
        <w:tc>
          <w:tcPr>
            <w:tcW w:w="20" w:type="dxa"/>
            <w:vAlign w:val="bottom"/>
          </w:tcPr>
          <w:p>
            <w:pPr>
              <w:spacing w:after="0"/>
              <w:rPr>
                <w:sz w:val="16"/>
                <w:szCs w:val="16"/>
                <w:color w:val="auto"/>
              </w:rPr>
            </w:pPr>
          </w:p>
        </w:tc>
        <w:tc>
          <w:tcPr>
            <w:tcW w:w="174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127,179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166,785</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(75,002)</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81,017</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Intangible amortization expense was $10,109 and $18,405 during the three and nine months ended September 30, 2023, respectively, and $4,281 and $12,333 during the three and nine months ended September 30, 2022, respectively.</w:t>
      </w:r>
    </w:p>
    <w:p>
      <w:pPr>
        <w:spacing w:after="0" w:line="62"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color w:val="auto"/>
        </w:rPr>
        <w:t>A summary of intangible amortization expense estimated for each of the next five fiscal years following fiscal year 2022 and thereafter is estimated as follows:</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Estimated Future Amortization Expense as of September 30, 2023</w:t>
            </w:r>
          </w:p>
        </w:tc>
        <w:tc>
          <w:tcPr>
            <w:tcW w:w="53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406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December 31, 2023</w:t>
            </w:r>
          </w:p>
        </w:tc>
        <w:tc>
          <w:tcPr>
            <w:tcW w:w="5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w:t>
            </w: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Fiscal year ending December 31, 2024</w:t>
            </w:r>
          </w:p>
        </w:tc>
        <w:tc>
          <w:tcPr>
            <w:tcW w:w="5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48,250</w:t>
            </w: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December 31, 2025</w:t>
            </w:r>
          </w:p>
        </w:tc>
        <w:tc>
          <w:tcPr>
            <w:tcW w:w="5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44,556</w:t>
            </w: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Fiscal year ending December 31, 2026</w:t>
            </w:r>
          </w:p>
        </w:tc>
        <w:tc>
          <w:tcPr>
            <w:tcW w:w="5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40,193</w:t>
            </w: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December 31, 2027</w:t>
            </w:r>
          </w:p>
        </w:tc>
        <w:tc>
          <w:tcPr>
            <w:tcW w:w="5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36,053</w:t>
            </w:r>
          </w:p>
        </w:tc>
      </w:tr>
      <w:tr>
        <w:trPr>
          <w:trHeight w:val="230"/>
        </w:trPr>
        <w:tc>
          <w:tcPr>
            <w:tcW w:w="2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75,048</w:t>
            </w:r>
          </w:p>
        </w:tc>
      </w:tr>
      <w:tr>
        <w:trPr>
          <w:trHeight w:val="8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380" w:type="dxa"/>
            <w:vAlign w:val="bottom"/>
          </w:tcPr>
          <w:p>
            <w:pPr>
              <w:jc w:val="right"/>
              <w:ind w:right="4370"/>
              <w:spacing w:after="0"/>
              <w:rPr>
                <w:sz w:val="20"/>
                <w:szCs w:val="20"/>
                <w:color w:val="auto"/>
              </w:rPr>
            </w:pPr>
            <w:r>
              <w:rPr>
                <w:rFonts w:ascii="Arial" w:cs="Arial" w:eastAsia="Arial" w:hAnsi="Arial"/>
                <w:sz w:val="18"/>
                <w:szCs w:val="18"/>
                <w:color w:val="auto"/>
              </w:rPr>
              <w:t>13</w:t>
            </w:r>
          </w:p>
        </w:tc>
        <w:tc>
          <w:tcPr>
            <w:tcW w:w="1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ACCRUED FINAL CAPPING, CLOSURE AND POST CLOSURE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4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86,914</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Obligations incurred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3,592</w:t>
            </w: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Revision in estimates </w:t>
            </w:r>
            <w:r>
              <w:rPr>
                <w:rFonts w:ascii="Arial" w:cs="Arial" w:eastAsia="Arial" w:hAnsi="Arial"/>
                <w:sz w:val="14"/>
                <w:szCs w:val="14"/>
                <w:color w:val="auto"/>
              </w:rPr>
              <w:t>(1)</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5,685</w:t>
            </w: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94,607</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Relates to a change in estimates concerning anticipated capping costs at one of our landfills.</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include amounts that are being processed through accounts payable as a part of our disbursements cycle.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4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ectPr>
          <w:pgSz w:w="11900" w:h="16838" w:orient="portrait"/>
          <w:cols w:equalWidth="0" w:num="1">
            <w:col w:w="11240"/>
          </w:cols>
          <w:pgMar w:left="320" w:top="1107" w:right="339" w:bottom="144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Senior Secured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8260" w:val="left"/>
        </w:tabs>
        <w:rPr>
          <w:sz w:val="20"/>
          <w:szCs w:val="20"/>
          <w:color w:val="auto"/>
        </w:rPr>
      </w:pPr>
      <w:r>
        <w:rPr>
          <w:rFonts w:ascii="Arial" w:cs="Arial" w:eastAsia="Arial" w:hAnsi="Arial"/>
          <w:sz w:val="17"/>
          <w:szCs w:val="17"/>
          <w:color w:val="auto"/>
        </w:rPr>
        <w:t>Term loan A facility ("Term Loan Facility") due December 2026; bearing interest at Term SOFR plus 1.385%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4" w:lineRule="exact"/>
        <w:rPr>
          <w:sz w:val="20"/>
          <w:szCs w:val="20"/>
          <w:color w:val="auto"/>
        </w:rPr>
      </w:pPr>
    </w:p>
    <w:p>
      <w:pPr>
        <w:ind w:left="20" w:right="640"/>
        <w:spacing w:after="0" w:line="234" w:lineRule="auto"/>
        <w:rPr>
          <w:sz w:val="20"/>
          <w:szCs w:val="20"/>
          <w:color w:val="auto"/>
        </w:rPr>
      </w:pPr>
      <w:r>
        <w:rPr>
          <w:rFonts w:ascii="Arial" w:cs="Arial" w:eastAsia="Arial" w:hAnsi="Arial"/>
          <w:sz w:val="18"/>
          <w:szCs w:val="18"/>
          <w:color w:val="auto"/>
        </w:rPr>
        <w:t>Term loan A facility ("2023 Term Loan Facility") due December 2026; bearing interest at Term SOFR plus 1.885%</w:t>
      </w:r>
    </w:p>
    <w:p>
      <w:pPr>
        <w:spacing w:after="0" w:line="14" w:lineRule="exact"/>
        <w:rPr>
          <w:sz w:val="20"/>
          <w:szCs w:val="20"/>
          <w:color w:val="auto"/>
        </w:rPr>
      </w:pPr>
    </w:p>
    <w:p>
      <w:pPr>
        <w:ind w:left="20" w:right="300"/>
        <w:spacing w:after="0" w:line="235" w:lineRule="auto"/>
        <w:rPr>
          <w:sz w:val="20"/>
          <w:szCs w:val="20"/>
          <w:color w:val="auto"/>
        </w:rPr>
      </w:pPr>
      <w:r>
        <w:rPr>
          <w:rFonts w:ascii="Arial" w:cs="Arial" w:eastAsia="Arial" w:hAnsi="Arial"/>
          <w:sz w:val="18"/>
          <w:szCs w:val="18"/>
          <w:color w:val="auto"/>
        </w:rPr>
        <w:t>Revolving credit facility ("Revolving Credit Facility") due December 2026; bearing interest at Term SOFR plus 1.385%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Tax-Exempt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right="180"/>
        <w:spacing w:after="0" w:line="272" w:lineRule="auto"/>
        <w:rPr>
          <w:sz w:val="20"/>
          <w:szCs w:val="20"/>
          <w:color w:val="auto"/>
        </w:rPr>
      </w:pPr>
      <w:r>
        <w:rPr>
          <w:rFonts w:ascii="Arial" w:cs="Arial" w:eastAsia="Arial" w:hAnsi="Arial"/>
          <w:sz w:val="16"/>
          <w:szCs w:val="16"/>
          <w:color w:val="auto"/>
        </w:rPr>
        <w:t>New York State Environmental Facilities Corporation Solid Waste Disposal Revenue Bonds Series 2014 ("New York Bonds 2014R-1") due December 2044 - fixed rate interest period ending in 2029; bearing interest at 2.875%</w:t>
      </w:r>
    </w:p>
    <w:p>
      <w:pPr>
        <w:spacing w:after="0" w:line="1" w:lineRule="exact"/>
        <w:rPr>
          <w:sz w:val="20"/>
          <w:szCs w:val="20"/>
          <w:color w:val="auto"/>
        </w:rPr>
      </w:pPr>
    </w:p>
    <w:p>
      <w:pPr>
        <w:ind w:left="20" w:right="260"/>
        <w:spacing w:after="0" w:line="248" w:lineRule="auto"/>
        <w:rPr>
          <w:sz w:val="20"/>
          <w:szCs w:val="20"/>
          <w:color w:val="auto"/>
        </w:rPr>
      </w:pPr>
      <w:r>
        <w:rPr>
          <w:rFonts w:ascii="Arial" w:cs="Arial" w:eastAsia="Arial" w:hAnsi="Arial"/>
          <w:sz w:val="16"/>
          <w:szCs w:val="16"/>
          <w:color w:val="auto"/>
        </w:rPr>
        <w:t>New York State Environmental Facilities Corporation Solid Waste Disposal Revenue Bonds Series 2014R-2 ("New York Bonds 2014R-2") due December 2044 - fixed rate interest period ending in 2026; bearing interest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3.125%</w:t>
      </w:r>
    </w:p>
    <w:p>
      <w:pPr>
        <w:spacing w:after="0" w:line="7" w:lineRule="exact"/>
        <w:rPr>
          <w:sz w:val="20"/>
          <w:szCs w:val="20"/>
          <w:color w:val="auto"/>
        </w:rPr>
      </w:pPr>
    </w:p>
    <w:p>
      <w:pPr>
        <w:ind w:left="20" w:right="320"/>
        <w:spacing w:after="0" w:line="272" w:lineRule="auto"/>
        <w:rPr>
          <w:sz w:val="20"/>
          <w:szCs w:val="20"/>
          <w:color w:val="auto"/>
        </w:rPr>
      </w:pPr>
      <w:r>
        <w:rPr>
          <w:rFonts w:ascii="Arial" w:cs="Arial" w:eastAsia="Arial" w:hAnsi="Arial"/>
          <w:sz w:val="16"/>
          <w:szCs w:val="16"/>
          <w:color w:val="auto"/>
        </w:rPr>
        <w:t>New York State Environmental Facilities Corporation Solid Waste Disposal Revenue Bonds Series 2020 ("New York Bonds 2020") due September 2050 - fixed rate interest period ending in 2025; bearing interest at 2.750%</w:t>
      </w:r>
    </w:p>
    <w:p>
      <w:pPr>
        <w:spacing w:after="0" w:line="1" w:lineRule="exact"/>
        <w:rPr>
          <w:sz w:val="20"/>
          <w:szCs w:val="20"/>
          <w:color w:val="auto"/>
        </w:rPr>
      </w:pPr>
    </w:p>
    <w:p>
      <w:pPr>
        <w:ind w:left="20" w:right="220"/>
        <w:spacing w:after="0" w:line="248" w:lineRule="auto"/>
        <w:rPr>
          <w:sz w:val="20"/>
          <w:szCs w:val="20"/>
          <w:color w:val="auto"/>
        </w:rPr>
      </w:pPr>
      <w:r>
        <w:rPr>
          <w:rFonts w:ascii="Arial" w:cs="Arial" w:eastAsia="Arial" w:hAnsi="Arial"/>
          <w:sz w:val="16"/>
          <w:szCs w:val="16"/>
          <w:color w:val="auto"/>
        </w:rPr>
        <w:t>New York State Environmental Facilities Corporation Solid Waste Disposal Revenue Bonds Series 2020R-2 ("New York Bonds 2020R-2") due September 2050 - fixed rate interest period ending in 2030; bearing interest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377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5.125%</w:t>
      </w:r>
    </w:p>
    <w:p>
      <w:pPr>
        <w:spacing w:after="0" w:line="7" w:lineRule="exact"/>
        <w:rPr>
          <w:sz w:val="20"/>
          <w:szCs w:val="20"/>
          <w:color w:val="auto"/>
        </w:rPr>
      </w:pPr>
    </w:p>
    <w:p>
      <w:pPr>
        <w:ind w:left="20" w:right="140"/>
        <w:spacing w:after="0" w:line="234" w:lineRule="auto"/>
        <w:rPr>
          <w:sz w:val="20"/>
          <w:szCs w:val="20"/>
          <w:color w:val="auto"/>
        </w:rPr>
      </w:pPr>
      <w:r>
        <w:rPr>
          <w:rFonts w:ascii="Arial" w:cs="Arial" w:eastAsia="Arial" w:hAnsi="Arial"/>
          <w:sz w:val="18"/>
          <w:szCs w:val="18"/>
          <w:color w:val="auto"/>
        </w:rPr>
        <w:t>Finance Authority of Maine Solid Waste Disposal Revenue Bonds Series 2005R-3 ("FAME Bonds 2005R-3") due January 2025 - fixed rate interest period ending in 2025; bearing interest at 5.25%</w:t>
      </w:r>
    </w:p>
    <w:p>
      <w:pPr>
        <w:spacing w:after="0" w:line="14" w:lineRule="exact"/>
        <w:rPr>
          <w:sz w:val="20"/>
          <w:szCs w:val="20"/>
          <w:color w:val="auto"/>
        </w:rPr>
      </w:pPr>
    </w:p>
    <w:p>
      <w:pPr>
        <w:ind w:left="20" w:right="140"/>
        <w:spacing w:after="0" w:line="235" w:lineRule="auto"/>
        <w:rPr>
          <w:sz w:val="20"/>
          <w:szCs w:val="20"/>
          <w:color w:val="auto"/>
        </w:rPr>
      </w:pPr>
      <w:r>
        <w:rPr>
          <w:rFonts w:ascii="Arial" w:cs="Arial" w:eastAsia="Arial" w:hAnsi="Arial"/>
          <w:sz w:val="18"/>
          <w:szCs w:val="18"/>
          <w:color w:val="auto"/>
        </w:rPr>
        <w:t>Finance Authority of Maine Solid Waste Disposal Revenue Bonds Series 2015R-1 ("FAME Bonds 2015R-1") due August 2035 - fixed rate interest period ending in 2025; bearing interest at 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right="140"/>
        <w:spacing w:after="0" w:line="235" w:lineRule="auto"/>
        <w:rPr>
          <w:sz w:val="20"/>
          <w:szCs w:val="20"/>
          <w:color w:val="auto"/>
        </w:rPr>
      </w:pPr>
      <w:r>
        <w:rPr>
          <w:rFonts w:ascii="Arial" w:cs="Arial" w:eastAsia="Arial" w:hAnsi="Arial"/>
          <w:sz w:val="18"/>
          <w:szCs w:val="18"/>
          <w:color w:val="auto"/>
        </w:rPr>
        <w:t>Finance Authority of Maine Solid Waste Disposal Revenue Bonds Series 2015R-2 ("FAME Bonds 2015R-2") due August 2035 - fixed rate interest period ending in 2025; bearing interest at 4.375%</w:t>
      </w:r>
    </w:p>
    <w:p>
      <w:pPr>
        <w:spacing w:after="0" w:line="13" w:lineRule="exact"/>
        <w:rPr>
          <w:sz w:val="20"/>
          <w:szCs w:val="20"/>
          <w:color w:val="auto"/>
        </w:rPr>
      </w:pPr>
    </w:p>
    <w:p>
      <w:pPr>
        <w:ind w:left="20" w:right="400"/>
        <w:spacing w:after="0" w:line="272" w:lineRule="auto"/>
        <w:rPr>
          <w:sz w:val="20"/>
          <w:szCs w:val="20"/>
          <w:color w:val="auto"/>
        </w:rPr>
      </w:pPr>
      <w:r>
        <w:rPr>
          <w:rFonts w:ascii="Arial" w:cs="Arial" w:eastAsia="Arial" w:hAnsi="Arial"/>
          <w:sz w:val="16"/>
          <w:szCs w:val="16"/>
          <w:color w:val="auto"/>
        </w:rPr>
        <w:t>Vermont Economic Development Authority Solid Waste Disposal Long-Term Revenue Bonds Series 2013 ("Vermont Bonds 2013") due April 2036 - fixed rate interest period ending in 2028; bearing interest at 4.625%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0" w:right="260"/>
        <w:spacing w:after="0" w:line="272" w:lineRule="auto"/>
        <w:rPr>
          <w:sz w:val="20"/>
          <w:szCs w:val="20"/>
          <w:color w:val="auto"/>
        </w:rPr>
      </w:pPr>
      <w:r>
        <w:rPr>
          <w:rFonts w:ascii="Arial" w:cs="Arial" w:eastAsia="Arial" w:hAnsi="Arial"/>
          <w:sz w:val="16"/>
          <w:szCs w:val="16"/>
          <w:color w:val="auto"/>
        </w:rPr>
        <w:t>Vermont Economic Development Authority Solid Waste Disposal Long-Term Revenue Bonds Series 2022A-1 ("Vermont Bonds 2022A-1") due June 2052 - fixed rate interest period ending in 2027; bearing interest at 5.00%</w:t>
      </w:r>
    </w:p>
    <w:p>
      <w:pPr>
        <w:spacing w:after="0" w:line="1" w:lineRule="exact"/>
        <w:rPr>
          <w:sz w:val="20"/>
          <w:szCs w:val="20"/>
          <w:color w:val="auto"/>
        </w:rPr>
      </w:pPr>
    </w:p>
    <w:p>
      <w:pPr>
        <w:ind w:left="20" w:right="340"/>
        <w:spacing w:after="0" w:line="270" w:lineRule="auto"/>
        <w:rPr>
          <w:sz w:val="20"/>
          <w:szCs w:val="20"/>
          <w:color w:val="auto"/>
        </w:rPr>
      </w:pPr>
      <w:r>
        <w:rPr>
          <w:rFonts w:ascii="Arial" w:cs="Arial" w:eastAsia="Arial" w:hAnsi="Arial"/>
          <w:sz w:val="16"/>
          <w:szCs w:val="16"/>
          <w:color w:val="auto"/>
        </w:rPr>
        <w:t>Business Finance Authority of the State of New Hampshire Solid Waste Disposal Revenue Bonds Series 2013 ("New Hampshire Bonds") due April 2029 - fixed rate interest period ending in 2029; bearing interest at 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right="1380"/>
        <w:spacing w:after="0" w:line="292" w:lineRule="auto"/>
        <w:rPr>
          <w:sz w:val="20"/>
          <w:szCs w:val="20"/>
          <w:color w:val="auto"/>
        </w:rPr>
      </w:pPr>
      <w:r>
        <w:rPr>
          <w:rFonts w:ascii="Arial" w:cs="Arial" w:eastAsia="Arial" w:hAnsi="Arial"/>
          <w:sz w:val="17"/>
          <w:szCs w:val="17"/>
          <w:color w:val="auto"/>
        </w:rPr>
        <w:t>Finance leases maturing through December 2107; bearing interest at a weighted average of 3.9% Notes payable maturing through March 2025; bearing interest up to 8.1%</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350,000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418"/>
        </w:trPr>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424,625</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6,000</w:t>
      </w:r>
    </w:p>
    <w:p>
      <w:pPr>
        <w:spacing w:after="0" w:line="200" w:lineRule="exact"/>
        <w:rPr>
          <w:sz w:val="20"/>
          <w:szCs w:val="20"/>
          <w:color w:val="auto"/>
        </w:rPr>
      </w:pPr>
    </w:p>
    <w:p>
      <w:pPr>
        <w:spacing w:after="0" w:line="241"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6"/>
          <w:szCs w:val="16"/>
          <w:color w:val="auto"/>
        </w:rPr>
        <w:t>25,000</w:t>
      </w:r>
      <w:r>
        <w:rPr>
          <w:sz w:val="20"/>
          <w:szCs w:val="20"/>
          <w:color w:val="auto"/>
        </w:rPr>
        <w:tab/>
      </w:r>
      <w:r>
        <w:rPr>
          <w:rFonts w:ascii="Arial" w:cs="Arial" w:eastAsia="Arial" w:hAnsi="Arial"/>
          <w:sz w:val="16"/>
          <w:szCs w:val="16"/>
          <w:color w:val="auto"/>
        </w:rPr>
        <w:t>25,000</w:t>
      </w:r>
    </w:p>
    <w:p>
      <w:pPr>
        <w:spacing w:after="0" w:line="200" w:lineRule="exact"/>
        <w:rPr>
          <w:sz w:val="20"/>
          <w:szCs w:val="20"/>
          <w:color w:val="auto"/>
        </w:rPr>
      </w:pPr>
    </w:p>
    <w:p>
      <w:pPr>
        <w:spacing w:after="0" w:line="210"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6"/>
          <w:szCs w:val="16"/>
          <w:color w:val="auto"/>
        </w:rPr>
        <w:t>15,000</w:t>
      </w:r>
      <w:r>
        <w:rPr>
          <w:sz w:val="20"/>
          <w:szCs w:val="20"/>
          <w:color w:val="auto"/>
        </w:rPr>
        <w:tab/>
      </w:r>
      <w:r>
        <w:rPr>
          <w:rFonts w:ascii="Arial" w:cs="Arial" w:eastAsia="Arial" w:hAnsi="Arial"/>
          <w:sz w:val="16"/>
          <w:szCs w:val="16"/>
          <w:color w:val="auto"/>
        </w:rPr>
        <w:t>15,000</w:t>
      </w:r>
    </w:p>
    <w:p>
      <w:pPr>
        <w:spacing w:after="0" w:line="235"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6"/>
          <w:szCs w:val="16"/>
          <w:color w:val="auto"/>
        </w:rPr>
        <w:t>40,000</w:t>
      </w:r>
      <w:r>
        <w:rPr>
          <w:sz w:val="20"/>
          <w:szCs w:val="20"/>
          <w:color w:val="auto"/>
        </w:rPr>
        <w:tab/>
      </w:r>
      <w:r>
        <w:rPr>
          <w:rFonts w:ascii="Arial" w:cs="Arial" w:eastAsia="Arial" w:hAnsi="Arial"/>
          <w:sz w:val="16"/>
          <w:szCs w:val="16"/>
          <w:color w:val="auto"/>
        </w:rPr>
        <w:t>40,000</w:t>
      </w:r>
    </w:p>
    <w:p>
      <w:pPr>
        <w:spacing w:after="0" w:line="385" w:lineRule="exact"/>
        <w:rPr>
          <w:sz w:val="20"/>
          <w:szCs w:val="20"/>
          <w:color w:val="auto"/>
        </w:rPr>
      </w:pPr>
    </w:p>
    <w:p>
      <w:pPr>
        <w:ind w:left="100"/>
        <w:spacing w:after="0"/>
        <w:tabs>
          <w:tab w:leader="none" w:pos="1980" w:val="left"/>
        </w:tabs>
        <w:rPr>
          <w:sz w:val="20"/>
          <w:szCs w:val="20"/>
          <w:color w:val="auto"/>
        </w:rPr>
      </w:pPr>
      <w:r>
        <w:rPr>
          <w:rFonts w:ascii="Arial" w:cs="Arial" w:eastAsia="Arial" w:hAnsi="Arial"/>
          <w:sz w:val="18"/>
          <w:szCs w:val="18"/>
          <w:color w:val="auto"/>
        </w:rPr>
        <w:t>35,000</w:t>
      </w:r>
      <w:r>
        <w:rPr>
          <w:sz w:val="20"/>
          <w:szCs w:val="20"/>
          <w:color w:val="auto"/>
        </w:rPr>
        <w:tab/>
      </w:r>
      <w:r>
        <w:rPr>
          <w:rFonts w:ascii="Arial" w:cs="Arial" w:eastAsia="Arial" w:hAnsi="Arial"/>
          <w:sz w:val="14"/>
          <w:szCs w:val="14"/>
          <w:color w:val="auto"/>
        </w:rPr>
        <w:t>—</w:t>
      </w:r>
    </w:p>
    <w:p>
      <w:pPr>
        <w:spacing w:after="0" w:line="236"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6"/>
          <w:szCs w:val="16"/>
          <w:color w:val="auto"/>
        </w:rPr>
        <w:t>25,000</w:t>
      </w:r>
      <w:r>
        <w:rPr>
          <w:sz w:val="20"/>
          <w:szCs w:val="20"/>
          <w:color w:val="auto"/>
        </w:rPr>
        <w:tab/>
      </w:r>
      <w:r>
        <w:rPr>
          <w:rFonts w:ascii="Arial" w:cs="Arial" w:eastAsia="Arial" w:hAnsi="Arial"/>
          <w:sz w:val="16"/>
          <w:szCs w:val="16"/>
          <w:color w:val="auto"/>
        </w:rPr>
        <w:t>25,000</w:t>
      </w:r>
    </w:p>
    <w:p>
      <w:pPr>
        <w:spacing w:after="0" w:line="235"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6"/>
          <w:szCs w:val="16"/>
          <w:color w:val="auto"/>
        </w:rPr>
        <w:t>15,000</w:t>
      </w:r>
      <w:r>
        <w:rPr>
          <w:sz w:val="20"/>
          <w:szCs w:val="20"/>
          <w:color w:val="auto"/>
        </w:rPr>
        <w:tab/>
      </w:r>
      <w:r>
        <w:rPr>
          <w:rFonts w:ascii="Arial" w:cs="Arial" w:eastAsia="Arial" w:hAnsi="Arial"/>
          <w:sz w:val="16"/>
          <w:szCs w:val="16"/>
          <w:color w:val="auto"/>
        </w:rPr>
        <w:t>15,000</w:t>
      </w:r>
    </w:p>
    <w:p>
      <w:pPr>
        <w:spacing w:after="0" w:line="235"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6"/>
          <w:szCs w:val="16"/>
          <w:color w:val="auto"/>
        </w:rPr>
        <w:t>15,000</w:t>
      </w:r>
      <w:r>
        <w:rPr>
          <w:sz w:val="20"/>
          <w:szCs w:val="20"/>
          <w:color w:val="auto"/>
        </w:rPr>
        <w:tab/>
      </w:r>
      <w:r>
        <w:rPr>
          <w:rFonts w:ascii="Arial" w:cs="Arial" w:eastAsia="Arial" w:hAnsi="Arial"/>
          <w:sz w:val="16"/>
          <w:szCs w:val="16"/>
          <w:color w:val="auto"/>
        </w:rPr>
        <w:t>15,000</w:t>
      </w:r>
    </w:p>
    <w:p>
      <w:pPr>
        <w:spacing w:after="0" w:line="235"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6"/>
          <w:szCs w:val="16"/>
          <w:color w:val="auto"/>
        </w:rPr>
        <w:t>16,000</w:t>
      </w:r>
      <w:r>
        <w:rPr>
          <w:sz w:val="20"/>
          <w:szCs w:val="20"/>
          <w:color w:val="auto"/>
        </w:rPr>
        <w:tab/>
      </w:r>
      <w:r>
        <w:rPr>
          <w:rFonts w:ascii="Arial" w:cs="Arial" w:eastAsia="Arial" w:hAnsi="Arial"/>
          <w:sz w:val="16"/>
          <w:szCs w:val="16"/>
          <w:color w:val="auto"/>
        </w:rPr>
        <w:t>16,000</w:t>
      </w:r>
    </w:p>
    <w:p>
      <w:pPr>
        <w:spacing w:after="0" w:line="235"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6"/>
          <w:szCs w:val="16"/>
          <w:color w:val="auto"/>
        </w:rPr>
        <w:t>35,000</w:t>
      </w:r>
      <w:r>
        <w:rPr>
          <w:sz w:val="20"/>
          <w:szCs w:val="20"/>
          <w:color w:val="auto"/>
        </w:rPr>
        <w:tab/>
      </w:r>
      <w:r>
        <w:rPr>
          <w:rFonts w:ascii="Arial" w:cs="Arial" w:eastAsia="Arial" w:hAnsi="Arial"/>
          <w:sz w:val="16"/>
          <w:szCs w:val="16"/>
          <w:color w:val="auto"/>
        </w:rPr>
        <w:t>35,000</w:t>
      </w:r>
    </w:p>
    <w:p>
      <w:pPr>
        <w:spacing w:after="0" w:line="235"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6"/>
          <w:szCs w:val="16"/>
          <w:color w:val="auto"/>
        </w:rPr>
        <w:t>11,000</w:t>
      </w:r>
      <w:r>
        <w:rPr>
          <w:sz w:val="20"/>
          <w:szCs w:val="20"/>
          <w:color w:val="auto"/>
        </w:rPr>
        <w:tab/>
      </w:r>
      <w:r>
        <w:rPr>
          <w:rFonts w:ascii="Arial" w:cs="Arial" w:eastAsia="Arial" w:hAnsi="Arial"/>
          <w:sz w:val="16"/>
          <w:szCs w:val="16"/>
          <w:color w:val="auto"/>
        </w:rPr>
        <w:t>11,000</w:t>
      </w:r>
    </w:p>
    <w:p>
      <w:pPr>
        <w:spacing w:after="0" w:line="275"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6"/>
          <w:szCs w:val="16"/>
          <w:color w:val="auto"/>
        </w:rPr>
        <w:t>51,066</w:t>
      </w:r>
      <w:r>
        <w:rPr>
          <w:sz w:val="20"/>
          <w:szCs w:val="20"/>
          <w:color w:val="auto"/>
        </w:rPr>
        <w:tab/>
      </w:r>
      <w:r>
        <w:rPr>
          <w:rFonts w:ascii="Arial" w:cs="Arial" w:eastAsia="Arial" w:hAnsi="Arial"/>
          <w:sz w:val="16"/>
          <w:szCs w:val="16"/>
          <w:color w:val="auto"/>
        </w:rPr>
        <w:t>49,813</w:t>
      </w:r>
    </w:p>
    <w:p>
      <w:pPr>
        <w:spacing w:after="0" w:line="46" w:lineRule="exact"/>
        <w:rPr>
          <w:sz w:val="20"/>
          <w:szCs w:val="20"/>
          <w:color w:val="auto"/>
        </w:rPr>
      </w:pPr>
    </w:p>
    <w:p>
      <w:pPr>
        <w:ind w:left="320"/>
        <w:spacing w:after="0"/>
        <w:tabs>
          <w:tab w:leader="none" w:pos="1840" w:val="left"/>
        </w:tabs>
        <w:rPr>
          <w:sz w:val="20"/>
          <w:szCs w:val="20"/>
          <w:color w:val="auto"/>
        </w:rPr>
      </w:pPr>
      <w:r>
        <w:rPr>
          <w:rFonts w:ascii="Arial" w:cs="Arial" w:eastAsia="Arial" w:hAnsi="Arial"/>
          <w:sz w:val="16"/>
          <w:szCs w:val="16"/>
          <w:color w:val="auto"/>
        </w:rPr>
        <w:t>278</w:t>
      </w:r>
      <w:r>
        <w:rPr>
          <w:sz w:val="20"/>
          <w:szCs w:val="20"/>
          <w:color w:val="auto"/>
        </w:rPr>
        <w:tab/>
      </w:r>
      <w:r>
        <w:rPr>
          <w:rFonts w:ascii="Arial" w:cs="Arial" w:eastAsia="Arial" w:hAnsi="Arial"/>
          <w:sz w:val="16"/>
          <w:szCs w:val="16"/>
          <w:color w:val="auto"/>
        </w:rPr>
        <w:t>664</w:t>
      </w:r>
    </w:p>
    <w:p>
      <w:pPr>
        <w:spacing w:after="0" w:line="63" w:lineRule="exact"/>
        <w:rPr>
          <w:sz w:val="20"/>
          <w:szCs w:val="20"/>
          <w:color w:val="auto"/>
        </w:rPr>
      </w:pPr>
    </w:p>
    <w:p>
      <w:pPr>
        <w:sectPr>
          <w:pgSz w:w="11900" w:h="16838" w:orient="portrait"/>
          <w:cols w:equalWidth="0" w:num="2">
            <w:col w:w="8380" w:space="660"/>
            <w:col w:w="2200"/>
          </w:cols>
          <w:pgMar w:left="320" w:top="1107"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amount of debt</w:t>
            </w:r>
          </w:p>
        </w:tc>
        <w:tc>
          <w:tcPr>
            <w:tcW w:w="3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1,057,969</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603,477</w:t>
            </w:r>
          </w:p>
        </w:tc>
      </w:tr>
      <w:tr>
        <w:trPr>
          <w:trHeight w:val="229"/>
        </w:trPr>
        <w:tc>
          <w:tcPr>
            <w:tcW w:w="8640" w:type="dxa"/>
            <w:vAlign w:val="bottom"/>
            <w:gridSpan w:val="2"/>
          </w:tcPr>
          <w:p>
            <w:pPr>
              <w:ind w:left="360"/>
              <w:spacing w:after="0"/>
              <w:rPr>
                <w:sz w:val="20"/>
                <w:szCs w:val="20"/>
                <w:color w:val="auto"/>
              </w:rPr>
            </w:pPr>
            <w:r>
              <w:rPr>
                <w:rFonts w:ascii="Arial" w:cs="Arial" w:eastAsia="Arial" w:hAnsi="Arial"/>
                <w:sz w:val="18"/>
                <w:szCs w:val="18"/>
                <w:color w:val="auto"/>
              </w:rPr>
              <w:t>Less—unamortized debt issuance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11,843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9,494</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less unamortized debt issuance costs</w:t>
            </w:r>
          </w:p>
        </w:tc>
        <w:tc>
          <w:tcPr>
            <w:tcW w:w="3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1,046,126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593,983</w:t>
            </w:r>
          </w:p>
        </w:tc>
      </w:tr>
      <w:tr>
        <w:trPr>
          <w:trHeight w:val="229"/>
        </w:trPr>
        <w:tc>
          <w:tcPr>
            <w:tcW w:w="8640" w:type="dxa"/>
            <w:vAlign w:val="bottom"/>
            <w:gridSpan w:val="2"/>
          </w:tcPr>
          <w:p>
            <w:pPr>
              <w:ind w:left="360"/>
              <w:spacing w:after="0"/>
              <w:rPr>
                <w:sz w:val="20"/>
                <w:szCs w:val="20"/>
                <w:color w:val="auto"/>
              </w:rPr>
            </w:pPr>
            <w:r>
              <w:rPr>
                <w:rFonts w:ascii="Arial" w:cs="Arial" w:eastAsia="Arial" w:hAnsi="Arial"/>
                <w:sz w:val="18"/>
                <w:szCs w:val="18"/>
                <w:color w:val="auto"/>
              </w:rPr>
              <w:t>Less—current maturities of debt</w:t>
            </w:r>
          </w:p>
        </w:tc>
        <w:tc>
          <w:tcPr>
            <w:tcW w:w="1060" w:type="dxa"/>
            <w:vAlign w:val="bottom"/>
          </w:tcPr>
          <w:p>
            <w:pPr>
              <w:jc w:val="right"/>
              <w:spacing w:after="0"/>
              <w:rPr>
                <w:sz w:val="20"/>
                <w:szCs w:val="20"/>
                <w:color w:val="auto"/>
              </w:rPr>
            </w:pPr>
            <w:r>
              <w:rPr>
                <w:rFonts w:ascii="Arial" w:cs="Arial" w:eastAsia="Arial" w:hAnsi="Arial"/>
                <w:sz w:val="18"/>
                <w:szCs w:val="18"/>
                <w:color w:val="auto"/>
              </w:rPr>
              <w:t>33,957</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w:t>
            </w:r>
          </w:p>
        </w:tc>
      </w:tr>
      <w:tr>
        <w:trPr>
          <w:trHeight w:val="45"/>
        </w:trPr>
        <w:tc>
          <w:tcPr>
            <w:tcW w:w="82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r>
      <w:tr>
        <w:trPr>
          <w:trHeight w:val="224"/>
        </w:trPr>
        <w:tc>
          <w:tcPr>
            <w:tcW w:w="8640" w:type="dxa"/>
            <w:vAlign w:val="bottom"/>
            <w:tcBorders>
              <w:top w:val="single" w:sz="8" w:color="CCEEFF"/>
            </w:tcBorders>
            <w:gridSpan w:val="2"/>
            <w:shd w:val="clear" w:color="auto" w:fill="CCEEFF"/>
          </w:tcPr>
          <w:p>
            <w:pPr>
              <w:ind w:left="8280"/>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1,012,169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585,015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February 2023, we entered into first and second amendments to our Amended and Restated Credit Agreement. The first amendment provides, commencing in the fiscal year ending December 31, 2024, that the interest rate margin applied for drawn and undrawn amounts under the Amended and Restated Credit Agreement shall be separately adjusted based on our achievement of certain thresholds and targets on two sustainability related key performance indicator metrics during the prior fiscal year: (i) metric tons of solid waste materials reduced, reused or recycled through our direct operations or with third-parties in collaboration with customers; and (ii) our total recordable incident rate. The second amendment provides that loans under the Amended and Restated Credit Agreement shall bear interest, at our election, at Term SOFR, including a secured overnight financing rate adjustment of 10 basis points, or at a base rate, in each case, plus or minus any sustainable rate adjustment plus an applicable interest rate margin based upon our consolidated net leverage ratio.</w:t>
      </w:r>
    </w:p>
    <w:p>
      <w:pPr>
        <w:spacing w:after="0" w:line="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April 2023, we entered into an equity purchase agreement pursuant to which we agreed to the GFL Acquisition. In connection with the GFL Acquisition, we entered into (i) a commitment letter to obtain short-term secured bridge financing of up to $375,000 and (ii) the third amendment to the Amended and Restated Credit Agreement to, among other things, permit the draw down of the short-term secured bridge financing and authorize a delayed draw term loan facility to be executed with customary limited condition provisions. The short-term secured bridge financing was undrawn and subsequently terminated in May 2023 when we entered into the Loan Joinder, which provided for a $430,000 aggregate principal amount 2023 Term Loan Facility under the Amended and Restated Credit Agreement. In June 2023, we borrowed $430,000 under the 2023 Term Loan Facility and paid certain fees and costs due and payable in connection therewith. Borrowings from the 2023 Term Loan Facility were used to fund, in conjunction with the net proceeds from the public offering of our Class A common stock completed on June 16, 2023, cash and cash equivalents and borrowings from our Revolving Credit Facility, the GFL Acquisition. See Note 9,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further disclosure regarding the public offering.</w:t>
      </w:r>
    </w:p>
    <w:p>
      <w:pPr>
        <w:spacing w:after="0" w:line="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June 2023, we entered into an asset purchase agreement pursuant to which we agreed to the Twin Bridges Acquisition. In connection with the Twin Bridges Acquisition, we entered into a commitment letter to obtain short-term unsecured bridge financing of up to $200,000 that was undrawn and subsequently terminated when we completed the public offering of our Class A common stock on June 16, 2023. Net proceeds from the public equity offering completed on June 16, 2023, together with cash and cash equivalents, were used to fund the Twin Bridges Acquisition. See Note 9,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w:t>
      </w:r>
      <w:r>
        <w:rPr>
          <w:rFonts w:ascii="Arial" w:cs="Arial" w:eastAsia="Arial" w:hAnsi="Arial"/>
          <w:sz w:val="18"/>
          <w:szCs w:val="18"/>
          <w:color w:val="auto"/>
        </w:rPr>
        <w:t>for further disclosure regarding the public offering.</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August 2023, we completed the issuance of $35,000 aggregate principal amount of New York Bonds 2020R-2. The New York Bonds 2020R-2, which are unsecured and guaranteed jointly and severally, fully and unconditionally by all of our significant wholly-owned subsidiaries, accrue interest at 5.125% per annum from August 24, 2023 through September 2, 2030, at which time they may be converted to a variable interest rate period or to a new term interest rate period. The New York Bonds 2020R-2 mature on September 1, 2050. As of September 30, 2023, we had $2,730 of remaining cash proceeds from the issuance of the New York Bonds 2020R-2 included in restricted cash and assets that is restricted to finance or reimburse certain noncurrent asset costs associated with capital projects in the State of New York.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we are party to the Amended and Restated Credit Agreement, which provides for a $350,000 aggregate principal amount Term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Loan Facility, a $300,000 Revolving Credit Facility, with a $75,000 sublimit for letters of credit, and a $430,000 2023 Term Loan Facility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We have the right to request, at our discretion, an increase in the amount of loans under the Credit Facility by an aggregate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$125,000, subject to further increase based on the terms and conditions set forth in the Amended and Restated Credit Agreement. The Credit Facility has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5-year term that matures in December 2026. The Credit Facility shall bear interest, at our election, at Term SOFR, including a secured overnight financing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adjustment of 10 basis points, or at a base rate, in each case plus or minus any sustainable rate adjustment of up to positive or negative 4.0 basis points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annum, plus an applicable interest rate margin based upon our consolidated net leverage ratio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860" w:type="dxa"/>
            <w:vAlign w:val="bottom"/>
            <w:gridSpan w:val="2"/>
          </w:tcPr>
          <w:p>
            <w:pPr>
              <w:ind w:left="300"/>
              <w:spacing w:after="0"/>
              <w:rPr>
                <w:sz w:val="20"/>
                <w:szCs w:val="20"/>
                <w:color w:val="auto"/>
              </w:rPr>
            </w:pPr>
            <w:r>
              <w:rPr>
                <w:rFonts w:ascii="Arial" w:cs="Arial" w:eastAsia="Arial" w:hAnsi="Arial"/>
                <w:sz w:val="14"/>
                <w:szCs w:val="14"/>
                <w:b w:val="1"/>
                <w:bCs w:val="1"/>
                <w:color w:val="auto"/>
              </w:rPr>
              <w:t>Term SOFR Loans</w:t>
            </w:r>
          </w:p>
        </w:tc>
        <w:tc>
          <w:tcPr>
            <w:tcW w:w="1760" w:type="dxa"/>
            <w:vAlign w:val="bottom"/>
          </w:tcPr>
          <w:p>
            <w:pPr>
              <w:ind w:left="360"/>
              <w:spacing w:after="0"/>
              <w:rPr>
                <w:sz w:val="20"/>
                <w:szCs w:val="20"/>
                <w:color w:val="auto"/>
              </w:rPr>
            </w:pPr>
            <w:r>
              <w:rPr>
                <w:rFonts w:ascii="Arial" w:cs="Arial" w:eastAsia="Arial" w:hAnsi="Arial"/>
                <w:sz w:val="14"/>
                <w:szCs w:val="14"/>
                <w:b w:val="1"/>
                <w:bCs w:val="1"/>
                <w:color w:val="auto"/>
              </w:rPr>
              <w:t>Base Rate Loans</w:t>
            </w:r>
          </w:p>
        </w:tc>
      </w:tr>
      <w:tr>
        <w:trPr>
          <w:trHeight w:val="25"/>
        </w:trPr>
        <w:tc>
          <w:tcPr>
            <w:tcW w:w="370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31"/>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392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1.125% to 2.125%</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0.125% to 1.125%</w:t>
            </w:r>
          </w:p>
        </w:tc>
      </w:tr>
      <w:tr>
        <w:trPr>
          <w:trHeight w:val="338"/>
        </w:trPr>
        <w:tc>
          <w:tcPr>
            <w:tcW w:w="37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9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1.125% to 2.125%</w:t>
            </w:r>
          </w:p>
        </w:tc>
        <w:tc>
          <w:tcPr>
            <w:tcW w:w="1760" w:type="dxa"/>
            <w:vAlign w:val="bottom"/>
          </w:tcPr>
          <w:p>
            <w:pPr>
              <w:spacing w:after="0"/>
              <w:rPr>
                <w:sz w:val="20"/>
                <w:szCs w:val="20"/>
                <w:color w:val="auto"/>
              </w:rPr>
            </w:pPr>
            <w:r>
              <w:rPr>
                <w:rFonts w:ascii="Arial" w:cs="Arial" w:eastAsia="Arial" w:hAnsi="Arial"/>
                <w:sz w:val="18"/>
                <w:szCs w:val="18"/>
                <w:color w:val="auto"/>
              </w:rPr>
              <w:t>0.125% to 1.125%</w:t>
            </w:r>
          </w:p>
        </w:tc>
      </w:tr>
      <w:tr>
        <w:trPr>
          <w:trHeight w:val="338"/>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Term Loan Facility</w:t>
            </w:r>
          </w:p>
        </w:tc>
        <w:tc>
          <w:tcPr>
            <w:tcW w:w="392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1.625% to 2.625%</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0.625% to 1.625%</w:t>
            </w:r>
          </w:p>
        </w:tc>
      </w:tr>
      <w:tr>
        <w:trPr>
          <w:trHeight w:val="864"/>
        </w:trPr>
        <w:tc>
          <w:tcPr>
            <w:tcW w:w="3700" w:type="dxa"/>
            <w:vAlign w:val="bottom"/>
          </w:tcPr>
          <w:p>
            <w:pPr>
              <w:spacing w:after="0"/>
              <w:rPr>
                <w:sz w:val="24"/>
                <w:szCs w:val="24"/>
                <w:color w:val="auto"/>
              </w:rPr>
            </w:pPr>
          </w:p>
        </w:tc>
        <w:tc>
          <w:tcPr>
            <w:tcW w:w="3920" w:type="dxa"/>
            <w:vAlign w:val="bottom"/>
          </w:tcPr>
          <w:p>
            <w:pPr>
              <w:jc w:val="right"/>
              <w:ind w:right="1810"/>
              <w:spacing w:after="0"/>
              <w:rPr>
                <w:sz w:val="20"/>
                <w:szCs w:val="20"/>
                <w:color w:val="auto"/>
              </w:rPr>
            </w:pPr>
            <w:r>
              <w:rPr>
                <w:rFonts w:ascii="Arial" w:cs="Arial" w:eastAsia="Arial" w:hAnsi="Arial"/>
                <w:sz w:val="18"/>
                <w:szCs w:val="18"/>
                <w:color w:val="auto"/>
              </w:rPr>
              <w:t>16</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spacing w:after="0" w:line="253" w:lineRule="auto"/>
        <w:rPr>
          <w:sz w:val="20"/>
          <w:szCs w:val="20"/>
          <w:color w:val="auto"/>
        </w:rPr>
      </w:pPr>
      <w:r>
        <w:rPr>
          <w:rFonts w:ascii="Arial" w:cs="Arial" w:eastAsia="Arial" w:hAnsi="Arial"/>
          <w:sz w:val="18"/>
          <w:szCs w:val="18"/>
          <w:color w:val="auto"/>
        </w:rPr>
        <w:t>A commitment fee will be charged on undrawn amounts at a rate of Term SOFR, including a secured overnight financing rate adjustment of 10 basis points, plus a margin based upon our consolidated net leverage ratio in the range of 0.20% to 0.40% per annum, plus a sustainability adjustment of up to positive or negative 1.0 basis point per annum. The Amended and Restated Credit Agreement provides that Term SOFR is subject to a zero percent floor. We are also required to pay a fronting fee for each letter of credit of 0.25% per annum. Interest under the Amended and Restated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September 30, 2023, further advances were available under the Revolving Credit Facility in the amount of $272,267. The available amount is net of outstanding irrevocable letters of credit totaling $27,733, and as of September 30, 2023 no amount had been drawn.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long-term debt and finance leases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15,513</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 xml:space="preserve">Amortization of debt issuance costs </w:t>
            </w:r>
            <w:r>
              <w:rPr>
                <w:rFonts w:ascii="Arial" w:cs="Arial" w:eastAsia="Arial" w:hAnsi="Arial"/>
                <w:sz w:val="14"/>
                <w:szCs w:val="14"/>
                <w:color w:val="auto"/>
              </w:rPr>
              <w:t>(1)</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1,414</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 of credit fees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capitalized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right="560" w:hanging="652"/>
        <w:spacing w:after="0" w:line="263"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interest expense related to a short-term secured bridge financing entered into in connection with the GFL Acquisition and interest expense related to a short-term unsecured bridge financing entered into in connection with the Twin Bridges Acquisition of $395 and $101, respectively, during the nine months ended September 30,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Termination of Bridge Financing</w:t>
      </w:r>
    </w:p>
    <w:p>
      <w:pPr>
        <w:spacing w:after="0" w:line="12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In the nine months ended September 30, 2023, we wrote-off the unamortized debt issuance costs and recognized a loss from termination of bridge financing upon the extinguishment of both a secured bridge financing agreement in connection with the GFL Acquisition of $3,718, and an unsecured bridge financing agreement in connection with the Twin Bridges Acquisition of $4,473.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income,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notional amount of interest rate derivative agreements follows:</w:t>
      </w:r>
    </w:p>
    <w:p>
      <w:pPr>
        <w:spacing w:after="0" w:line="13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Nine Months Ended</w:t>
      </w:r>
    </w:p>
    <w:p>
      <w:pPr>
        <w:ind w:left="8400"/>
        <w:spacing w:after="0"/>
        <w:rPr>
          <w:sz w:val="20"/>
          <w:szCs w:val="20"/>
          <w:color w:val="auto"/>
        </w:rPr>
      </w:pPr>
      <w:r>
        <w:rPr>
          <w:rFonts w:ascii="Arial" w:cs="Arial" w:eastAsia="Arial" w:hAnsi="Arial"/>
          <w:sz w:val="14"/>
          <w:szCs w:val="14"/>
          <w:b w:val="1"/>
          <w:bCs w:val="1"/>
          <w:color w:val="auto"/>
        </w:rPr>
        <w:t>September 30, 2023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Active</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Forward Starting</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30"/>
        </w:trPr>
        <w:tc>
          <w:tcPr>
            <w:tcW w:w="6760" w:type="dxa"/>
            <w:vAlign w:val="bottom"/>
            <w:tcBorders>
              <w:top w:val="single" w:sz="8" w:color="CCEEFF"/>
            </w:tcBorders>
            <w:shd w:val="clear" w:color="auto" w:fill="CCEEFF"/>
          </w:tcPr>
          <w:p>
            <w:pPr>
              <w:jc w:val="center"/>
              <w:ind w:right="5270"/>
              <w:spacing w:after="0"/>
              <w:rPr>
                <w:sz w:val="20"/>
                <w:szCs w:val="20"/>
                <w:color w:val="auto"/>
              </w:rPr>
            </w:pPr>
            <w:r>
              <w:rPr>
                <w:rFonts w:ascii="Arial" w:cs="Arial" w:eastAsia="Arial" w:hAnsi="Arial"/>
                <w:sz w:val="18"/>
                <w:szCs w:val="18"/>
                <w:color w:val="auto"/>
                <w:w w:val="91"/>
              </w:rPr>
              <w:t>Beginning balance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r>
      <w:tr>
        <w:trPr>
          <w:trHeight w:val="230"/>
        </w:trPr>
        <w:tc>
          <w:tcPr>
            <w:tcW w:w="6760" w:type="dxa"/>
            <w:vAlign w:val="bottom"/>
          </w:tcPr>
          <w:p>
            <w:pPr>
              <w:jc w:val="center"/>
              <w:ind w:right="5250"/>
              <w:spacing w:after="0"/>
              <w:rPr>
                <w:sz w:val="20"/>
                <w:szCs w:val="20"/>
                <w:color w:val="auto"/>
              </w:rPr>
            </w:pPr>
            <w:r>
              <w:rPr>
                <w:rFonts w:ascii="Arial" w:cs="Arial" w:eastAsia="Arial" w:hAnsi="Arial"/>
                <w:sz w:val="18"/>
                <w:szCs w:val="18"/>
                <w:color w:val="auto"/>
                <w:w w:val="94"/>
              </w:rPr>
              <w:t>Additions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290,000</w:t>
            </w:r>
          </w:p>
        </w:tc>
      </w:tr>
      <w:tr>
        <w:trPr>
          <w:trHeight w:val="229"/>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Commencements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jc w:val="center"/>
              <w:ind w:right="5230"/>
              <w:spacing w:after="0"/>
              <w:rPr>
                <w:sz w:val="20"/>
                <w:szCs w:val="20"/>
                <w:color w:val="auto"/>
              </w:rPr>
            </w:pPr>
            <w:r>
              <w:rPr>
                <w:rFonts w:ascii="Arial" w:cs="Arial" w:eastAsia="Arial" w:hAnsi="Arial"/>
                <w:sz w:val="18"/>
                <w:szCs w:val="18"/>
                <w:color w:val="auto"/>
                <w:w w:val="92"/>
              </w:rPr>
              <w:t>Maturities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(85,000)</w:t>
            </w:r>
          </w:p>
        </w:tc>
      </w:tr>
      <w:tr>
        <w:trPr>
          <w:trHeight w:val="248"/>
        </w:trPr>
        <w:tc>
          <w:tcPr>
            <w:tcW w:w="6760" w:type="dxa"/>
            <w:vAlign w:val="bottom"/>
            <w:tcBorders>
              <w:top w:val="single" w:sz="8" w:color="CCEEFF"/>
              <w:bottom w:val="single" w:sz="8" w:color="CCEEFF"/>
            </w:tcBorders>
            <w:shd w:val="clear" w:color="auto" w:fill="CCEEFF"/>
          </w:tcPr>
          <w:p>
            <w:pPr>
              <w:jc w:val="center"/>
              <w:ind w:right="5290"/>
              <w:spacing w:after="0"/>
              <w:rPr>
                <w:sz w:val="20"/>
                <w:szCs w:val="20"/>
                <w:color w:val="auto"/>
              </w:rPr>
            </w:pPr>
            <w:r>
              <w:rPr>
                <w:rFonts w:ascii="Arial" w:cs="Arial" w:eastAsia="Arial" w:hAnsi="Arial"/>
                <w:sz w:val="18"/>
                <w:szCs w:val="18"/>
                <w:color w:val="auto"/>
                <w:w w:val="91"/>
              </w:rPr>
              <w:t xml:space="preserve">Ending balance </w:t>
            </w:r>
            <w:r>
              <w:rPr>
                <w:rFonts w:ascii="Arial" w:cs="Arial" w:eastAsia="Arial" w:hAnsi="Arial"/>
                <w:sz w:val="14"/>
                <w:szCs w:val="14"/>
                <w:color w:val="auto"/>
                <w:w w:val="91"/>
              </w:rPr>
              <w:t>(1)</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right="240" w:hanging="652"/>
        <w:spacing w:after="0" w:line="277"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receive interest based on Term SOFR, restricted by a 0.0% floor, and pay interest at a weighted average rate of approximately 3.41%. These agreements mature between February 2026 and June 2028.</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5520" w:type="dxa"/>
            <w:vAlign w:val="bottom"/>
            <w:gridSpan w:val="2"/>
            <w:vMerge w:val="restart"/>
          </w:tcPr>
          <w:p>
            <w:pPr>
              <w:ind w:left="200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1"/>
                <w:szCs w:val="11"/>
                <w:color w:val="auto"/>
              </w:rPr>
            </w:pPr>
          </w:p>
        </w:tc>
        <w:tc>
          <w:tcPr>
            <w:tcW w:w="1140" w:type="dxa"/>
            <w:vAlign w:val="bottom"/>
          </w:tcPr>
          <w:p>
            <w:pPr>
              <w:jc w:val="right"/>
              <w:ind w:right="214"/>
              <w:spacing w:after="0" w:line="13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5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rate swaps</w:t>
            </w:r>
          </w:p>
        </w:tc>
        <w:tc>
          <w:tcPr>
            <w:tcW w:w="55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net of 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 - tax effect</w:t>
            </w: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income, net of tax</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the ordinary course of our business and as the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accordance with FASB ASC 450 - Contingencies, we accrue for legal proceedings, inclusive of legal costs, when losses become probable and reasonably estimable. We have recorded an aggregate accrual of $6,280 relating to our outstanding legal proceedings as of September 30, 2023.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 See Note 11, </w:t>
      </w:r>
      <w:r>
        <w:rPr>
          <w:rFonts w:ascii="Arial" w:cs="Arial" w:eastAsia="Arial" w:hAnsi="Arial"/>
          <w:sz w:val="17"/>
          <w:szCs w:val="17"/>
          <w:i w:val="1"/>
          <w:iCs w:val="1"/>
          <w:color w:val="auto"/>
        </w:rPr>
        <w:t>Other Items and Charges</w:t>
      </w:r>
      <w:r>
        <w:rPr>
          <w:rFonts w:ascii="Arial" w:cs="Arial" w:eastAsia="Arial" w:hAnsi="Arial"/>
          <w:sz w:val="17"/>
          <w:szCs w:val="17"/>
          <w:color w:val="auto"/>
        </w:rPr>
        <w:t xml:space="preserve"> for disclosure regarding a legal settlement charge recorded in the nine months ended September 30, 2023.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 Expansion Permit</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permit for expansion of the Bethlehem, New Hampshire landfill of our subsidiary, North Country Environmental Services, Inc. (“NCES”), known as “Stage VI”, issued in October 2020 (“Permit”), was appealed by the Conservation Law Foundation (“CLF”) to the New Hampshire Waste Management Council (“Council”) on November 9, 2020 on the grounds it failed to meet the public benefit criteria. Following a hearing on the merits during which the Council found that the New Hampshire Department of Environmental Services (“DES”) had reasonably measured and acted lawfully in determining a capacity need for Stage VI, the hearing officer presiding over the proceedings issued an Order on May 11, 2022, without further hearing, determining instead that DES had acted unlawfully in reaching these conclusions (“Hearing Officer’s Order”), and remanded the Permit to DES on this determination. On December 5, 2022, DES and NCES both separately sought review of the Hearing Officer’s Order on appeal to the New Hampshire Supreme Court (“Supreme Court”). The parties presented oral arguments to the Supreme Court on October 3, 2023. A decision has not yet been issued. On December 14, 2022, NCES filed an action in Merrimack Superior Court (“Superior Court”) seeking to invalidate the Hearing Officer’s Order as having been adopted in violation of New Hampshire’s statute governing access to public records and meetings in that the Council did not hold a public meeting to deliberate on the Hearing Officer’s Order. The Superior Court has since dismissed that proceeding, however, NCES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ind w:right="40"/>
        <w:spacing w:after="0" w:line="255" w:lineRule="auto"/>
        <w:rPr>
          <w:sz w:val="20"/>
          <w:szCs w:val="20"/>
          <w:color w:val="auto"/>
        </w:rPr>
      </w:pPr>
      <w:r>
        <w:rPr>
          <w:rFonts w:ascii="Arial" w:cs="Arial" w:eastAsia="Arial" w:hAnsi="Arial"/>
          <w:sz w:val="18"/>
          <w:szCs w:val="18"/>
          <w:color w:val="auto"/>
        </w:rPr>
        <w:t>appealed that decision to the Supreme Court on April 18, 2023. NCES’s brief on appeal was filed with the Supreme Court on August 11, 2023. On September 26, 2023, CLF filed a Motion to Intervene as well as a memorandum of law asking the Supreme Court to uphold the Superior Court’s dismissal, to which NCES filed an Objection in response on October 23, 2023. The Council submitted its brief on October 25, 2023; NCES’s reply is due November 4, 2023. CLF’s Motion to Intervene remains pending. In the event that the Supreme Court affirms the Hearing Officer’s Order on appeal, the Permit would remand to DES, where NCES would take steps in an effort to avoid or mitigate an adverse determination. If the Stage VI permit is not ultimately approved, NCES capacity could be curtailed.</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September 20, 2022, NCES, which has since withdrawn as a party, and our subsidiary, Granite State Landfill, LLC, filed a Petition for Declaratory Judgment ("Petition") in the Superior Court asking the Superior Court for a determination of the meaning and constitutionality of New Hampshire’s public benefit requirement, the same statute at issue in the Hearing Officer’s Order. CLF was granted intervention in the Petition proceeding on June 8, 2023. This matter remains pending before the Superior Court.</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April 12, 2023, DES issued approval of construction plans for Stage VI, Phase II to NCES (“DES Approval”). CLF appealed the DES Approval to the Council on May 11, 2023, on the grounds that it failed to meet the public benefit criteria, and that the DES Approval conflicts with the Hearing Officer’s May 11, 2022 Order determining that DES had acted unlawfully in issuing the Permit, and requested expedited review. The Council has denied the request for expedited review and this appeal remains pending before the Council.</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NCES will continue to vigorously defend the Permit through the appeals to the Supreme Court, will litigate the Petition before the Superior Court, and will defend the DES Approval on appeal before the Council.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Restricted cash is included with cash and cash equivalents when reconciling the beginning-of-period and end-of-period total amounts shown on the statement of cash flows. Beginning-of-period and end-of-period cash, cash equivalents and restricted cash s presented in the statement of cash flows is reconciled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jc w:val="right"/>
              <w:ind w:right="61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7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877"/>
              <w:spacing w:after="0"/>
              <w:rPr>
                <w:sz w:val="20"/>
                <w:szCs w:val="20"/>
                <w:color w:val="auto"/>
              </w:rPr>
            </w:pPr>
            <w:r>
              <w:rPr>
                <w:rFonts w:ascii="Arial" w:cs="Arial" w:eastAsia="Arial" w:hAnsi="Arial"/>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219,089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71,152</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 non-current</w:t>
            </w:r>
          </w:p>
        </w:tc>
        <w:tc>
          <w:tcPr>
            <w:tcW w:w="1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221,819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Our restricted cash consists of cash proceeds from the issuance of the New York Bonds 2020R-2 included in restricted cash and assets that is restricted to finance or reimburse certain noncurrent asset costs associated with capital projects in the State of New York.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disclosure regarding New York Bonds 2020R-2.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the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w:t>
      </w:r>
    </w:p>
    <w:p>
      <w:pPr>
        <w:spacing w:after="0" w:line="8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Future changes in our estimates of the cost, timing or duration of the required actions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ind w:right="160"/>
        <w:spacing w:after="0" w:line="311" w:lineRule="auto"/>
        <w:rPr>
          <w:sz w:val="20"/>
          <w:szCs w:val="20"/>
          <w:color w:val="auto"/>
        </w:rPr>
      </w:pPr>
      <w:r>
        <w:rPr>
          <w:rFonts w:ascii="Arial" w:cs="Arial" w:eastAsia="Arial" w:hAnsi="Arial"/>
          <w:sz w:val="16"/>
          <w:szCs w:val="16"/>
          <w:color w:val="auto"/>
        </w:rPr>
        <w:t>We inflate the estimated costs in current dollars to the expected time of payment and discount the total cost to present value using a risk-free interest rate. The risk-free interest rates associated with our environmental remediation liabilities as of September 30, 2023 range between 1.5% and 4.1%. A summary of the changes to the aggregate environmental remediation liabilities for the nine months ended September 30, 2023 and 2022 follows:</w:t>
      </w:r>
    </w:p>
    <w:p>
      <w:pPr>
        <w:spacing w:after="0" w:line="73"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6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rPr>
              <w:t>2022</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520" w:type="dxa"/>
            <w:vAlign w:val="bottom"/>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Obligations incurred </w:t>
            </w:r>
            <w:r>
              <w:rPr>
                <w:rFonts w:ascii="Arial" w:cs="Arial" w:eastAsia="Arial" w:hAnsi="Arial"/>
                <w:sz w:val="14"/>
                <w:szCs w:val="14"/>
                <w:color w:val="auto"/>
              </w:rPr>
              <w:t>(1)</w:t>
            </w:r>
          </w:p>
        </w:tc>
        <w:tc>
          <w:tcPr>
            <w:tcW w:w="15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43"/>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1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1520" w:type="dxa"/>
            <w:vAlign w:val="bottom"/>
            <w:tcBorders>
              <w:bottom w:val="single" w:sz="8" w:color="auto"/>
            </w:tcBorders>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Associated with the investigation of potential remediation at an inactive waste disposal site that adjoins one of the landfills that we operate.</w:t>
      </w:r>
    </w:p>
    <w:p>
      <w:pPr>
        <w:spacing w:after="0" w:line="128" w:lineRule="exact"/>
        <w:rPr>
          <w:rFonts w:ascii="Arial" w:cs="Arial" w:eastAsia="Arial" w:hAnsi="Arial"/>
          <w:sz w:val="17"/>
          <w:szCs w:val="17"/>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include amounts that are being processed through accounts payable as a part of our disbursement cycle.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of Class A Common Stock</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16, 2023, we completed a public offering of 6,053 shares of our Class A common stock at a public offering price of $85.50 per share. After deducting stock issuance costs received as of September 30, 2023, including underwriting discounts, commissions and offering expenses, the offering has resulted in net proceeds of $496,231. The net proceeds from this offering were and are to be used to fund acquisition activity, including the GFL Acquisition and the Twin Bridges Acquisition</w:t>
      </w:r>
      <w:r>
        <w:rPr>
          <w:rFonts w:ascii="Arial" w:cs="Arial" w:eastAsia="Arial" w:hAnsi="Arial"/>
          <w:sz w:val="18"/>
          <w:szCs w:val="18"/>
          <w:i w:val="1"/>
          <w:iCs w:val="1"/>
          <w:color w:val="auto"/>
        </w:rPr>
        <w:t>,</w:t>
      </w:r>
      <w:r>
        <w:rPr>
          <w:rFonts w:ascii="Arial" w:cs="Arial" w:eastAsia="Arial" w:hAnsi="Arial"/>
          <w:sz w:val="18"/>
          <w:szCs w:val="18"/>
          <w:color w:val="auto"/>
        </w:rPr>
        <w:t xml:space="preserve"> to pay certain costs associated with acquisition activities, as discussed in Note 11,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and to repay borrowings and/or debt securities as discussed Note 7, </w:t>
      </w:r>
      <w:r>
        <w:rPr>
          <w:rFonts w:ascii="Arial" w:cs="Arial" w:eastAsia="Arial" w:hAnsi="Arial"/>
          <w:sz w:val="18"/>
          <w:szCs w:val="18"/>
          <w:i w:val="1"/>
          <w:iCs w:val="1"/>
          <w:color w:val="auto"/>
        </w:rPr>
        <w:t>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September 30, 2023, there were 625 Class A common stock equivalents available for future grant under the 2016 Plan.</w:t>
      </w:r>
    </w:p>
    <w:p>
      <w:pPr>
        <w:spacing w:after="0" w:line="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June 1, 2023, our stockholders approved the amendment and restatement of our Amended and Restated 1997 Employee Stock Purchase Plan (as further amended and restated, the “ESPP”) to increase the number of shares of Class A common stock reserved for issuance under the ESPP by 400 shares of Class A common stock. As of September 30, 2023, 444 shares of Class A common stock were available for issuance under the ESPP.</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one-year to five-year period from the date of grant.</w:t>
      </w:r>
    </w:p>
    <w:p>
      <w:pPr>
        <w:spacing w:after="0" w:line="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 summary of stock option activity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5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2023</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September 30, 2023</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40.60</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Stock-based compensation expense related to stock options was $126 and $374 during the three and nine months ended September 30, 2023, respectively, as compared to $89 and $122 during the three and nine months ended September 30, 2022, respectively. As of September 30, 2023, we had $1,724 of unrecognized stock-based compensation expense related to outstanding stock options to be recognized over a weighted average period of 3.7 years.</w:t>
      </w:r>
    </w:p>
    <w:p>
      <w:pPr>
        <w:spacing w:after="0" w:line="41" w:lineRule="exact"/>
        <w:rPr>
          <w:sz w:val="20"/>
          <w:szCs w:val="20"/>
          <w:color w:val="auto"/>
        </w:rPr>
      </w:pPr>
    </w:p>
    <w:p>
      <w:pPr>
        <w:ind w:right="120"/>
        <w:spacing w:after="0" w:line="375" w:lineRule="auto"/>
        <w:rPr>
          <w:sz w:val="20"/>
          <w:szCs w:val="20"/>
          <w:color w:val="auto"/>
        </w:rPr>
      </w:pPr>
      <w:r>
        <w:rPr>
          <w:rFonts w:ascii="Arial" w:cs="Arial" w:eastAsia="Arial" w:hAnsi="Arial"/>
          <w:sz w:val="18"/>
          <w:szCs w:val="18"/>
          <w:color w:val="auto"/>
        </w:rPr>
        <w:t xml:space="preserve">During the three and nine months ended September 30, 2023, the aggregate intrinsic value of stock options exercised was $1,302 and $1,302, respectively. </w:t>
      </w:r>
      <w:r>
        <w:rPr>
          <w:rFonts w:ascii="Arial" w:cs="Arial" w:eastAsia="Arial" w:hAnsi="Arial"/>
          <w:sz w:val="18"/>
          <w:szCs w:val="18"/>
          <w:b w:val="1"/>
          <w:bCs w:val="1"/>
          <w:i w:val="1"/>
          <w:iCs w:val="1"/>
          <w:color w:val="auto"/>
        </w:rPr>
        <w:t>Other Stock Awards</w:t>
      </w:r>
    </w:p>
    <w:p>
      <w:pPr>
        <w:spacing w:after="0" w:line="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w:t>
      </w:r>
    </w:p>
    <w:p>
      <w:pPr>
        <w:spacing w:after="0" w:line="8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Generally, restricted stock awards granted to non-employee directors vest incrementally over a three-year to five-year period beginning on the first anniversary of the date of grant. Restricted stock units granted to non-employee directors vest in full on the first anniversary of the grant date. Restricted stock units granted to employees vest incrementally over an identified service period, typically three to five years,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award, restricted stock unit and performance stock unit activity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Restricted Stock Awards,</w:t>
            </w: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660" w:type="dxa"/>
            <w:vAlign w:val="bottom"/>
          </w:tcPr>
          <w:p>
            <w:pPr>
              <w:spacing w:after="0"/>
              <w:rPr>
                <w:sz w:val="12"/>
                <w:szCs w:val="12"/>
                <w:color w:val="auto"/>
              </w:rPr>
            </w:pPr>
          </w:p>
        </w:tc>
        <w:tc>
          <w:tcPr>
            <w:tcW w:w="20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Restricted Stock Units,</w:t>
            </w:r>
          </w:p>
        </w:tc>
        <w:tc>
          <w:tcPr>
            <w:tcW w:w="152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4"/>
              </w:rPr>
              <w:t>Average Grant Date</w:t>
            </w:r>
          </w:p>
        </w:tc>
        <w:tc>
          <w:tcPr>
            <w:tcW w:w="15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660" w:type="dxa"/>
            <w:vAlign w:val="bottom"/>
          </w:tcPr>
          <w:p>
            <w:pPr>
              <w:spacing w:after="0"/>
              <w:rPr>
                <w:sz w:val="13"/>
                <w:szCs w:val="13"/>
                <w:color w:val="auto"/>
              </w:rPr>
            </w:pPr>
          </w:p>
        </w:tc>
        <w:tc>
          <w:tcPr>
            <w:tcW w:w="20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and Performance Stock Units</w:t>
            </w:r>
          </w:p>
        </w:tc>
        <w:tc>
          <w:tcPr>
            <w:tcW w:w="920" w:type="dxa"/>
            <w:vAlign w:val="bottom"/>
          </w:tcPr>
          <w:p>
            <w:pPr>
              <w:jc w:val="center"/>
              <w:ind w:left="377"/>
              <w:spacing w:after="0" w:line="158"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3"/>
                <w:szCs w:val="13"/>
                <w:color w:val="auto"/>
              </w:rPr>
            </w:pPr>
          </w:p>
        </w:tc>
        <w:tc>
          <w:tcPr>
            <w:tcW w:w="1240" w:type="dxa"/>
            <w:vAlign w:val="bottom"/>
          </w:tcPr>
          <w:p>
            <w:pPr>
              <w:jc w:val="right"/>
              <w:ind w:right="319"/>
              <w:spacing w:after="0" w:line="158"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920" w:type="dxa"/>
            <w:vAlign w:val="bottom"/>
          </w:tcPr>
          <w:p>
            <w:pPr>
              <w:jc w:val="center"/>
              <w:ind w:left="417"/>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3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75.52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81.04</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 Vested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76.91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2023</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91.51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September 30, 2023</w:t>
            </w: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376</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17"/>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88.63</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28,660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right="440" w:hanging="652"/>
        <w:spacing w:after="0" w:line="263"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stock unit grants, including market-based performance stock units, are included at the 100% attainment level. Attainment of the maximum performance targets and market achievements would result in the issuance of an additional 159 shares of Class A common stock currently included in unvested.</w:t>
      </w:r>
    </w:p>
    <w:p>
      <w:pPr>
        <w:spacing w:after="0" w:line="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Stock-based compensation expense related to restricted stock awards, restricted stock units and performance stock units was $2,112 and $6,007 during the three and nine months ended September 30, 2023, respectively, as compared to $2,225 and $5,204 during the three and nine months ended September 30, 2022,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2023, the total fair value of other stock awards vested was $223 and $5,279,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ind w:right="340"/>
        <w:spacing w:after="0" w:line="257" w:lineRule="auto"/>
        <w:rPr>
          <w:sz w:val="20"/>
          <w:szCs w:val="20"/>
          <w:color w:val="auto"/>
        </w:rPr>
      </w:pPr>
      <w:r>
        <w:rPr>
          <w:rFonts w:ascii="Arial" w:cs="Arial" w:eastAsia="Arial" w:hAnsi="Arial"/>
          <w:sz w:val="18"/>
          <w:szCs w:val="18"/>
          <w:color w:val="auto"/>
        </w:rPr>
        <w:t>As of September 30, 2023, total unrecognized stock-based compensation expense related to outstanding restricted stock awards was $12, which will be recognized over a weighted average period of 0.7 years. As of September 30, 2023, total unrecognized stock-based compensation expense related to outstanding restricted stock units was $6,344, which will be recognized over a weighted average period of 2.4 years. As of September 30, 2023, total expected unrecognized stock-based compensation expense related to outstanding performance stock units was $5,655 to be recognized over a weighted average period of 1.7 years.</w:t>
      </w:r>
    </w:p>
    <w:p>
      <w:pPr>
        <w:spacing w:after="0" w:line="8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weighted average fair value of market-based performance stock units granted during the nine months ended September 30, 2023 was $83.16 per award, which was calculated using a Monte Carlo pricing model assuming a risk-free interest rate of 4.31% and an expected volatility of 34.9%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63"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7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also recorded $120 and $318 of stock-based compensation expense related to the ESPP during the three and nine months ended September 30, 2023, respectively, as compared to $97 and $262 during the three and nine months ended September 30, 2022,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Net of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income, net of tax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9"/>
              </w:rPr>
              <w:t>Interest Rate Swaps</w:t>
            </w:r>
          </w:p>
        </w:tc>
      </w:tr>
      <w:tr>
        <w:trPr>
          <w:trHeight w:val="26"/>
        </w:trPr>
        <w:tc>
          <w:tcPr>
            <w:tcW w:w="9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r>
      <w:tr>
        <w:trPr>
          <w:trHeight w:val="230"/>
        </w:trPr>
        <w:tc>
          <w:tcPr>
            <w:tcW w:w="9800" w:type="dxa"/>
            <w:vAlign w:val="bottom"/>
          </w:tcPr>
          <w:p>
            <w:pPr>
              <w:ind w:left="220"/>
              <w:spacing w:after="0"/>
              <w:rPr>
                <w:sz w:val="20"/>
                <w:szCs w:val="20"/>
                <w:color w:val="auto"/>
              </w:rPr>
            </w:pPr>
            <w:r>
              <w:rPr>
                <w:rFonts w:ascii="Arial" w:cs="Arial" w:eastAsia="Arial" w:hAnsi="Arial"/>
                <w:sz w:val="18"/>
                <w:szCs w:val="18"/>
                <w:color w:val="auto"/>
              </w:rPr>
              <w:t>Other comprehensive income before reclassifications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6,846</w:t>
            </w:r>
          </w:p>
        </w:tc>
      </w:tr>
      <w:tr>
        <w:trPr>
          <w:trHeight w:val="229"/>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reclassified from accumulated other comprehensive income into interest expense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r>
      <w:tr>
        <w:trPr>
          <w:trHeight w:val="229"/>
        </w:trPr>
        <w:tc>
          <w:tcPr>
            <w:tcW w:w="9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provision related to items of other comprehensive income</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r>
      <w:tr>
        <w:trPr>
          <w:trHeight w:val="223"/>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current-period other comprehensive income, net of tax</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Balance, September 30, 2023</w:t>
            </w: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9,480</w:t>
            </w: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income, net of tax into earnings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w:t>
            </w:r>
          </w:p>
        </w:tc>
        <w:tc>
          <w:tcPr>
            <w:tcW w:w="3220" w:type="dxa"/>
            <w:vAlign w:val="bottom"/>
          </w:tcPr>
          <w:p>
            <w:pPr>
              <w:spacing w:after="0"/>
              <w:rPr>
                <w:sz w:val="14"/>
                <w:szCs w:val="14"/>
                <w:color w:val="auto"/>
              </w:rPr>
            </w:pPr>
          </w:p>
        </w:tc>
      </w:tr>
      <w:tr>
        <w:trPr>
          <w:trHeight w:val="196"/>
        </w:trPr>
        <w:tc>
          <w:tcPr>
            <w:tcW w:w="3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September 30,</w:t>
            </w:r>
          </w:p>
        </w:tc>
        <w:tc>
          <w:tcPr>
            <w:tcW w:w="3220" w:type="dxa"/>
            <w:vAlign w:val="bottom"/>
          </w:tcPr>
          <w:p>
            <w:pPr>
              <w:spacing w:after="0"/>
              <w:rPr>
                <w:sz w:val="17"/>
                <w:szCs w:val="17"/>
                <w:color w:val="auto"/>
              </w:rPr>
            </w:pPr>
          </w:p>
        </w:tc>
      </w:tr>
      <w:tr>
        <w:trPr>
          <w:trHeight w:val="196"/>
        </w:trPr>
        <w:tc>
          <w:tcPr>
            <w:tcW w:w="3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3220" w:type="dxa"/>
            <w:vAlign w:val="bottom"/>
          </w:tcPr>
          <w:p>
            <w:pPr>
              <w:spacing w:after="0"/>
              <w:rPr>
                <w:sz w:val="17"/>
                <w:szCs w:val="17"/>
                <w:color w:val="auto"/>
              </w:rPr>
            </w:pPr>
          </w:p>
        </w:tc>
      </w:tr>
      <w:tr>
        <w:trPr>
          <w:trHeight w:val="135"/>
        </w:trPr>
        <w:tc>
          <w:tcPr>
            <w:tcW w:w="3620" w:type="dxa"/>
            <w:vAlign w:val="bottom"/>
          </w:tcPr>
          <w:p>
            <w:pPr>
              <w:jc w:val="center"/>
              <w:ind w:right="22"/>
              <w:spacing w:after="0" w:line="135" w:lineRule="exact"/>
              <w:rPr>
                <w:sz w:val="20"/>
                <w:szCs w:val="20"/>
                <w:color w:val="auto"/>
              </w:rPr>
            </w:pPr>
            <w:r>
              <w:rPr>
                <w:rFonts w:ascii="Arial" w:cs="Arial" w:eastAsia="Arial" w:hAnsi="Arial"/>
                <w:sz w:val="14"/>
                <w:szCs w:val="14"/>
                <w:b w:val="1"/>
                <w:bCs w:val="1"/>
                <w:color w:val="auto"/>
                <w:w w:val="92"/>
              </w:rPr>
              <w:t>Details About Accumulated Other Comprehensive</w:t>
            </w:r>
          </w:p>
        </w:tc>
        <w:tc>
          <w:tcPr>
            <w:tcW w:w="140" w:type="dxa"/>
            <w:vAlign w:val="bottom"/>
          </w:tcPr>
          <w:p>
            <w:pPr>
              <w:spacing w:after="0"/>
              <w:rPr>
                <w:sz w:val="11"/>
                <w:szCs w:val="11"/>
                <w:color w:val="auto"/>
              </w:rPr>
            </w:pPr>
          </w:p>
        </w:tc>
        <w:tc>
          <w:tcPr>
            <w:tcW w:w="4260" w:type="dxa"/>
            <w:vAlign w:val="bottom"/>
            <w:gridSpan w:val="10"/>
          </w:tcPr>
          <w:p>
            <w:pPr>
              <w:jc w:val="center"/>
              <w:ind w:right="54"/>
              <w:spacing w:after="0" w:line="135" w:lineRule="exact"/>
              <w:rPr>
                <w:sz w:val="20"/>
                <w:szCs w:val="20"/>
                <w:color w:val="auto"/>
              </w:rPr>
            </w:pPr>
            <w:r>
              <w:rPr>
                <w:rFonts w:ascii="Arial" w:cs="Arial" w:eastAsia="Arial" w:hAnsi="Arial"/>
                <w:sz w:val="14"/>
                <w:szCs w:val="14"/>
                <w:b w:val="1"/>
                <w:bCs w:val="1"/>
                <w:color w:val="auto"/>
                <w:w w:val="92"/>
              </w:rPr>
              <w:t>Amounts Reclassified Out of Accumulated Other Comprehensive</w:t>
            </w:r>
          </w:p>
        </w:tc>
        <w:tc>
          <w:tcPr>
            <w:tcW w:w="3220" w:type="dxa"/>
            <w:vAlign w:val="bottom"/>
          </w:tcPr>
          <w:p>
            <w:pPr>
              <w:ind w:left="460"/>
              <w:spacing w:after="0" w:line="135" w:lineRule="exact"/>
              <w:rPr>
                <w:sz w:val="20"/>
                <w:szCs w:val="20"/>
                <w:color w:val="auto"/>
              </w:rPr>
            </w:pPr>
            <w:r>
              <w:rPr>
                <w:rFonts w:ascii="Arial" w:cs="Arial" w:eastAsia="Arial" w:hAnsi="Arial"/>
                <w:sz w:val="14"/>
                <w:szCs w:val="14"/>
                <w:b w:val="1"/>
                <w:bCs w:val="1"/>
                <w:color w:val="auto"/>
              </w:rPr>
              <w:t>Affected Line Item in the Consolidated</w:t>
            </w:r>
          </w:p>
        </w:tc>
      </w:tr>
      <w:tr>
        <w:trPr>
          <w:trHeight w:val="194"/>
        </w:trPr>
        <w:tc>
          <w:tcPr>
            <w:tcW w:w="362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Income, Net of Tax Components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Income, Net of Tax</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20" w:type="dxa"/>
            <w:vAlign w:val="bottom"/>
          </w:tcPr>
          <w:p>
            <w:pPr>
              <w:ind w:left="880"/>
              <w:spacing w:after="0"/>
              <w:rPr>
                <w:sz w:val="20"/>
                <w:szCs w:val="20"/>
                <w:color w:val="auto"/>
              </w:rPr>
            </w:pPr>
            <w:r>
              <w:rPr>
                <w:rFonts w:ascii="Arial" w:cs="Arial" w:eastAsia="Arial" w:hAnsi="Arial"/>
                <w:sz w:val="14"/>
                <w:szCs w:val="14"/>
                <w:b w:val="1"/>
                <w:bCs w:val="1"/>
                <w:color w:val="auto"/>
              </w:rPr>
              <w:t>Statements of Operations</w:t>
            </w:r>
          </w:p>
        </w:tc>
      </w:tr>
      <w:tr>
        <w:trPr>
          <w:trHeight w:val="238"/>
        </w:trPr>
        <w:tc>
          <w:tcPr>
            <w:tcW w:w="3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center"/>
              <w:ind w:left="118"/>
              <w:spacing w:after="0"/>
              <w:rPr>
                <w:sz w:val="20"/>
                <w:szCs w:val="20"/>
                <w:color w:val="auto"/>
              </w:rPr>
            </w:pPr>
            <w:r>
              <w:rPr>
                <w:rFonts w:ascii="Arial" w:cs="Arial" w:eastAsia="Arial" w:hAnsi="Arial"/>
                <w:sz w:val="18"/>
                <w:szCs w:val="18"/>
                <w:color w:val="auto"/>
                <w:w w:val="91"/>
              </w:rPr>
              <w:t>(4,181)</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r>
      <w:tr>
        <w:trPr>
          <w:trHeight w:val="223"/>
        </w:trPr>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center"/>
              <w:ind w:left="158"/>
              <w:spacing w:after="0"/>
              <w:rPr>
                <w:sz w:val="20"/>
                <w:szCs w:val="20"/>
                <w:color w:val="auto"/>
              </w:rPr>
            </w:pPr>
            <w:r>
              <w:rPr>
                <w:rFonts w:ascii="Arial" w:cs="Arial" w:eastAsia="Arial" w:hAnsi="Arial"/>
                <w:sz w:val="18"/>
                <w:szCs w:val="18"/>
                <w:color w:val="auto"/>
                <w:w w:val="88"/>
              </w:rPr>
              <w:t>4,181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(2,136)</w:t>
            </w:r>
          </w:p>
        </w:tc>
        <w:tc>
          <w:tcPr>
            <w:tcW w:w="322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r>
      <w:tr>
        <w:trPr>
          <w:trHeight w:val="229"/>
        </w:trPr>
        <w:tc>
          <w:tcPr>
            <w:tcW w:w="3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58"/>
              <w:spacing w:after="0"/>
              <w:rPr>
                <w:sz w:val="20"/>
                <w:szCs w:val="20"/>
                <w:color w:val="auto"/>
              </w:rPr>
            </w:pPr>
            <w:r>
              <w:rPr>
                <w:rFonts w:ascii="Arial" w:cs="Arial" w:eastAsia="Arial" w:hAnsi="Arial"/>
                <w:sz w:val="18"/>
                <w:szCs w:val="18"/>
                <w:color w:val="auto"/>
                <w:w w:val="88"/>
              </w:rPr>
              <w:t>1,146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r>
      <w:tr>
        <w:trPr>
          <w:trHeight w:val="223"/>
        </w:trPr>
        <w:tc>
          <w:tcPr>
            <w:tcW w:w="3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center"/>
              <w:ind w:left="158"/>
              <w:spacing w:after="0"/>
              <w:rPr>
                <w:sz w:val="20"/>
                <w:szCs w:val="20"/>
                <w:color w:val="auto"/>
              </w:rPr>
            </w:pPr>
            <w:r>
              <w:rPr>
                <w:rFonts w:ascii="Arial" w:cs="Arial" w:eastAsia="Arial" w:hAnsi="Arial"/>
                <w:sz w:val="18"/>
                <w:szCs w:val="18"/>
                <w:color w:val="auto"/>
                <w:w w:val="88"/>
              </w:rPr>
              <w:t>3,035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3220" w:type="dxa"/>
            <w:vAlign w:val="bottom"/>
          </w:tcPr>
          <w:p>
            <w:pPr>
              <w:ind w:left="120"/>
              <w:spacing w:after="0"/>
              <w:rPr>
                <w:sz w:val="20"/>
                <w:szCs w:val="20"/>
                <w:color w:val="auto"/>
              </w:rPr>
            </w:pPr>
            <w:r>
              <w:rPr>
                <w:rFonts w:ascii="Arial" w:cs="Arial" w:eastAsia="Arial" w:hAnsi="Arial"/>
                <w:sz w:val="18"/>
                <w:szCs w:val="18"/>
                <w:color w:val="auto"/>
              </w:rPr>
              <w:t>Net income</w:t>
            </w:r>
          </w:p>
        </w:tc>
      </w:tr>
      <w:tr>
        <w:trPr>
          <w:trHeight w:val="21"/>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36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89"/>
              </w:rPr>
              <w:t>September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tcPr>
          <w:p>
            <w:pPr>
              <w:jc w:val="right"/>
              <w:ind w:right="66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18,172</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22,672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Number of shares outstanding, end of period:</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56,994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50,692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50,692</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Class B common stock</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Unvested restricted stock</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Effect of weighted average shares outstanding </w:t>
            </w:r>
            <w:r>
              <w:rPr>
                <w:rFonts w:ascii="Arial" w:cs="Arial" w:eastAsia="Arial" w:hAnsi="Arial"/>
                <w:sz w:val="14"/>
                <w:szCs w:val="14"/>
                <w:color w:val="auto"/>
              </w:rPr>
              <w:t>(1)</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57,962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51,677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Impact of potentially dilutive securities: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other stock awards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58,062</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51,806</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54,325</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right="180" w:hanging="652"/>
        <w:spacing w:after="0" w:line="263" w:lineRule="auto"/>
        <w:tabs>
          <w:tab w:leader="none" w:pos="652" w:val="left"/>
        </w:tabs>
        <w:numPr>
          <w:ilvl w:val="0"/>
          <w:numId w:val="10"/>
        </w:numPr>
        <w:rPr>
          <w:rFonts w:ascii="Arial" w:cs="Arial" w:eastAsia="Arial" w:hAnsi="Arial"/>
          <w:sz w:val="14"/>
          <w:szCs w:val="14"/>
          <w:color w:val="auto"/>
        </w:rPr>
      </w:pPr>
      <w:r>
        <w:rPr>
          <w:rFonts w:ascii="Arial" w:cs="Arial" w:eastAsia="Arial" w:hAnsi="Arial"/>
          <w:sz w:val="18"/>
          <w:szCs w:val="18"/>
          <w:color w:val="auto"/>
        </w:rPr>
        <w:t xml:space="preserve">The adjustment in the nine months ended September 30, 2023 is primarily associated with the 6,053 shares of Class A common stock issued as part of the public offering, completed on June 16, 2023. See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for disclosure regarding the public offering of Class A common stock.</w:t>
      </w:r>
    </w:p>
    <w:p>
      <w:pPr>
        <w:spacing w:after="0" w:line="180" w:lineRule="exact"/>
        <w:rPr>
          <w:sz w:val="20"/>
          <w:szCs w:val="20"/>
          <w:color w:val="auto"/>
        </w:rPr>
      </w:pPr>
    </w:p>
    <w:p>
      <w:pPr>
        <w:ind w:right="8180" w:firstLine="8"/>
        <w:spacing w:after="0" w:line="400" w:lineRule="auto"/>
        <w:tabs>
          <w:tab w:leader="none" w:pos="395"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OTHER ITEMS AND CHARGES Expense from Acquisition Activities</w:t>
      </w:r>
    </w:p>
    <w:p>
      <w:pPr>
        <w:spacing w:after="0" w:line="259" w:lineRule="auto"/>
        <w:rPr>
          <w:sz w:val="20"/>
          <w:szCs w:val="20"/>
          <w:color w:val="auto"/>
        </w:rPr>
      </w:pPr>
      <w:r>
        <w:rPr>
          <w:rFonts w:ascii="Arial" w:cs="Arial" w:eastAsia="Arial" w:hAnsi="Arial"/>
          <w:sz w:val="18"/>
          <w:szCs w:val="18"/>
          <w:color w:val="auto"/>
        </w:rPr>
        <w:t>In the three and nine months ended September 30, 2023, we recorded charges of $3,261 and $9,801, respectively, and in the three and nine months ended September 30, 2022, we recorded charges of $816 and $3,878, respectively, comprised primarily of legal, consulting and other similar costs associated with due diligence and the acquisition and integration of acquired businesses, including the GFL Acquisition and the Twin Bridges Acquisition in the nine months ended September 30, 2023, or select development projects.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Settlement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the nine months ended September 30, 2023, we recorded a charge of $6,150 accrued for in other accrued liabilities due to reaching an agreement at a mediation held on June 20, 2023 with the collective class members of a class action lawsuit relating to certain claims under the Fair Labor Standards Act of 1938 as well as state wage and hours laws. The settlement agreement was executed July 24, 2023 and has received court approval. See Note 8,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for disclosure regarding our aggregate legal proceedings accrual.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Charge</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three and nine months ended September 30, 2022, we recorded a charge of $759 associated with the investigation of potential remediation at an inactive waste disposal site that adjoins one of the landfills we operate.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4" w:name="page25"/>
    <w:bookmarkEnd w:id="24"/>
    <w:p>
      <w:pPr>
        <w:spacing w:after="0"/>
        <w:tabs>
          <w:tab w:leader="none" w:pos="400" w:val="left"/>
        </w:tabs>
        <w:rPr>
          <w:sz w:val="20"/>
          <w:szCs w:val="20"/>
          <w:color w:val="auto"/>
        </w:rPr>
      </w:pPr>
      <w:r>
        <w:rPr>
          <w:rFonts w:ascii="Arial" w:cs="Arial" w:eastAsia="Arial" w:hAnsi="Arial"/>
          <w:sz w:val="18"/>
          <w:szCs w:val="18"/>
          <w:b w:val="1"/>
          <w:bCs w:val="1"/>
          <w:color w:val="auto"/>
        </w:rPr>
        <w:t>12.</w:t>
        <w:tab/>
        <w:t>FAIR VALUE OF FINANCIAL INSTRUMENTS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derivatives, contingent consideration related to acquisitions, trade payables and debt. The carrying values of cash and cash equivalents, restricted cash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Term SOFR yield curves that are observable at commonly quoted intervals for the full term of the swaps. The fair value of contingent consideration - acquisition included in the Level 3 tier below is calculated using a discounted cash flow valuation methodology based upon a probability-weighted analysis of a success payment related to the potential attainment of a transfer station permit expansion. We recognize all derivatives accounted for on the balance sheet at fair value.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7"/>
          </w:tcPr>
          <w:p>
            <w:pPr>
              <w:jc w:val="center"/>
              <w:ind w:right="98"/>
              <w:spacing w:after="0"/>
              <w:rPr>
                <w:sz w:val="20"/>
                <w:szCs w:val="20"/>
                <w:color w:val="auto"/>
              </w:rPr>
            </w:pPr>
            <w:r>
              <w:rPr>
                <w:rFonts w:ascii="Arial" w:cs="Arial" w:eastAsia="Arial" w:hAnsi="Arial"/>
                <w:sz w:val="14"/>
                <w:szCs w:val="14"/>
                <w:b w:val="1"/>
                <w:bCs w:val="1"/>
                <w:color w:val="auto"/>
                <w:w w:val="93"/>
              </w:rPr>
              <w:t>Fair Value Measurement at September 30, 2023 Using:</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1"/>
                <w:szCs w:val="11"/>
                <w:color w:val="auto"/>
              </w:rPr>
            </w:pPr>
          </w:p>
        </w:tc>
        <w:tc>
          <w:tcPr>
            <w:tcW w:w="15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5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7"/>
                <w:szCs w:val="17"/>
                <w:color w:val="auto"/>
              </w:rPr>
            </w:pPr>
          </w:p>
        </w:tc>
        <w:tc>
          <w:tcPr>
            <w:tcW w:w="150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rPr>
              <w:t>Restricted investment securities - landfill closure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4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gridSpan w:val="7"/>
          </w:tcPr>
          <w:p>
            <w:pPr>
              <w:jc w:val="center"/>
              <w:ind w:right="98"/>
              <w:spacing w:after="0"/>
              <w:rPr>
                <w:sz w:val="20"/>
                <w:szCs w:val="20"/>
                <w:color w:val="auto"/>
              </w:rPr>
            </w:pPr>
            <w:r>
              <w:rPr>
                <w:rFonts w:ascii="Arial" w:cs="Arial" w:eastAsia="Arial" w:hAnsi="Arial"/>
                <w:sz w:val="14"/>
                <w:szCs w:val="14"/>
                <w:b w:val="1"/>
                <w:bCs w:val="1"/>
                <w:color w:val="auto"/>
                <w:w w:val="93"/>
              </w:rPr>
              <w:t>Fair Value Measurement at December 31, 2022 Using:</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1"/>
                <w:szCs w:val="11"/>
                <w:color w:val="auto"/>
              </w:rPr>
            </w:pPr>
          </w:p>
        </w:tc>
        <w:tc>
          <w:tcPr>
            <w:tcW w:w="15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500" w:type="dxa"/>
            <w:vAlign w:val="bottom"/>
          </w:tcPr>
          <w:p>
            <w:pPr>
              <w:jc w:val="center"/>
              <w:ind w:right="58"/>
              <w:spacing w:after="0" w:line="13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Restricted investment securities - landfill closure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 xml:space="preserve">Contingent consideration - acquisition </w:t>
            </w:r>
            <w:r>
              <w:rPr>
                <w:rFonts w:ascii="Arial" w:cs="Arial" w:eastAsia="Arial" w:hAnsi="Arial"/>
                <w:sz w:val="14"/>
                <w:szCs w:val="14"/>
                <w:color w:val="auto"/>
              </w:rPr>
              <w:t>(1)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80" w:type="dxa"/>
            <w:vAlign w:val="bottom"/>
            <w:vMerge w:val="restart"/>
          </w:tcPr>
          <w:p>
            <w:pPr>
              <w:jc w:val="right"/>
              <w:ind w:right="270"/>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7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ind w:left="660" w:right="140" w:hanging="652"/>
        <w:spacing w:after="0" w:line="263" w:lineRule="auto"/>
        <w:tabs>
          <w:tab w:leader="none" w:pos="652" w:val="left"/>
        </w:tabs>
        <w:numPr>
          <w:ilvl w:val="0"/>
          <w:numId w:val="12"/>
        </w:numPr>
        <w:rPr>
          <w:rFonts w:ascii="Arial" w:cs="Arial" w:eastAsia="Arial" w:hAnsi="Arial"/>
          <w:sz w:val="14"/>
          <w:szCs w:val="14"/>
          <w:color w:val="auto"/>
        </w:rPr>
      </w:pPr>
      <w:r>
        <w:rPr>
          <w:rFonts w:ascii="Arial" w:cs="Arial" w:eastAsia="Arial" w:hAnsi="Arial"/>
          <w:sz w:val="18"/>
          <w:szCs w:val="18"/>
          <w:color w:val="auto"/>
        </w:rPr>
        <w:t>In the three and nine months ended September 30, 2023, we recorded a gain on resolution of acquisition-related contingent consideration of $376 and $965, respectively, within cost of operations associated with the reversal of a contingency for a transfer station permit expansion that is no longer deemed viable.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September 30, 2023, the fair value of our fixed rate debt, including our FAME Bonds 2005R-3, FAME Bonds 2015R-1, FAME Bonds 2015R-2, Vermont Bonds 2013, Vermont Bonds 2022A-1, New York Bonds 2014R-1, New York Bonds 2014R-2, New York Bonds 2020, New York Bonds 2020R-2 and New Hampshire Bonds (collectively, the "Industrial Revenue Bonds") was approximately $223,926 and the carrying value was $232,000.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September 30, 2023, the carrying values of our Term Loan Facility and 2023 Term Loan Facility were $350,000 and $424,625, respectively, and the carrying value of our Revolving Credit Facility was zero dollars. Their fair values are based on current borrowing rates for similar types of borrowing arrangements, or Level 2 inputs, and approximate their carrying values.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6" w:name="page27"/>
    <w:bookmarkEnd w:id="26"/>
    <w:p>
      <w:pPr>
        <w:spacing w:after="0"/>
        <w:tabs>
          <w:tab w:leader="none" w:pos="400" w:val="left"/>
        </w:tabs>
        <w:rPr>
          <w:sz w:val="20"/>
          <w:szCs w:val="20"/>
          <w:color w:val="auto"/>
        </w:rPr>
      </w:pPr>
      <w:r>
        <w:rPr>
          <w:rFonts w:ascii="Arial" w:cs="Arial" w:eastAsia="Arial" w:hAnsi="Arial"/>
          <w:sz w:val="18"/>
          <w:szCs w:val="18"/>
          <w:b w:val="1"/>
          <w:bCs w:val="1"/>
          <w:color w:val="auto"/>
        </w:rPr>
        <w:t>13.</w:t>
        <w:tab/>
        <w:t>SEGMENT REPORTING</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report selected information about our reportable operating segments in a manner consistent with that used for internal management reporting. We classify our solid waste operations on a geographic basis through regional operating segments, our Eastern, Western and Mid-Atlantic regions. The Mid-Atlantic region, which was formed as a result of the GFL Acquisition on June 30, 2023, commenced operations on July 1, 2023. Revenues associated with our solid waste operations are derived mainly from solid waste collection and disposal services, including landfill, transfer station and transportation services, landfill gas-to-energy services,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services provided by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Inter-company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9"/>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417,138</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46,307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986,659</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557,710</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75,487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242,413</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294,095</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(75,602)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2,498,015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Three Months Ended September 30, 2022</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Inter-company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0"/>
        </w:trPr>
        <w:tc>
          <w:tcPr>
            <w:tcW w:w="3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93,137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361,950</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121,903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40,703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725,232</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189,854</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122,311</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(65,309)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1,399,347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Nine Months Ended September 30, 2023</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Inter-company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9"/>
        </w:trPr>
        <w:tc>
          <w:tcPr>
            <w:tcW w:w="36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274,740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417,138</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371,281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125,208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57,559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986,659</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557,710</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242,413</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294,095</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(204,238)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2,498,015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Nine Months Ended September 30,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Outside</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Inter-company</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Operating</w:t>
            </w:r>
          </w:p>
        </w:tc>
        <w:tc>
          <w:tcPr>
            <w:tcW w:w="320" w:type="dxa"/>
            <w:vAlign w:val="bottom"/>
          </w:tcPr>
          <w:p>
            <w:pPr>
              <w:spacing w:after="0"/>
              <w:rPr>
                <w:sz w:val="14"/>
                <w:szCs w:val="14"/>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income (loss)</w:t>
            </w:r>
          </w:p>
        </w:tc>
        <w:tc>
          <w:tcPr>
            <w:tcW w:w="320" w:type="dxa"/>
            <w:vAlign w:val="bottom"/>
          </w:tcPr>
          <w:p>
            <w:pPr>
              <w:spacing w:after="0"/>
              <w:rPr>
                <w:sz w:val="16"/>
                <w:szCs w:val="16"/>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9"/>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361,950</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332,626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112,687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51,565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725,232</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Resource Solutions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228,616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189,854</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Entities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122,311</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Eliminations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(177,202)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1,399,347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revenues attributable to services provided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96"/>
        </w:trPr>
        <w:tc>
          <w:tcPr>
            <w:tcW w:w="5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2022</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400,910</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Disposal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66,337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181,433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169,503</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7,883</w:t>
            </w:r>
          </w:p>
        </w:tc>
      </w:tr>
      <w:tr>
        <w:trPr>
          <w:trHeight w:val="22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Solid waste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584,346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93,421</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Accounts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139,262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135,195</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Resource Solutions operations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75,487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228,616</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812,962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following discussion should be read in conjunction with our unaudited consolidated financial statements and notes thereto included under Item 1. In addition, reference should be made to our audited consolidated financial statements and notes thereto and related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appearing in our Annual Report on Form 10-K for the fiscal year ended December 31, 2022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2022") filed with the Securities and Exchange Commission on February 17, 2023.</w:t>
      </w:r>
    </w:p>
    <w:p>
      <w:pPr>
        <w:spacing w:after="0" w:line="7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This Quarterly Report on Form 10-Q and, in particular, this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may contain or incorporate a number of forward-looking statements within the meaning of Section 27A of the Securities Act of 1933, as amended, and Section 21E of the Exchange Act of 1934, as amended, including statements regarding:</w:t>
      </w:r>
    </w:p>
    <w:p>
      <w:pPr>
        <w:spacing w:after="0" w:line="7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600" w:hanging="652"/>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our pricing programs and operational initiatives will outpace higher operating and construction costs from inflation and regulatory changes;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recycling commodity pricing, increases in landfill tipping fees and fuel costs and general economic and weather conditions;</w:t>
      </w:r>
    </w:p>
    <w:p>
      <w:pPr>
        <w:spacing w:after="0" w:line="128" w:lineRule="exact"/>
        <w:rPr>
          <w:rFonts w:ascii="Arial" w:cs="Arial" w:eastAsia="Arial" w:hAnsi="Arial"/>
          <w:sz w:val="17"/>
          <w:szCs w:val="17"/>
          <w:color w:val="auto"/>
        </w:rPr>
      </w:pPr>
    </w:p>
    <w:p>
      <w:pPr>
        <w:ind w:left="660" w:right="280" w:hanging="652"/>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business combinations or divestitures;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 and</w:t>
      </w:r>
    </w:p>
    <w:p>
      <w:pPr>
        <w:spacing w:after="0" w:line="117" w:lineRule="exact"/>
        <w:rPr>
          <w:rFonts w:ascii="Arial" w:cs="Arial" w:eastAsia="Arial" w:hAnsi="Arial"/>
          <w:sz w:val="18"/>
          <w:szCs w:val="18"/>
          <w:color w:val="auto"/>
        </w:rPr>
      </w:pPr>
    </w:p>
    <w:p>
      <w:pPr>
        <w:ind w:left="660" w:right="140" w:hanging="652"/>
        <w:spacing w:after="0" w:line="31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interest rates and access to capital markets that generally are not within our control, and our exposure to credit and counterparty risk.</w:t>
      </w:r>
    </w:p>
    <w:p>
      <w:pPr>
        <w:spacing w:after="0" w:line="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fiscal year ended December 31, 2022.</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the result of new information, future events or otherwise, except as otherwise required by law.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Casella Waste Systems, Inc., a Delaware corporation, and its consolidated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5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We provide integrated solid waste services in nine states: Vermont, New Hampshire, New York, Massachusetts, Connecticut, Maine, Pennsylvania, Delaware and Maryland, with our headquarters located in Rutland, Vermont. On June 30, 2023, we acquired the equity interests of four wholly owned subsidiaries of GFL Environmental Inc., which are the basis of our newly formed regional operating segment, the Mid-Atlantic region, that expanded our integrated solid waste services to the states of Delaware and Maryland ("GFL Acquisition"). Operations under the Mid-Atlantic region commenced on July 1, 2023. For additional disclosure regarding the GFL Acquisition see Note 4,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Note 7, </w:t>
      </w:r>
      <w:r>
        <w:rPr>
          <w:rFonts w:ascii="Arial" w:cs="Arial" w:eastAsia="Arial" w:hAnsi="Arial"/>
          <w:sz w:val="16"/>
          <w:szCs w:val="16"/>
          <w:i w:val="1"/>
          <w:iCs w:val="1"/>
          <w:color w:val="auto"/>
        </w:rPr>
        <w:t>Debt,</w:t>
      </w:r>
      <w:r>
        <w:rPr>
          <w:rFonts w:ascii="Arial" w:cs="Arial" w:eastAsia="Arial" w:hAnsi="Arial"/>
          <w:sz w:val="16"/>
          <w:szCs w:val="16"/>
          <w:color w:val="auto"/>
        </w:rPr>
        <w:t xml:space="preserve"> Note 9,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and Note 11, </w:t>
      </w:r>
      <w:r>
        <w:rPr>
          <w:rFonts w:ascii="Arial" w:cs="Arial" w:eastAsia="Arial" w:hAnsi="Arial"/>
          <w:sz w:val="16"/>
          <w:szCs w:val="16"/>
          <w:i w:val="1"/>
          <w:iCs w:val="1"/>
          <w:color w:val="auto"/>
        </w:rPr>
        <w:t>Other Items and Charges</w:t>
      </w:r>
      <w:r>
        <w:rPr>
          <w:rFonts w:ascii="Arial" w:cs="Arial" w:eastAsia="Arial" w:hAnsi="Arial"/>
          <w:sz w:val="16"/>
          <w:szCs w:val="16"/>
          <w:color w:val="auto"/>
        </w:rPr>
        <w:t xml:space="preserve"> to our consolidated financial statements included under Part I, Item 1 of this Quarterly Report on Form 10-Q</w:t>
      </w:r>
      <w:r>
        <w:rPr>
          <w:rFonts w:ascii="Arial" w:cs="Arial" w:eastAsia="Arial" w:hAnsi="Arial"/>
          <w:sz w:val="16"/>
          <w:szCs w:val="16"/>
          <w:i w:val="1"/>
          <w:iCs w:val="1"/>
          <w:color w:val="auto"/>
        </w:rPr>
        <w:t>.</w:t>
      </w:r>
    </w:p>
    <w:p>
      <w:pPr>
        <w:spacing w:after="0" w:line="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manage our solid waste operations on a geographic basis through regional operating segments, the Eastern, Western and Mid-Atlantic regions, each of which provides a comprehensive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As of October 15, 2023, we owned and/or operated 64 solid waste collection operations, 71 transfer stations, 29 recycling facilities, eight Subtitle D landfills, three landfill gas-to-energy facilities and one landfill permitted to accept construction and demolition (“C&amp;D”) materials. We also housed two landfill gas-to-energy facilities, which are owned and operated by third parties at landfills we owned and/or operated.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manage our solid waste operations, which include a full range of solid waste services, on a geographic basis through regional operating segments, which we designate as the Eastern, Western and Mid-Atlantic regions. Operations under the Mid-Atlantic region commenced on July 1, 2023. Revenues associated with our solid waste operations are derived mainly from fees charged to customers for solid waste collection and disposal services, including landfill, transfer station and transportation, landfill gas-to-energy, and processing services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resource-renewal operations through the Resource Solutions operating segment, which includes processing services and non-processing services, which we now refer to as our National Accounts business. Revenues from processing services are derived from customers in the form of processing fees, tipping fees, commodity sales, primarily comprised of newspaper, corrugated containers, plastics, ferrous and aluminum, and organic materials such as our earthlife® soils products including fertilizers, composts and mulches.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 summary of revenues attributable to services provided (dollars in millions and as a percentage of total revenues)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6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94"/>
              </w:rPr>
              <w:t>Nine Months Ended 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3"/>
          </w:tcPr>
          <w:p>
            <w:pPr>
              <w:jc w:val="right"/>
              <w:ind w:right="650"/>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54.8 %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Disposal</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19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Solid waste</w:t>
            </w:r>
          </w:p>
        </w:tc>
        <w:tc>
          <w:tcPr>
            <w:tcW w:w="2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Accounts</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9"/>
              </w:rPr>
              <w:t>Resource Solutions</w:t>
            </w: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8"/>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Period-to-Period Change for the Three Months</w:t>
            </w:r>
          </w:p>
        </w:tc>
        <w:tc>
          <w:tcPr>
            <w:tcW w:w="160" w:type="dxa"/>
            <w:vAlign w:val="bottom"/>
          </w:tcPr>
          <w:p>
            <w:pPr>
              <w:spacing w:after="0"/>
              <w:rPr>
                <w:sz w:val="14"/>
                <w:szCs w:val="14"/>
                <w:color w:val="auto"/>
              </w:rPr>
            </w:pPr>
          </w:p>
        </w:tc>
        <w:tc>
          <w:tcPr>
            <w:tcW w:w="302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w w:val="93"/>
              </w:rPr>
              <w:t>Period-to-Period Change for the Nine Months</w:t>
            </w:r>
          </w:p>
        </w:tc>
      </w:tr>
      <w:tr>
        <w:trPr>
          <w:trHeight w:val="196"/>
        </w:trPr>
        <w:tc>
          <w:tcPr>
            <w:tcW w:w="478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Ended September 30, 2023 vs. 2022</w:t>
            </w:r>
          </w:p>
        </w:tc>
        <w:tc>
          <w:tcPr>
            <w:tcW w:w="160" w:type="dxa"/>
            <w:vAlign w:val="bottom"/>
          </w:tcPr>
          <w:p>
            <w:pPr>
              <w:spacing w:after="0"/>
              <w:rPr>
                <w:sz w:val="17"/>
                <w:szCs w:val="17"/>
                <w:color w:val="auto"/>
              </w:rPr>
            </w:pPr>
          </w:p>
        </w:tc>
        <w:tc>
          <w:tcPr>
            <w:tcW w:w="302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Ended September 30, 2023 vs. 2022</w:t>
            </w:r>
          </w:p>
        </w:tc>
      </w:tr>
      <w:tr>
        <w:trPr>
          <w:trHeight w:val="196"/>
        </w:trPr>
        <w:tc>
          <w:tcPr>
            <w:tcW w:w="47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r>
      <w:tr>
        <w:trPr>
          <w:trHeight w:val="23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14.9</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54.7</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62.2</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18.0 %</w:t>
            </w: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$11.0 million from favorable collection pricing;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$3.9 million from favorable disposal pricing associated with our landfills, transfer stations and, to a lesser extent transportation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year-to-date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$32.9 million from favorable collection pricing;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$12.2 million from favorable disposal pricing associated with our landfills, transfer stations and, to a lesser extent transportation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from the prior year period is the result of the following:</w:t>
      </w:r>
    </w:p>
    <w:p>
      <w:pPr>
        <w:spacing w:after="0" w:line="117" w:lineRule="exact"/>
        <w:rPr>
          <w:sz w:val="20"/>
          <w:szCs w:val="20"/>
          <w:color w:val="auto"/>
        </w:rPr>
      </w:pPr>
    </w:p>
    <w:p>
      <w:pPr>
        <w:ind w:left="460" w:right="140" w:hanging="331"/>
        <w:spacing w:after="0" w:line="263" w:lineRule="auto"/>
        <w:tabs>
          <w:tab w:leader="none" w:pos="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$(4.5) million from lower disposal volumes (of which $(4.1) million relates to lower landfill volumes, $(0.2) million relates to lower transfer station volumes and $(0.2) million relates to lower transportation volumes) due to slowing economic activity; partially offset by the increase in disposal volumes in the Western region due to flooding caused from severe weather; and</w:t>
      </w:r>
    </w:p>
    <w:p>
      <w:pPr>
        <w:spacing w:after="0" w:line="75" w:lineRule="exact"/>
        <w:rPr>
          <w:rFonts w:ascii="Arial" w:cs="Arial" w:eastAsia="Arial" w:hAnsi="Arial"/>
          <w:sz w:val="18"/>
          <w:szCs w:val="18"/>
          <w:color w:val="auto"/>
        </w:rPr>
      </w:pPr>
    </w:p>
    <w:p>
      <w:pPr>
        <w:jc w:val="both"/>
        <w:ind w:left="460" w:right="340" w:hanging="331"/>
        <w:spacing w:after="0" w:line="342" w:lineRule="auto"/>
        <w:tabs>
          <w:tab w:leader="none" w:pos="4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$(2.8) million from lower collection volumes associated with slowing economic activity, higher customer churn due to increased pricing and fees charged to additional customers in our Western region, and to a lesser extent purposeful shedding of less profitable customers; partially offset by</w:t>
      </w:r>
    </w:p>
    <w:p>
      <w:pPr>
        <w:spacing w:after="0" w:line="15" w:lineRule="exact"/>
        <w:rPr>
          <w:rFonts w:ascii="Arial" w:cs="Arial" w:eastAsia="Arial" w:hAnsi="Arial"/>
          <w:sz w:val="16"/>
          <w:szCs w:val="16"/>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$0.1 million from higher processing volumes.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460" w:right="340" w:hanging="331"/>
        <w:spacing w:after="0" w:line="308" w:lineRule="auto"/>
        <w:tabs>
          <w:tab w:leader="none" w:pos="4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$(8.1) million from lower collection volumes associated with slowing economic activity, higher customer churn due to increased pricing and fees charged to additional customers in our Western region, and to a lesser extent purposeful shedding of less profitable customers; and</w:t>
      </w:r>
    </w:p>
    <w:p>
      <w:pPr>
        <w:spacing w:after="0" w:line="38" w:lineRule="exact"/>
        <w:rPr>
          <w:rFonts w:ascii="Arial" w:cs="Arial" w:eastAsia="Arial" w:hAnsi="Arial"/>
          <w:sz w:val="17"/>
          <w:szCs w:val="17"/>
          <w:color w:val="auto"/>
        </w:rPr>
      </w:pPr>
    </w:p>
    <w:p>
      <w:pPr>
        <w:jc w:val="both"/>
        <w:ind w:left="460" w:right="160" w:hanging="331"/>
        <w:spacing w:after="0" w:line="263" w:lineRule="auto"/>
        <w:tabs>
          <w:tab w:leader="none" w:pos="4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$(4.0) million from lower disposal volumes (of which $(4.0) million relates to lower landfill volumes, $(1.3) million relates to lower transportation volumes and $1.3 million relates to increased transfer station volumes) due to slowing economic activity; partially offset by the increase in disposal volumes in the Western region due to flooding from severe weather; partially offset by</w:t>
      </w:r>
    </w:p>
    <w:p>
      <w:pPr>
        <w:spacing w:after="0" w:line="75" w:lineRule="exact"/>
        <w:rPr>
          <w:rFonts w:ascii="Arial" w:cs="Arial" w:eastAsia="Arial" w:hAnsi="Arial"/>
          <w:sz w:val="18"/>
          <w:szCs w:val="18"/>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$0.2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decline in surcharges and other fees change component in quarterly solid waste revenues growth from the prior year period is the result of lower energy and environmental fee (“E&amp;E Fee(s)”) revenues, partially offset by fuel surcharges and environmental fee revenues associated with the GFL Acquisition and higher sustainability recycling adjustment fee (“SRA Fee(s)”) revenues. Lower E&amp;E Fee revenues associated with our fuel cost recovery program were the result of lower diesel fuel prices. Higher SRA Fee revenues were the result of lower recycled commodity prices and a higher customer participation rate.</w:t>
      </w:r>
    </w:p>
    <w:p>
      <w:pPr>
        <w:spacing w:after="0" w:line="8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growth in surcharges and other fees change component in year-to-date solid waste revenues growth from the prior year period is the result of fuel surcharges and environmental fee revenues associated with the GFL Acquisition, higher SRA Fee revenues, and higher E&amp;E Fee revenues. Higher SRA Fee revenues were the result of lower recycled commodity prices and a higher customer participation rate. Higher E&amp;E Fee revenues associated with our fuel cost recovery program were the result of a higher customer participation rate, partially offset by lower diesel fuel prices.</w:t>
      </w:r>
    </w:p>
    <w:p>
      <w:pPr>
        <w:spacing w:after="0" w:line="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See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this Quarterly Report on Form 10-Q for additional information regarding our fuel recovery programs and SRA Fee.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decline in commodity price and volume change component in year-to-date solid waste revenues growth from the prior year period is primarily from our Western region associated with: unfavorable commodity and energy pricing and lower gas-to-energy volumes; partially offset by higher commodity processing volumes.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0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acquisitions change components in quarterly and year-to-date solid waste revenues growth from the prior year periods are the result of increased activity in line with our growth strategy associated with the timing and acquisition of five businesses in the nine months ended September 30, 2023, including: the formation of our Mid-Atlantic region operating segment through the GFL Acquisition, which commenced operations effective July 1, 2023, and the acquisition of Consolidated Waste Services, LLC and its affiliates (dba Twin Bridges), a collection, transfer and recycling business in the greater Albany, New York area ("Twin Bridges Acquisition"), which commenced operations September 1, 2023, and twelve businesses in fiscal year 2022.</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quarterly Resource Solutions revenues of $(4.8) million from the prior year period is the result of the following:</w:t>
      </w:r>
    </w:p>
    <w:p>
      <w:pPr>
        <w:spacing w:after="0" w:line="63" w:lineRule="exact"/>
        <w:rPr>
          <w:sz w:val="20"/>
          <w:szCs w:val="20"/>
          <w:color w:val="auto"/>
        </w:rPr>
      </w:pPr>
    </w:p>
    <w:p>
      <w:pPr>
        <w:ind w:left="460" w:right="100" w:hanging="331"/>
        <w:spacing w:after="0" w:line="277" w:lineRule="auto"/>
        <w:tabs>
          <w:tab w:leader="none" w:pos="4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$(6.3) million primarily from the unfavorable impact of lower recycled commodity pricing on processing revenues, partially offset by higher tipping fees and other processing pricing; and</w:t>
      </w:r>
    </w:p>
    <w:p>
      <w:pPr>
        <w:spacing w:after="0" w:line="8" w:lineRule="exact"/>
        <w:rPr>
          <w:rFonts w:ascii="Arial" w:cs="Arial" w:eastAsia="Arial" w:hAnsi="Arial"/>
          <w:sz w:val="18"/>
          <w:szCs w:val="18"/>
          <w:color w:val="auto"/>
        </w:rPr>
      </w:pPr>
    </w:p>
    <w:p>
      <w:pPr>
        <w:ind w:left="460" w:right="560" w:hanging="331"/>
        <w:spacing w:after="0" w:line="277" w:lineRule="auto"/>
        <w:tabs>
          <w:tab w:leader="none" w:pos="4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$(0.4) million from lower revenues associated with our National Accounts business due to decreased volumes and lower fees, offset in part by favorable pricing; partially offset by</w:t>
      </w:r>
    </w:p>
    <w:p>
      <w:pPr>
        <w:spacing w:after="0" w:line="8" w:lineRule="exact"/>
        <w:rPr>
          <w:rFonts w:ascii="Arial" w:cs="Arial" w:eastAsia="Arial" w:hAnsi="Arial"/>
          <w:sz w:val="18"/>
          <w:szCs w:val="18"/>
          <w:color w:val="auto"/>
        </w:rPr>
      </w:pPr>
    </w:p>
    <w:p>
      <w:pPr>
        <w:ind w:left="440" w:hanging="311"/>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 million from acquisition activity;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$0.8 million from higher processing volumes mainly driven by higher recycled commodity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year-to-date Resource Solutions revenues of $(13.4) million from the prior year period is the result of the following:</w:t>
      </w:r>
    </w:p>
    <w:p>
      <w:pPr>
        <w:spacing w:after="0" w:line="63" w:lineRule="exact"/>
        <w:rPr>
          <w:sz w:val="20"/>
          <w:szCs w:val="20"/>
          <w:color w:val="auto"/>
        </w:rPr>
      </w:pPr>
    </w:p>
    <w:p>
      <w:pPr>
        <w:ind w:left="460" w:right="160" w:hanging="331"/>
        <w:spacing w:after="0" w:line="277" w:lineRule="auto"/>
        <w:tabs>
          <w:tab w:leader="none" w:pos="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$(28.6) million primarily from the unfavorable impact of lower recycled commodity pricing on processing revenues, offset in part by higher tipping fees and other processing pricing; partially offset by</w:t>
      </w:r>
    </w:p>
    <w:p>
      <w:pPr>
        <w:spacing w:after="0" w:line="8" w:lineRule="exact"/>
        <w:rPr>
          <w:rFonts w:ascii="Arial" w:cs="Arial" w:eastAsia="Arial" w:hAnsi="Arial"/>
          <w:sz w:val="18"/>
          <w:szCs w:val="18"/>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$8.2 million from increased processing volumes mainly driven by higher recycled commodity volumes;</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$3.8 million from acquisition activity; and</w:t>
      </w:r>
    </w:p>
    <w:p>
      <w:pPr>
        <w:spacing w:after="0" w:line="63" w:lineRule="exact"/>
        <w:rPr>
          <w:rFonts w:ascii="Arial" w:cs="Arial" w:eastAsia="Arial" w:hAnsi="Arial"/>
          <w:sz w:val="18"/>
          <w:szCs w:val="18"/>
          <w:color w:val="auto"/>
        </w:rPr>
      </w:pPr>
    </w:p>
    <w:p>
      <w:pPr>
        <w:ind w:left="460" w:right="300" w:hanging="331"/>
        <w:spacing w:after="0" w:line="277" w:lineRule="auto"/>
        <w:tabs>
          <w:tab w:leader="none" w:pos="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$3.2 million from higher revenues associated with our National Accounts business due to favorable pricing, partially offset by decreased volumes and lower fees.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35"/>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5"/>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29"/>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w w:val="97"/>
              </w:rPr>
              <w:t>226.3</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64.2 %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190.3</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64.4 %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rPr>
              <w:t>592.9</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97"/>
              </w:rPr>
              <w:t>538.8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66.3 %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7"/>
              <w:spacing w:after="0"/>
              <w:rPr>
                <w:sz w:val="20"/>
                <w:szCs w:val="20"/>
                <w:color w:val="auto"/>
              </w:rPr>
            </w:pPr>
            <w:r>
              <w:rPr>
                <w:rFonts w:ascii="Arial" w:cs="Arial" w:eastAsia="Arial" w:hAnsi="Arial"/>
                <w:sz w:val="18"/>
                <w:szCs w:val="18"/>
                <w:color w:val="auto"/>
              </w:rPr>
              <w:t>41.2</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11.7 %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5"/>
              <w:spacing w:after="0"/>
              <w:rPr>
                <w:sz w:val="20"/>
                <w:szCs w:val="20"/>
                <w:color w:val="auto"/>
              </w:rPr>
            </w:pPr>
            <w:r>
              <w:rPr>
                <w:rFonts w:ascii="Arial" w:cs="Arial" w:eastAsia="Arial" w:hAnsi="Arial"/>
                <w:sz w:val="18"/>
                <w:szCs w:val="18"/>
                <w:color w:val="auto"/>
              </w:rPr>
              <w:t>34.3</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11.6 %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7"/>
              <w:spacing w:after="0"/>
              <w:rPr>
                <w:sz w:val="20"/>
                <w:szCs w:val="20"/>
                <w:color w:val="auto"/>
              </w:rPr>
            </w:pPr>
            <w:r>
              <w:rPr>
                <w:rFonts w:ascii="Arial" w:cs="Arial" w:eastAsia="Arial" w:hAnsi="Arial"/>
                <w:sz w:val="18"/>
                <w:szCs w:val="18"/>
                <w:color w:val="auto"/>
              </w:rPr>
              <w:t>112.7</w:t>
            </w:r>
          </w:p>
        </w:tc>
        <w:tc>
          <w:tcPr>
            <w:tcW w:w="620" w:type="dxa"/>
            <w:vAlign w:val="bottom"/>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55"/>
              <w:spacing w:after="0"/>
              <w:rPr>
                <w:sz w:val="20"/>
                <w:szCs w:val="20"/>
                <w:color w:val="auto"/>
              </w:rPr>
            </w:pPr>
            <w:r>
              <w:rPr>
                <w:rFonts w:ascii="Arial" w:cs="Arial" w:eastAsia="Arial" w:hAnsi="Arial"/>
                <w:sz w:val="18"/>
                <w:szCs w:val="18"/>
                <w:color w:val="auto"/>
              </w:rPr>
              <w:t>97.7</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12.0 %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47.7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32.5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11.0 %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116.1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93.1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11.5 %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major components of our cost of operations is as follows (dollars in millions and as a percentage of total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2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29"/>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26.0 %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25.9 %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Direct labor costs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12.6 %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13.3 %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operational costs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Fuel costs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and repair costs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operational costs</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64.4 %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66.3 %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These cost categories may change from time to time and may not be comparable to similarly titled categories presented by other companies.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most significant items impacting the changes in our cost of operations during the three and nine months ended September 30, 2023 and 2022 are summarized below:</w:t>
      </w:r>
    </w:p>
    <w:p>
      <w:pPr>
        <w:spacing w:after="0" w:line="8" w:lineRule="exact"/>
        <w:rPr>
          <w:sz w:val="20"/>
          <w:szCs w:val="20"/>
          <w:color w:val="auto"/>
        </w:rPr>
      </w:pPr>
    </w:p>
    <w:p>
      <w:pPr>
        <w:ind w:left="460" w:right="80" w:hanging="331"/>
        <w:spacing w:after="0" w:line="275" w:lineRule="auto"/>
        <w:tabs>
          <w:tab w:leader="none" w:pos="4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Direct costs increased in aggregate dollars primarily due to the commencement of operations of the Mid-Atlantic operating segment effective July 1, 2023, which resulted in $11.0 million of direct costs, and the following cost changes: (i) higher disposal costs driven by acquisition-related growth; and (ii) higher third-party disposal rates and hauling charges related to inflationary pressures; partially offset in dollars, and more than offset as a percentage of revenues, by (i) lower purchased material costs in our Resource Solutions operating segment; and (ii) lower hauling and transportation costs on lower organic disposal volumes in our Eastern region operating segment.</w:t>
      </w:r>
    </w:p>
    <w:p>
      <w:pPr>
        <w:spacing w:after="0" w:line="14" w:lineRule="exact"/>
        <w:rPr>
          <w:rFonts w:ascii="Arial" w:cs="Arial" w:eastAsia="Arial" w:hAnsi="Arial"/>
          <w:sz w:val="17"/>
          <w:szCs w:val="17"/>
          <w:color w:val="auto"/>
        </w:rPr>
      </w:pPr>
    </w:p>
    <w:p>
      <w:pPr>
        <w:ind w:left="460" w:right="200" w:hanging="331"/>
        <w:spacing w:after="0" w:line="257" w:lineRule="auto"/>
        <w:tabs>
          <w:tab w:leader="none" w:pos="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labor costs increased in aggregate dollars primarily due to the commencement of operations of the Mid-Atlantic operating segment effective July 1, 2023, which resulted in $8.8 million of direct labor costs and an increase as a percentage of revenues from the business mix including more labor intensive rear-load operations, and the following cost changes: higher wages and benefit costs driven by acquisition-related growth and inflationary pressures; partially offset by (i) improved routing efficiencies; (ii) lower outside labor costs; and (ii) lower organic disposal volumes in our Eastern region operating segment.</w:t>
      </w:r>
    </w:p>
    <w:p>
      <w:pPr>
        <w:spacing w:after="0" w:line="25" w:lineRule="exact"/>
        <w:rPr>
          <w:rFonts w:ascii="Arial" w:cs="Arial" w:eastAsia="Arial" w:hAnsi="Arial"/>
          <w:sz w:val="18"/>
          <w:szCs w:val="18"/>
          <w:color w:val="auto"/>
        </w:rPr>
      </w:pPr>
    </w:p>
    <w:p>
      <w:pPr>
        <w:ind w:left="460" w:right="100" w:hanging="331"/>
        <w:spacing w:after="0" w:line="255" w:lineRule="auto"/>
        <w:tabs>
          <w:tab w:leader="none" w:pos="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operational costs increased in aggregate dollars primarily due to the commencement of operations of the Mid-Atlantic operating segment effective July 1, 2023, which resulted in $1.9 million of direct operational costs, and the following cost changes year-to-date: (i) higher other operating costs on acquisition-related growth and inflationary pressures; (ii) higher accretion expense associated with changes in the timing and cost estimates of our closure, post-closure, and capping obligations; (iii) higher host community and royalty fees in our Western region; and (iv) higher tire repair and replacement costs; partially offset in dollars, and more than offset as a percentage of revenues, by (i) lower landfill related operating costs on lower volumes and (ii) lower vehicle insurance costs.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left="460" w:right="40" w:hanging="331"/>
        <w:spacing w:after="0" w:line="299" w:lineRule="auto"/>
        <w:tabs>
          <w:tab w:leader="none" w:pos="4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Fuel costs increased in aggregate dollars quarterly due to the commencement of operations of the Mid-Atlantic operating segment effective July 1, 2023, which resulted in $3.0 million of fuel costs, and decreased in aggregate dollars year-to-date primarily due to: lower diesel fuel prices and lower organic solid waste volumes; partially offset by higher diesel fuel consumption related to acquisition-related growth. See Item 3. "</w:t>
      </w:r>
      <w:r>
        <w:rPr>
          <w:rFonts w:ascii="Arial" w:cs="Arial" w:eastAsia="Arial" w:hAnsi="Arial"/>
          <w:sz w:val="16"/>
          <w:szCs w:val="16"/>
          <w:i w:val="1"/>
          <w:iCs w:val="1"/>
          <w:color w:val="auto"/>
        </w:rPr>
        <w:t>Quantitative and</w:t>
      </w:r>
      <w:r>
        <w:rPr>
          <w:rFonts w:ascii="Arial" w:cs="Arial" w:eastAsia="Arial" w:hAnsi="Arial"/>
          <w:sz w:val="16"/>
          <w:szCs w:val="16"/>
          <w:color w:val="auto"/>
        </w:rPr>
        <w:t xml:space="preserve"> </w:t>
      </w:r>
      <w:r>
        <w:rPr>
          <w:rFonts w:ascii="Arial" w:cs="Arial" w:eastAsia="Arial" w:hAnsi="Arial"/>
          <w:sz w:val="16"/>
          <w:szCs w:val="16"/>
          <w:i w:val="1"/>
          <w:iCs w:val="1"/>
          <w:color w:val="auto"/>
        </w:rPr>
        <w:t>Qualitative Disclosures about Market Risk</w:t>
      </w:r>
      <w:r>
        <w:rPr>
          <w:rFonts w:ascii="Arial" w:cs="Arial" w:eastAsia="Arial" w:hAnsi="Arial"/>
          <w:sz w:val="16"/>
          <w:szCs w:val="16"/>
          <w:color w:val="auto"/>
        </w:rPr>
        <w:t>" included in this Quarterly Report on Form 10-Q for additional information regarding our fuel costs.</w:t>
      </w:r>
    </w:p>
    <w:p>
      <w:pPr>
        <w:spacing w:after="0" w:line="1" w:lineRule="exact"/>
        <w:rPr>
          <w:rFonts w:ascii="Arial" w:cs="Arial" w:eastAsia="Arial" w:hAnsi="Arial"/>
          <w:sz w:val="16"/>
          <w:szCs w:val="16"/>
          <w:color w:val="auto"/>
        </w:rPr>
      </w:pPr>
    </w:p>
    <w:p>
      <w:pPr>
        <w:ind w:left="460" w:right="40" w:hanging="331"/>
        <w:spacing w:after="0" w:line="259" w:lineRule="auto"/>
        <w:tabs>
          <w:tab w:leader="none" w:pos="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Maintenance and repair costs increased in aggregate dollars primarily due to the commencement of operations of the Mid-Atlantic operating segment effective July 1, 2023, which resulted in $3.4 million of maintenance and repair costs, and the following cost changes: (i) higher personnel related expenses and supply costs related to parts and repairs associated with acquisition-related growth and inflationary pressures; and (ii) higher vehicle maintenance costs driven by delays in the delivery of fleet replacements.</w:t>
      </w:r>
    </w:p>
    <w:p>
      <w:pPr>
        <w:spacing w:after="0" w:line="24" w:lineRule="exact"/>
        <w:rPr>
          <w:rFonts w:ascii="Arial" w:cs="Arial" w:eastAsia="Arial" w:hAnsi="Arial"/>
          <w:sz w:val="18"/>
          <w:szCs w:val="18"/>
          <w:color w:val="auto"/>
        </w:rPr>
      </w:pPr>
    </w:p>
    <w:p>
      <w:pPr>
        <w:ind w:left="460" w:right="20" w:hanging="331"/>
        <w:spacing w:after="0" w:line="257" w:lineRule="auto"/>
        <w:tabs>
          <w:tab w:leader="none" w:pos="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operational costs increased in aggregate dollars primarily due to the commencement of operations of the Mid-Atlantic operating segment effective July 1, 2023, which resulted in $1.8 million of other operational costs, and higher facility costs related to: (i) higher spend on outside repairs and personnel related expenses associated with acquisition-related growth and inflationary pressures; and (ii) increased facility insurance costs; partially offset by a gain on resolution of acquisition-related contingent consideration associated with the reversal of a contingency for a transfer station permit expansion in our Western region that is no longer deemed viable.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General and administration expense includes: (i) labor costs, which consist of salaries, wages, incentive compensation and related benefit costs such as health and welfare benefits and workers compensation costs related to management, clerical and administrative functions; (ii) professional service fees; (iii) bad debt expense; and (iv) other overhead costs including those associated with marketing, sales force and community relations efforts.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major components of our general and administration expenses is as follows (dollars in millions and as a percentage of total revenues):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29"/>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 costs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center"/>
              <w:ind w:left="195"/>
              <w:spacing w:after="0"/>
              <w:rPr>
                <w:sz w:val="20"/>
                <w:szCs w:val="20"/>
                <w:color w:val="auto"/>
              </w:rPr>
            </w:pPr>
            <w:r>
              <w:rPr>
                <w:rFonts w:ascii="Arial" w:cs="Arial" w:eastAsia="Arial" w:hAnsi="Arial"/>
                <w:sz w:val="18"/>
                <w:szCs w:val="18"/>
                <w:color w:val="auto"/>
                <w:w w:val="87"/>
              </w:rPr>
              <w:t>3.3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ind w:left="195"/>
              <w:spacing w:after="0"/>
              <w:rPr>
                <w:sz w:val="20"/>
                <w:szCs w:val="20"/>
                <w:color w:val="auto"/>
              </w:rPr>
            </w:pPr>
            <w:r>
              <w:rPr>
                <w:rFonts w:ascii="Arial" w:cs="Arial" w:eastAsia="Arial" w:hAnsi="Arial"/>
                <w:sz w:val="18"/>
                <w:szCs w:val="18"/>
                <w:color w:val="auto"/>
                <w:w w:val="87"/>
              </w:rPr>
              <w:t>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bad debt expense</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155"/>
              <w:spacing w:after="0"/>
              <w:rPr>
                <w:sz w:val="20"/>
                <w:szCs w:val="20"/>
                <w:color w:val="auto"/>
              </w:rPr>
            </w:pPr>
            <w:r>
              <w:rPr>
                <w:rFonts w:ascii="Arial" w:cs="Arial" w:eastAsia="Arial" w:hAnsi="Arial"/>
                <w:sz w:val="18"/>
                <w:szCs w:val="18"/>
                <w:color w:val="auto"/>
                <w:w w:val="91"/>
              </w:rPr>
              <w:t>(0.1)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95"/>
              <w:spacing w:after="0"/>
              <w:rPr>
                <w:sz w:val="20"/>
                <w:szCs w:val="20"/>
                <w:color w:val="auto"/>
              </w:rPr>
            </w:pPr>
            <w:r>
              <w:rPr>
                <w:rFonts w:ascii="Arial" w:cs="Arial" w:eastAsia="Arial" w:hAnsi="Arial"/>
                <w:sz w:val="18"/>
                <w:szCs w:val="18"/>
                <w:color w:val="auto"/>
                <w:w w:val="87"/>
              </w:rPr>
              <w:t>3.3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8"/>
        </w:trPr>
        <w:tc>
          <w:tcPr>
            <w:tcW w:w="2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11.7 %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center"/>
              <w:ind w:left="195"/>
              <w:spacing w:after="0"/>
              <w:rPr>
                <w:sz w:val="20"/>
                <w:szCs w:val="20"/>
                <w:color w:val="auto"/>
              </w:rPr>
            </w:pPr>
            <w:r>
              <w:rPr>
                <w:rFonts w:ascii="Arial" w:cs="Arial" w:eastAsia="Arial" w:hAnsi="Arial"/>
                <w:sz w:val="18"/>
                <w:szCs w:val="18"/>
                <w:color w:val="auto"/>
                <w:w w:val="87"/>
              </w:rPr>
              <w:t>6.9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12.0 %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These cost categories may change from time to time and may not be comparable to similarly titled categories presented by other companies.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most significant items impacting the changes in our general and administration expenses during the three and nine months ended September 30, 2023 and 2022 are summarized below:</w:t>
      </w:r>
    </w:p>
    <w:p>
      <w:pPr>
        <w:spacing w:after="0" w:line="8" w:lineRule="exact"/>
        <w:rPr>
          <w:sz w:val="20"/>
          <w:szCs w:val="20"/>
          <w:color w:val="auto"/>
        </w:rPr>
      </w:pPr>
    </w:p>
    <w:p>
      <w:pPr>
        <w:ind w:left="460" w:right="120" w:hanging="331"/>
        <w:spacing w:after="0" w:line="259" w:lineRule="auto"/>
        <w:tabs>
          <w:tab w:leader="none" w:pos="4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Labor costs increased in aggregate dollars primarily due to the commencement of operations of the Mid-Atlantic operating segment effective July 1, 2023, which resulted in $1.4 million of labor costs, and the following cost changes: (i) higher salary, wages and benefit costs on acquisition-related growth and inflationary pressures; and (ii) higher equity compensation costs year-to-date; partially offset by lower accrued incentive compensation costs.</w:t>
      </w:r>
    </w:p>
    <w:p>
      <w:pPr>
        <w:spacing w:after="0" w:line="24" w:lineRule="exact"/>
        <w:rPr>
          <w:rFonts w:ascii="Arial" w:cs="Arial" w:eastAsia="Arial" w:hAnsi="Arial"/>
          <w:sz w:val="18"/>
          <w:szCs w:val="18"/>
          <w:color w:val="auto"/>
        </w:rPr>
      </w:pPr>
    </w:p>
    <w:p>
      <w:pPr>
        <w:ind w:left="460" w:right="140" w:hanging="331"/>
        <w:spacing w:after="0" w:line="259" w:lineRule="auto"/>
        <w:tabs>
          <w:tab w:leader="none" w:pos="4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costs increased in aggregate dollars primarily due to the commencement of operations of the Mid-Atlantic operating segment effective July 1, 2023, which resulted in $1.5 million of other costs, and the following cost changes: (i) an increase in general overhead costs related to business growth and inflationary pressures; (ii) an increase in service agreement costs; (iii) quarterly property taxes; and (iv) sponsorship and advertising related costs.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6"/>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29"/>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Landfill amortization expense</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amortization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13.5 %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11.5 %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most significant items impacting the changes in our depreciation and amortization expenses during the three and nine months ended September 30, 2023 and 2022 are summarized below:</w:t>
      </w:r>
    </w:p>
    <w:p>
      <w:pPr>
        <w:spacing w:after="0" w:line="8" w:lineRule="exact"/>
        <w:rPr>
          <w:sz w:val="20"/>
          <w:szCs w:val="20"/>
          <w:color w:val="auto"/>
        </w:rPr>
      </w:pPr>
    </w:p>
    <w:p>
      <w:pPr>
        <w:ind w:left="460" w:right="240" w:hanging="331"/>
        <w:spacing w:after="0" w:line="263" w:lineRule="auto"/>
        <w:tabs>
          <w:tab w:leader="none" w:pos="4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Depreciation expense increased in aggregate dollars primarily due to the commencement of operations of the Mid-Atlantic operating segment effective July 1, 2023, which resulted in $5.5 million of depreciation expense, and the following impacts: (i) acquisition activity; and (ii) increased investment in our fleet.</w:t>
      </w:r>
    </w:p>
    <w:p>
      <w:pPr>
        <w:spacing w:after="0" w:line="21" w:lineRule="exact"/>
        <w:rPr>
          <w:rFonts w:ascii="Arial" w:cs="Arial" w:eastAsia="Arial" w:hAnsi="Arial"/>
          <w:sz w:val="18"/>
          <w:szCs w:val="18"/>
          <w:color w:val="auto"/>
        </w:rPr>
      </w:pPr>
    </w:p>
    <w:p>
      <w:pPr>
        <w:ind w:left="460" w:right="40" w:hanging="331"/>
        <w:spacing w:after="0" w:line="277" w:lineRule="auto"/>
        <w:tabs>
          <w:tab w:leader="none" w:pos="4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Landfill amortization expense increased in aggregate dollars primarily due to changes in cost and other assumptions from the prior year periods more than offsetting lower landfill volumes.</w:t>
      </w:r>
    </w:p>
    <w:p>
      <w:pPr>
        <w:spacing w:after="0" w:line="8" w:lineRule="exact"/>
        <w:rPr>
          <w:rFonts w:ascii="Arial" w:cs="Arial" w:eastAsia="Arial" w:hAnsi="Arial"/>
          <w:sz w:val="18"/>
          <w:szCs w:val="18"/>
          <w:color w:val="auto"/>
        </w:rPr>
      </w:pPr>
    </w:p>
    <w:p>
      <w:pPr>
        <w:ind w:left="460" w:right="160" w:hanging="331"/>
        <w:spacing w:after="0" w:line="277" w:lineRule="auto"/>
        <w:tabs>
          <w:tab w:leader="none" w:pos="4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amortization expense increased in aggregate dollars primarily due to the commencement of operations of the Mid-Atlantic operating segment effective July 1, 2023, which resulted in $4.6 million of other amortization expense, and other acquisition activity.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three and nine months ended September 30, 2023, we recorded charges of $3.3 million and $9.8 million, respectively, and in the three and nine months ended September 30, 2022, we recorded charges of $0.8 million and $3.9 million, respectively, comprised primarily of legal, consulting and other similar costs associated with due diligence and the acquisition and integration of acquired businesses, including the GFL Acquisition and the Twin Bridges Acquisition in the nine months ended September 30,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104" w:lineRule="exact"/>
        <w:rPr>
          <w:sz w:val="20"/>
          <w:szCs w:val="20"/>
          <w:color w:val="auto"/>
        </w:rPr>
      </w:pPr>
    </w:p>
    <w:p>
      <w:pPr>
        <w:jc w:val="both"/>
        <w:ind w:right="320"/>
        <w:spacing w:after="0" w:line="294" w:lineRule="auto"/>
        <w:rPr>
          <w:sz w:val="20"/>
          <w:szCs w:val="20"/>
          <w:color w:val="auto"/>
        </w:rPr>
      </w:pPr>
      <w:r>
        <w:rPr>
          <w:rFonts w:ascii="Arial" w:cs="Arial" w:eastAsia="Arial" w:hAnsi="Arial"/>
          <w:sz w:val="16"/>
          <w:szCs w:val="16"/>
          <w:color w:val="auto"/>
        </w:rPr>
        <w:t>In the nine months ended September 30, 2023, we accrued for a charge of $6.2 million in current liabilities due to reaching an agreement at a mediation held on June 20, 2023 with the collective class members of a class action lawsuit relating to certain claims under the Fair Labor Standards Act of 1938 (“FLSA”) as well as state wage and hours laws. The settlement agreement was executed July 24, 2023 and has received court approval.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Remediation Charge</w:t>
      </w:r>
    </w:p>
    <w:p>
      <w:pPr>
        <w:spacing w:after="0" w:line="10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the three and nine months ended September 30, 2022, we recorded a charge of $0.8 million associated with the investigation of potential remediation at an inactive waste disposal site that adjoins one of our landfills.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interest expense, net increased $4.2 million quarterly and $7.1 million year-to-date as compared to the same periods in the prior year due primarily to:</w:t>
      </w:r>
    </w:p>
    <w:p>
      <w:pPr>
        <w:spacing w:after="0" w:line="46" w:lineRule="exact"/>
        <w:rPr>
          <w:sz w:val="20"/>
          <w:szCs w:val="20"/>
          <w:color w:val="auto"/>
        </w:rPr>
      </w:pPr>
    </w:p>
    <w:p>
      <w:pPr>
        <w:ind w:right="140" w:firstLine="8"/>
        <w:spacing w:after="0" w:line="268" w:lineRule="auto"/>
        <w:tabs>
          <w:tab w:leader="none" w:pos="2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entering into a $430.0 million aggregate principal amount term loan A facility (“2023 Term Loan Facility”) to fund the GFL Acquisition; (ii) the amortization of transaction, legal, and other similar debt issuance costs incurred associated with bridge financing activities related to the GFL Acquisition and the Twin Bridges Acquisition; (iii) rising interest rates; (iv) and the issuance of $35.0 million aggregate principal amount of Vermont Economic Development Authority Solid Waste Disposal Long-Term Revenue Bonds Series 2022A-1 (“Vermont Bonds 2022A-1”) in June 2022 and $35.0 million aggregate principal amount of New York State Environmental Facilities Corporation Solid Waste Disposal Revenue Bonds Series 2020R-2 (“New York Bonds 2020R-2”) in August 2023; partially offset by higher interest income associated with the timing of financing activities resulting in a higher average cash balance and rising interest rates. For additional disclosure regarding interest expense, see Note 7, </w:t>
      </w:r>
      <w:r>
        <w:rPr>
          <w:rFonts w:ascii="Arial" w:cs="Arial" w:eastAsia="Arial" w:hAnsi="Arial"/>
          <w:sz w:val="17"/>
          <w:szCs w:val="17"/>
          <w:i w:val="1"/>
          <w:iCs w:val="1"/>
          <w:color w:val="auto"/>
        </w:rPr>
        <w:t>Debt</w:t>
      </w:r>
      <w:r>
        <w:rPr>
          <w:rFonts w:ascii="Arial" w:cs="Arial" w:eastAsia="Arial" w:hAnsi="Arial"/>
          <w:sz w:val="17"/>
          <w:szCs w:val="17"/>
          <w:color w:val="auto"/>
        </w:rPr>
        <w:t xml:space="preserve"> to our consolidated financial statements included under Part I, Item 1 of this Quarterly Report on Form 10-Q</w:t>
      </w:r>
      <w:r>
        <w:rPr>
          <w:rFonts w:ascii="Arial" w:cs="Arial" w:eastAsia="Arial" w:hAnsi="Arial"/>
          <w:sz w:val="17"/>
          <w:szCs w:val="17"/>
          <w:i w:val="1"/>
          <w:iCs w:val="1"/>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Termination of Bridge Financing</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nine months ended September 30, 2023, we wrote-off the unamortized debt issuance costs and recognized a loss from termination of bridge financing upon the extinguishment of both a secured bridge financing agreement in connection with the GFL Acquisition of $3.7 million, and an unsecured bridge financing agreement in connection with the Twin Bridges Acquisition of $4.5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provision for income taxes decreased $(3.1) million in the three months ended September 30, 2023, and decreased $(9.9) million in the nine months ended September 30, 2023, as compared to the prior year periods. This is primarily due to increased depreciation and amortization from acquisitions, higher interest expenses and debt extinguishment costs during the nine months ended September 30, 2023. The provision for income taxes in the nine months ended September 30, 2023 included $3.8 million of current income taxes and $4.9 million of deferred income taxes. The provision for income taxes in the nine months ended September 30, 2022 included $4.9 million of current income taxes and $13.8 million of deferred income taxes. The effective rate excluding discrete items for the fiscal year ending December 31, 2023 ("fiscal year 2023") is 27.3% and is computed based on the statutory rate of 21% adjusted primarily for state taxes and nondeductible officer compensation. The discrete items include equity compensation, a portion of equity compensation disallowed pursuant to Section 162(m) of the Internal Revenue Code and a provision for the entry booked relating to the prior year. The equity compensation deduction is taken into account in the nine months ended September 30, 2023 due to the timing of bonuses and equity awards. Where the long-term trend of the stock price underlying the equity compensation has been increasing, this creates a larger deduction for tax, which reduces the effective rate for the nine months ended September 30, 2023. The effective rate for the nine months ended September 30, 2023 is 24.4%. For the nine months ended September 30, 2022 the effective rate was 29.5%.</w:t>
      </w:r>
    </w:p>
    <w:p>
      <w:pPr>
        <w:spacing w:after="0" w:line="7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December 22, 2017, the Tax Cuts and Jobs Act (the “TCJA”) was enacted. The TCJA significantly changed U.S. corporate income tax laws by, among other things, changing carryforward rules for net operating losses. Under the Internal Revenue Code, as amended by the TCJA, federal net operating loss carryforwards generated before the 2018 tax year continue to be carried forward for 20 years and are able to fully offset taxable income (“pre-2018 net operating losses”). Federal net operating losses generated following the 2017 tax year are carried forward indefinitely, but generally may only offset up to 80% of taxable income earned in a tax year (“post-2017 net operating losses”).</w:t>
      </w:r>
    </w:p>
    <w:p>
      <w:pPr>
        <w:spacing w:after="0" w:line="6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carried $5.8 million of pre-2018 net operating losses and $46.5 million of post-2017 net operating losses into the 2023 tax year. Due to the structure of our acquisitions during the nine months ended September 30, 2023, we are projecting a significant increase to depreciation and amortization deductions during the 2023 tax year. As such, we are projecting to utilize significantly less net operating losses during fiscal year 2023 than we projected in the three months ended March 31, 2023. Currently, we expect to utilize all our pre-2018 net operating losses in fiscal year 2023 and carryforward about $35 million post-2017 net operating losses to the fiscal year ending December 31, 2024. We expect some refinements to our tax provision for fiscal year 2023 as we obtain and analyze more detailed information from acquisitions, including the GFL Acquisition and the Twin Bridges Acquisition.</w:t>
      </w:r>
    </w:p>
    <w:p>
      <w:pPr>
        <w:spacing w:after="0" w:line="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addition, the TCJA added limitations on the deductibility of interest expense that became more restrictive beginning in tax year 2022 and will limit the deductibility of some of our interest expense. Any interest expense limited may be carried forward indefinitely and utilized in later years subject to said interest limitation.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reportable operating segment (in millions)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31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7"/>
                <w:szCs w:val="17"/>
                <w:color w:val="auto"/>
              </w:rPr>
            </w:pPr>
          </w:p>
        </w:tc>
        <w:tc>
          <w:tcPr>
            <w:tcW w:w="820" w:type="dxa"/>
            <w:vAlign w:val="bottom"/>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Change</w:t>
            </w:r>
          </w:p>
        </w:tc>
      </w:tr>
      <w:tr>
        <w:trPr>
          <w:trHeight w:val="22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85"/>
              </w:rPr>
              <w:t>23.0</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Western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ind w:left="335"/>
              <w:spacing w:after="0"/>
              <w:rPr>
                <w:sz w:val="20"/>
                <w:szCs w:val="20"/>
                <w:color w:val="auto"/>
              </w:rPr>
            </w:pPr>
            <w:r>
              <w:rPr>
                <w:rFonts w:ascii="Arial" w:cs="Arial" w:eastAsia="Arial" w:hAnsi="Arial"/>
                <w:sz w:val="18"/>
                <w:szCs w:val="18"/>
                <w:color w:val="auto"/>
                <w:w w:val="85"/>
              </w:rPr>
              <w:t>38.7</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85"/>
              </w:rPr>
              <w:t>43.7</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Resource Solutions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15"/>
              <w:spacing w:after="0"/>
              <w:rPr>
                <w:sz w:val="20"/>
                <w:szCs w:val="20"/>
                <w:color w:val="auto"/>
              </w:rPr>
            </w:pPr>
            <w:r>
              <w:rPr>
                <w:rFonts w:ascii="Arial" w:cs="Arial" w:eastAsia="Arial" w:hAnsi="Arial"/>
                <w:sz w:val="18"/>
                <w:szCs w:val="18"/>
                <w:color w:val="auto"/>
                <w:w w:val="93"/>
              </w:rPr>
              <w:t>(13.4)</w:t>
            </w:r>
          </w:p>
        </w:tc>
      </w:tr>
      <w:tr>
        <w:trPr>
          <w:trHeight w:val="248"/>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85"/>
              </w:rPr>
              <w:t>92.0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Period-to-Period Change for the Three Months</w:t>
            </w:r>
          </w:p>
        </w:tc>
        <w:tc>
          <w:tcPr>
            <w:tcW w:w="160" w:type="dxa"/>
            <w:vAlign w:val="bottom"/>
          </w:tcPr>
          <w:p>
            <w:pPr>
              <w:spacing w:after="0"/>
              <w:rPr>
                <w:sz w:val="14"/>
                <w:szCs w:val="14"/>
                <w:color w:val="auto"/>
              </w:rPr>
            </w:pPr>
          </w:p>
        </w:tc>
        <w:tc>
          <w:tcPr>
            <w:tcW w:w="302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w w:val="93"/>
              </w:rPr>
              <w:t>Period-to-Period Change for the Nine Months</w:t>
            </w:r>
          </w:p>
        </w:tc>
      </w:tr>
      <w:tr>
        <w:trPr>
          <w:trHeight w:val="196"/>
        </w:trPr>
        <w:tc>
          <w:tcPr>
            <w:tcW w:w="478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Ended September 30, 2023 vs. 2022</w:t>
            </w:r>
          </w:p>
        </w:tc>
        <w:tc>
          <w:tcPr>
            <w:tcW w:w="160" w:type="dxa"/>
            <w:vAlign w:val="bottom"/>
          </w:tcPr>
          <w:p>
            <w:pPr>
              <w:spacing w:after="0"/>
              <w:rPr>
                <w:sz w:val="17"/>
                <w:szCs w:val="17"/>
                <w:color w:val="auto"/>
              </w:rPr>
            </w:pPr>
          </w:p>
        </w:tc>
        <w:tc>
          <w:tcPr>
            <w:tcW w:w="302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Ended September 30, 2023 vs. 2022</w:t>
            </w:r>
          </w:p>
        </w:tc>
      </w:tr>
      <w:tr>
        <w:trPr>
          <w:trHeight w:val="196"/>
        </w:trPr>
        <w:tc>
          <w:tcPr>
            <w:tcW w:w="47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4780" w:type="dxa"/>
            <w:vAlign w:val="bottom"/>
          </w:tcPr>
          <w:p>
            <w:pPr>
              <w:ind w:left="340"/>
              <w:spacing w:after="0"/>
              <w:rPr>
                <w:sz w:val="20"/>
                <w:szCs w:val="20"/>
                <w:color w:val="auto"/>
              </w:rPr>
            </w:pPr>
            <w:r>
              <w:rPr>
                <w:rFonts w:ascii="Arial" w:cs="Arial" w:eastAsia="Arial" w:hAnsi="Arial"/>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9.1 %</w:t>
            </w: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$5.7 million from favorable collection pricing;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 million from favorable disposal pricing related to transfer stations and landfills.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year-to-date solid waste revenues growth from the prior year period is the result of the following:</w:t>
      </w:r>
    </w:p>
    <w:p>
      <w:pPr>
        <w:spacing w:after="0" w:line="117" w:lineRule="exact"/>
        <w:rPr>
          <w:sz w:val="20"/>
          <w:szCs w:val="20"/>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$16.8 million from favorable collection pricing; and</w:t>
      </w:r>
    </w:p>
    <w:p>
      <w:pPr>
        <w:spacing w:after="0" w:line="117" w:lineRule="exact"/>
        <w:rPr>
          <w:rFonts w:ascii="Arial" w:cs="Arial" w:eastAsia="Arial" w:hAnsi="Arial"/>
          <w:sz w:val="18"/>
          <w:szCs w:val="18"/>
          <w:color w:val="auto"/>
        </w:rPr>
      </w:pPr>
    </w:p>
    <w:p>
      <w:pPr>
        <w:ind w:right="4660" w:firstLine="170"/>
        <w:spacing w:after="0" w:line="375" w:lineRule="auto"/>
        <w:tabs>
          <w:tab w:leader="none" w:pos="4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$6.7 million from favorable disposal pricing related to transfer stations and landfills.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volume change component in quarterly solid waste revenues growth from the prior year period is the result of the following:</w:t>
      </w:r>
    </w:p>
    <w:p>
      <w:pPr>
        <w:spacing w:after="0" w:line="117" w:lineRule="exact"/>
        <w:rPr>
          <w:rFonts w:ascii="Arial" w:cs="Arial" w:eastAsia="Arial" w:hAnsi="Arial"/>
          <w:sz w:val="18"/>
          <w:szCs w:val="18"/>
          <w:color w:val="auto"/>
        </w:rPr>
      </w:pPr>
    </w:p>
    <w:p>
      <w:pPr>
        <w:ind w:left="500" w:right="360" w:hanging="330"/>
        <w:spacing w:after="0" w:line="263"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$(4.5) million from lower disposal volumes (of which $(3.3) million relates to lower transfer station volumes, $(1.3) million relates to decreased landfill volumes and $0.1 million associated with higher transportation volumes) due to slowing economic activity and, in the case of landfill volumes, the customer and material mix; partially offset by</w:t>
      </w:r>
    </w:p>
    <w:p>
      <w:pPr>
        <w:spacing w:after="0" w:line="75" w:lineRule="exact"/>
        <w:rPr>
          <w:rFonts w:ascii="Arial" w:cs="Arial" w:eastAsia="Arial" w:hAnsi="Arial"/>
          <w:sz w:val="18"/>
          <w:szCs w:val="18"/>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$0.1 million from higher collection volumes;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$0.1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year-to-date solid waste revenues growth from the prior year period is the result of the following:</w:t>
      </w:r>
    </w:p>
    <w:p>
      <w:pPr>
        <w:spacing w:after="0" w:line="117" w:lineRule="exact"/>
        <w:rPr>
          <w:sz w:val="20"/>
          <w:szCs w:val="20"/>
          <w:color w:val="auto"/>
        </w:rPr>
      </w:pPr>
    </w:p>
    <w:p>
      <w:pPr>
        <w:ind w:left="500" w:right="160" w:hanging="330"/>
        <w:spacing w:after="0" w:line="263"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$(5.8) million from lower disposal volumes (of which $(3.2) million relates to lower transfer station volumes, $(1.9) million is associated with decreased landfill volumes and $(0.7) million is associated with lower transportation volumes) due to slowing economic activity and, in the case of landfill volumes, the customer and material mix;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7" w:name="page38"/>
    <w:bookmarkEnd w:id="37"/>
    <w:p>
      <w:pPr>
        <w:ind w:left="500" w:right="80" w:hanging="330"/>
        <w:spacing w:after="0" w:line="277" w:lineRule="auto"/>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$(0.5) million from lower collection volumes associated with slowing economic activity and to a lesser extent purposeful shedding of less profitable customers; partially offset by</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$0.2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decline in surcharges and other fees change component in quarterly solid waste revenues growth from the prior year period is the result of lower E&amp;E Fee revenues, partially offset by higher SRA Fee revenues. Lower E&amp;E Fee revenues associated with our fuel cost recovery program were the result of lower diesel fuel prices. Higher SRA Fee revenues were the result of lower recycled commodity prices and a higher customer participation rate.</w:t>
      </w:r>
    </w:p>
    <w:p>
      <w:pPr>
        <w:spacing w:after="0" w:line="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growth in surcharges and other fees change component in year-to-date solid waste revenues growth from the prior year period is the result of higher SRA Fee revenues, partially offset by lower E&amp;E Fee revenues. Higher SRA Fee revenues were the result of lower recycled commodity prices and a higher customer participation rate. Lower E&amp;E Fee revenues associated with our fuel cost recovery program were the result of lower diesel fuel prices, partially offset by a higher customer participation rate.</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See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this Quarterly Report on Form 10-Q for additional information regarding our fuel recovery programs and SRA Fee.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acquisitions change components in quarterly and year-to-date solid waste revenues growth from the prior year periods are the result of increased acquisition activity in line with our growth strategy, including the timing and acquisition of one business in the nine months ended September 30, 2023 and two businesses in the fiscal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Period-to-Period Change for the Three Months</w:t>
            </w:r>
          </w:p>
        </w:tc>
        <w:tc>
          <w:tcPr>
            <w:tcW w:w="160" w:type="dxa"/>
            <w:vAlign w:val="bottom"/>
          </w:tcPr>
          <w:p>
            <w:pPr>
              <w:spacing w:after="0"/>
              <w:rPr>
                <w:sz w:val="14"/>
                <w:szCs w:val="14"/>
                <w:color w:val="auto"/>
              </w:rPr>
            </w:pPr>
          </w:p>
        </w:tc>
        <w:tc>
          <w:tcPr>
            <w:tcW w:w="302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w w:val="93"/>
              </w:rPr>
              <w:t>Period-to-Period Change for the Nine Months</w:t>
            </w:r>
          </w:p>
        </w:tc>
      </w:tr>
      <w:tr>
        <w:trPr>
          <w:trHeight w:val="192"/>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Ended September 30, 2023 vs. 2022</w:t>
            </w:r>
          </w:p>
        </w:tc>
        <w:tc>
          <w:tcPr>
            <w:tcW w:w="160" w:type="dxa"/>
            <w:vAlign w:val="bottom"/>
          </w:tcPr>
          <w:p>
            <w:pPr>
              <w:spacing w:after="0"/>
              <w:rPr>
                <w:sz w:val="16"/>
                <w:szCs w:val="16"/>
                <w:color w:val="auto"/>
              </w:rPr>
            </w:pPr>
          </w:p>
        </w:tc>
        <w:tc>
          <w:tcPr>
            <w:tcW w:w="302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Ended September 30, 2023 vs. 2022</w:t>
            </w:r>
          </w:p>
        </w:tc>
      </w:tr>
      <w:tr>
        <w:trPr>
          <w:trHeight w:val="196"/>
        </w:trPr>
        <w:tc>
          <w:tcPr>
            <w:tcW w:w="47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11.2</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14.1</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11.6 %</w:t>
            </w: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$5.3 million from favorable collection pricing;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$1.8 million from favorable disposal pricing related to landfills, transfer stations, and transportation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year-to-date solid waste revenues growth from the prior year period is the result of the following:</w:t>
      </w:r>
    </w:p>
    <w:p>
      <w:pPr>
        <w:spacing w:after="0" w:line="63" w:lineRule="exact"/>
        <w:rPr>
          <w:sz w:val="20"/>
          <w:szCs w:val="20"/>
          <w:color w:val="auto"/>
        </w:rPr>
      </w:pPr>
    </w:p>
    <w:p>
      <w:pPr>
        <w:ind w:left="480" w:hanging="310"/>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$16.1 million from favorable collection pricing;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$5.5 million from favorable disposal pricing related to landfills, transfer stations, and transportation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from the prior year period is the result of the following:</w:t>
      </w:r>
    </w:p>
    <w:p>
      <w:pPr>
        <w:spacing w:after="0" w:line="63" w:lineRule="exact"/>
        <w:rPr>
          <w:sz w:val="20"/>
          <w:szCs w:val="20"/>
          <w:color w:val="auto"/>
        </w:rPr>
      </w:pPr>
    </w:p>
    <w:p>
      <w:pPr>
        <w:ind w:left="500" w:right="300" w:hanging="330"/>
        <w:spacing w:after="0" w:line="277"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$(2.9) million from lower collection volumes associated with slowing economic activity, higher customer churn due to increased pricing and fees charged to additional customers, and to a lesser extent purposeful shedding of less profitable customers;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ind w:left="500" w:right="80" w:hanging="330"/>
        <w:spacing w:after="0" w:line="342" w:lineRule="auto"/>
        <w:tabs>
          <w:tab w:leader="none" w:pos="4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Disposal volumes were flat ($3.1 million of higher transfer station volumes, $(2.8) million in lower landfill volumes and $(0.3) million in lower transportation volumes) due to higher disposal volumes associated with the flooding caused by severe weather; offset by slowing economic activity.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year-to-date solid waste revenues growth from the prior year period is the result of the following:</w:t>
      </w:r>
    </w:p>
    <w:p>
      <w:pPr>
        <w:spacing w:after="0" w:line="63" w:lineRule="exact"/>
        <w:rPr>
          <w:sz w:val="20"/>
          <w:szCs w:val="20"/>
          <w:color w:val="auto"/>
        </w:rPr>
      </w:pPr>
    </w:p>
    <w:p>
      <w:pPr>
        <w:ind w:left="500" w:right="280" w:hanging="330"/>
        <w:spacing w:after="0" w:line="298" w:lineRule="auto"/>
        <w:tabs>
          <w:tab w:leader="none" w:pos="495" w:val="left"/>
        </w:tabs>
        <w:numPr>
          <w:ilvl w:val="0"/>
          <w:numId w:val="33"/>
        </w:numPr>
        <w:rPr>
          <w:rFonts w:ascii="Arial" w:cs="Arial" w:eastAsia="Arial" w:hAnsi="Arial"/>
          <w:sz w:val="17"/>
          <w:szCs w:val="17"/>
          <w:color w:val="auto"/>
        </w:rPr>
      </w:pPr>
      <w:r>
        <w:rPr>
          <w:rFonts w:ascii="Arial" w:cs="Arial" w:eastAsia="Arial" w:hAnsi="Arial"/>
          <w:sz w:val="17"/>
          <w:szCs w:val="17"/>
          <w:color w:val="auto"/>
        </w:rPr>
        <w:t>$(7.7) million from lower collection volumes associated with slowing economic activity, higher customer churn due to increased pricing and fees charged to additional customers, and to a lesser extent purposeful shedding of less profitable customers; partially offset by</w:t>
      </w:r>
    </w:p>
    <w:p>
      <w:pPr>
        <w:jc w:val="both"/>
        <w:ind w:left="500" w:right="240" w:hanging="330"/>
        <w:spacing w:after="0" w:line="263"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$1.9 million from higher disposal volumes (of which $4.5 million relates to higher transfers stations volumes; partially offset by $(2.1) million in lower landfill volumes and $(0.5) million in lower transportation volumes) related to higher disposal volumes associated with the flooding caused from severe weather; partially offset by slowing economic activity.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decline in surcharges and other fees change component in quarterly solid waste revenues growth from the prior year period is the result of lower E&amp;E Fee revenues, partially offset by higher SRA Fee revenues. Lower E&amp;E Fee revenues associated with our fuel cost recovery program were the result of lower diesel fuel prices. Higher SRA Fee revenues were the result of lower recycled commodity prices and a higher customer participation rate.</w:t>
      </w:r>
    </w:p>
    <w:p>
      <w:pPr>
        <w:spacing w:after="0" w:line="4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growth in surcharges and other fees change component in year-to-date solid waste revenues growth from the prior year period is the result of higher SRA Fee and E&amp;E Fee revenues. Higher SRA Fee revenues were the result of lower recycled commodity prices and a higher customer participation rate. Higher E&amp;E Fee revenues associated with our fuel cost recovery program were the result of a higher customer participation rate, partially offset by lower diesel fuel prices.</w:t>
      </w:r>
    </w:p>
    <w:p>
      <w:pPr>
        <w:spacing w:after="0" w:line="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See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this Quarterly Report on Form 10-Q for additional information regarding our fuel recovery programs and SRA Fee.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decline in commodity price and volume change component in year-to-date solid waste revenues growth from the prior year period is primarily associated with unfavorable commodity and energy pricing and lower gas-to-energy volumes; partially offset by higher commodity processing volumes.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acquisitions change components in quarterly and year-to-date solid waste revenues growth from the prior year period are the result of increased acquisition activity in line with our growth strategy, including the timing and acquisition of the Twin Bridges Acquisition and two additional businesses in the nine months ended September 30, 2023, and ten businesses in the fiscal year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Mid-Atlantic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Period-to-Period Change for the Three</w:t>
            </w:r>
          </w:p>
        </w:tc>
        <w:tc>
          <w:tcPr>
            <w:tcW w:w="120" w:type="dxa"/>
            <w:vAlign w:val="bottom"/>
          </w:tcPr>
          <w:p>
            <w:pPr>
              <w:spacing w:after="0"/>
              <w:rPr>
                <w:sz w:val="14"/>
                <w:szCs w:val="14"/>
                <w:color w:val="auto"/>
              </w:rPr>
            </w:pPr>
          </w:p>
        </w:tc>
        <w:tc>
          <w:tcPr>
            <w:tcW w:w="2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Period-to-Period Change for the Nine</w:t>
            </w:r>
          </w:p>
        </w:tc>
      </w:tr>
      <w:tr>
        <w:trPr>
          <w:trHeight w:val="144"/>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92"/>
              </w:rPr>
              <w:t>Months Ended September 30, 2023 vs.</w:t>
            </w:r>
          </w:p>
        </w:tc>
        <w:tc>
          <w:tcPr>
            <w:tcW w:w="120" w:type="dxa"/>
            <w:vAlign w:val="bottom"/>
          </w:tcPr>
          <w:p>
            <w:pPr>
              <w:spacing w:after="0"/>
              <w:rPr>
                <w:sz w:val="12"/>
                <w:szCs w:val="12"/>
                <w:color w:val="auto"/>
              </w:rPr>
            </w:pPr>
          </w:p>
        </w:tc>
        <w:tc>
          <w:tcPr>
            <w:tcW w:w="25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Months Ended September 30, 2023 vs.</w:t>
            </w:r>
          </w:p>
        </w:tc>
      </w:tr>
      <w:tr>
        <w:trPr>
          <w:trHeight w:val="196"/>
        </w:trPr>
        <w:tc>
          <w:tcPr>
            <w:tcW w:w="5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7"/>
                <w:szCs w:val="17"/>
                <w:color w:val="auto"/>
              </w:rPr>
            </w:pPr>
          </w:p>
        </w:tc>
      </w:tr>
      <w:tr>
        <w:trPr>
          <w:trHeight w:val="196"/>
        </w:trPr>
        <w:tc>
          <w:tcPr>
            <w:tcW w:w="5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r>
      <w:tr>
        <w:trPr>
          <w:trHeight w:val="230"/>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Acquisitions</w:t>
            </w:r>
          </w:p>
        </w:tc>
        <w:tc>
          <w:tcPr>
            <w:tcW w:w="1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19"/>
                <w:szCs w:val="19"/>
                <w:color w:val="auto"/>
              </w:rPr>
            </w:pPr>
          </w:p>
        </w:tc>
      </w:tr>
      <w:tr>
        <w:trPr>
          <w:trHeight w:val="248"/>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Solid waste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surcharges and other fees change components in quarterly and year-to-date solid waste revenues growth from the prior year periods are the result of fuel surcharges and environmental fee revenues.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See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this Quarterly Report on Form 10-Q for additional information regarding our fuel recovery programs.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acquisitions change components in quarterly and year-to-date solid waste revenues growth from the prior year period are the result of the GFL Acquisition, which resulted in $40.2 million in collection revenue and $0.5 million in transfer station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2"/>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86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840" w:type="dxa"/>
            <w:vAlign w:val="bottom"/>
          </w:tcPr>
          <w:p>
            <w:pPr>
              <w:jc w:val="right"/>
              <w:ind w:right="395"/>
              <w:spacing w:after="0"/>
              <w:rPr>
                <w:sz w:val="20"/>
                <w:szCs w:val="20"/>
                <w:color w:val="auto"/>
              </w:rPr>
            </w:pPr>
            <w:r>
              <w:rPr>
                <w:rFonts w:ascii="Arial" w:cs="Arial" w:eastAsia="Arial" w:hAnsi="Arial"/>
                <w:sz w:val="14"/>
                <w:szCs w:val="14"/>
                <w:b w:val="1"/>
                <w:bCs w:val="1"/>
                <w:color w:val="auto"/>
              </w:rPr>
              <w:t>$</w:t>
            </w:r>
          </w:p>
        </w:tc>
      </w:tr>
      <w:tr>
        <w:trPr>
          <w:trHeight w:val="196"/>
        </w:trPr>
        <w:tc>
          <w:tcPr>
            <w:tcW w:w="46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Change</w:t>
            </w:r>
          </w:p>
        </w:tc>
      </w:tr>
      <w:tr>
        <w:trPr>
          <w:trHeight w:val="22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center"/>
              <w:ind w:left="395"/>
              <w:spacing w:after="0"/>
              <w:rPr>
                <w:sz w:val="20"/>
                <w:szCs w:val="20"/>
                <w:color w:val="auto"/>
              </w:rPr>
            </w:pPr>
            <w:r>
              <w:rPr>
                <w:rFonts w:ascii="Arial" w:cs="Arial" w:eastAsia="Arial" w:hAnsi="Arial"/>
                <w:sz w:val="18"/>
                <w:szCs w:val="18"/>
                <w:color w:val="auto"/>
                <w:w w:val="87"/>
              </w:rPr>
              <w:t>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center"/>
              <w:ind w:left="355"/>
              <w:spacing w:after="0"/>
              <w:rPr>
                <w:sz w:val="20"/>
                <w:szCs w:val="20"/>
                <w:color w:val="auto"/>
              </w:rPr>
            </w:pPr>
            <w:r>
              <w:rPr>
                <w:rFonts w:ascii="Arial" w:cs="Arial" w:eastAsia="Arial" w:hAnsi="Arial"/>
                <w:sz w:val="18"/>
                <w:szCs w:val="18"/>
                <w:color w:val="auto"/>
                <w:w w:val="91"/>
              </w:rPr>
              <w:t>(1.9)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1"/>
              </w:rPr>
              <w:t>(0.7)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Resource Solutions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center"/>
              <w:ind w:left="355"/>
              <w:spacing w:after="0"/>
              <w:rPr>
                <w:sz w:val="20"/>
                <w:szCs w:val="20"/>
                <w:color w:val="auto"/>
              </w:rPr>
            </w:pPr>
            <w:r>
              <w:rPr>
                <w:rFonts w:ascii="Arial" w:cs="Arial" w:eastAsia="Arial" w:hAnsi="Arial"/>
                <w:sz w:val="18"/>
                <w:szCs w:val="18"/>
                <w:color w:val="auto"/>
                <w:w w:val="91"/>
              </w:rPr>
              <w:t>(0.4)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Entities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91"/>
              </w:rPr>
              <w:t>(0.2)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466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1"/>
              </w:rPr>
              <w:t>(2.1)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Operating income increased $1.1 million quarterly and $6.8 million year-to-date from the prior year periods. Excluding the impact of the Southbridge Landfill closure charge, the FLSA-related legal settlement charge and the expense from acquisition activities, our operating performance in the three and nine months ended September 30, 2023 was driven by revenue growth, inclusive of inter-company revenues, more than offsetting the following cost changes.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 of operations increased $3.4 million quarterly and $14.2 million year-to-date from the prior year periods due to the following:</w:t>
      </w:r>
    </w:p>
    <w:p>
      <w:pPr>
        <w:spacing w:after="0" w:line="63" w:lineRule="exact"/>
        <w:rPr>
          <w:sz w:val="20"/>
          <w:szCs w:val="20"/>
          <w:color w:val="auto"/>
        </w:rPr>
      </w:pPr>
    </w:p>
    <w:p>
      <w:pPr>
        <w:ind w:left="500" w:right="260" w:hanging="330"/>
        <w:spacing w:after="0" w:line="263"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 costs increased in aggregate dollars primarily due to: higher disposal costs, including landfill disposal costs, driven by acquisition-related growth and higher disposal rates due to inflationary pressures; partially offset by lower hauling and transportation costs on lower organic disposal volumes;</w:t>
      </w:r>
    </w:p>
    <w:p>
      <w:pPr>
        <w:spacing w:after="0" w:line="21" w:lineRule="exact"/>
        <w:rPr>
          <w:rFonts w:ascii="Arial" w:cs="Arial" w:eastAsia="Arial" w:hAnsi="Arial"/>
          <w:sz w:val="18"/>
          <w:szCs w:val="18"/>
          <w:color w:val="auto"/>
        </w:rPr>
      </w:pPr>
    </w:p>
    <w:p>
      <w:pPr>
        <w:ind w:left="500" w:right="140" w:hanging="330"/>
        <w:spacing w:after="0" w:line="273"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 labor costs increased in aggregate dollars primarily due to: (i) inflationary pressures; and (ii) acquisition activity; partially offset by (i) lower spend on outside labor, (ii) lower organic disposal volumes; and (iii) improved routing efficiencies;</w:t>
      </w:r>
    </w:p>
    <w:p>
      <w:pPr>
        <w:spacing w:after="0" w:line="1" w:lineRule="exact"/>
        <w:rPr>
          <w:rFonts w:ascii="Arial" w:cs="Arial" w:eastAsia="Arial" w:hAnsi="Arial"/>
          <w:sz w:val="18"/>
          <w:szCs w:val="18"/>
          <w:color w:val="auto"/>
        </w:rPr>
      </w:pPr>
    </w:p>
    <w:p>
      <w:pPr>
        <w:jc w:val="both"/>
        <w:ind w:left="500" w:right="100" w:hanging="330"/>
        <w:spacing w:after="0" w:line="248"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Fuel costs decreased in aggregate dollars primarily due to: lower diesel fuel prices and lower organic solid waste volumes; partially offset by higher diesel fuel consumption related to acquisition-related growth. See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this Quarterly Report on Form 10-Q for additional information regarding our fuel costs;</w:t>
      </w:r>
    </w:p>
    <w:p>
      <w:pPr>
        <w:spacing w:after="0" w:line="19" w:lineRule="exact"/>
        <w:rPr>
          <w:rFonts w:ascii="Arial" w:cs="Arial" w:eastAsia="Arial" w:hAnsi="Arial"/>
          <w:sz w:val="18"/>
          <w:szCs w:val="18"/>
          <w:color w:val="auto"/>
        </w:rPr>
      </w:pPr>
    </w:p>
    <w:p>
      <w:pPr>
        <w:ind w:left="500" w:right="260" w:hanging="330"/>
        <w:spacing w:after="0" w:line="299" w:lineRule="auto"/>
        <w:tabs>
          <w:tab w:leader="none" w:pos="4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Maintenance and repair costs increased in aggregate dollars driven by higher fleet and container maintenance costs due to: (i) higher personnel related expenses and supply costs related to repairs and parts associated with acquisition-related growth and inflationary pressures; and (ii) higher vehicle maintenance costs from delays in the delivery of fleet replacements; partially offset by lower spend on outside container repairs; and</w:t>
      </w:r>
    </w:p>
    <w:p>
      <w:pPr>
        <w:ind w:left="500" w:right="280" w:hanging="330"/>
        <w:spacing w:after="0" w:line="261"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operational costs increased in aggregate dollars driven by: (i) higher facility costs primarily associated with an increase in spend on outside repairs; and (ii) higher personnel related expenses due to acquisition-related growth and inflationary pressures.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General and administration expense increased $1.8 million quarterly and $4.8 million year-to-date from the prior year periods due primarily to: (i) wage inflation; (ii) the allocation of higher shared service costs; and to a lesser extent (iii) quarterly acquisition-related growth; partially offset by lower accrued incentive compensation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Depreciation and amortization expense increased $0.5 million quarterly and $1.5 million year-to-date from the prior year periods due to higher landfill amortization expense as the result of changes in cost and other assumptions from prior year more than offsetting lower landfill volumes; partially offset year-to-date by additional depreciation and other amortization expense related to a purchase price allocation adjustment in the quarter ended March 31,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Operating income decreased $(1.9) million quarterly and increased $0.3 million year-to-date from the prior year periods. Excluding the impact of the FLSA-related legal settlement charge, expense from acquisition activities and the environmental remediation charge, our operating performance in the three and nine months ended September 30, 2023 was driven by revenue growth, inclusive of inter-company revenues, and the following cost changes.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 of operations increased $14.5 million quarterly and $31.8 million year-to-date from the prior year periods due to the following:</w:t>
      </w:r>
    </w:p>
    <w:p>
      <w:pPr>
        <w:spacing w:after="0" w:line="117" w:lineRule="exact"/>
        <w:rPr>
          <w:sz w:val="20"/>
          <w:szCs w:val="20"/>
          <w:color w:val="auto"/>
        </w:rPr>
      </w:pPr>
    </w:p>
    <w:p>
      <w:pPr>
        <w:jc w:val="both"/>
        <w:ind w:left="460" w:right="40" w:hanging="331"/>
        <w:spacing w:after="0" w:line="263" w:lineRule="auto"/>
        <w:tabs>
          <w:tab w:leader="none" w:pos="4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costs increased in aggregate dollars primarily due to: higher hauling, transportation and disposal costs, including landfill disposal costs, driven by (i) acquisition-related growth; and (ii) higher third-party disposal rates and hauling charges due to inflationary pressures; partially offset by lower hauling and transportation costs on lower organic collection volumes;</w:t>
      </w:r>
    </w:p>
    <w:p>
      <w:pPr>
        <w:spacing w:after="0" w:line="21" w:lineRule="exact"/>
        <w:rPr>
          <w:rFonts w:ascii="Arial" w:cs="Arial" w:eastAsia="Arial" w:hAnsi="Arial"/>
          <w:sz w:val="18"/>
          <w:szCs w:val="18"/>
          <w:color w:val="auto"/>
        </w:rPr>
      </w:pPr>
    </w:p>
    <w:p>
      <w:pPr>
        <w:ind w:left="460" w:right="140" w:hanging="331"/>
        <w:spacing w:after="0" w:line="277" w:lineRule="auto"/>
        <w:tabs>
          <w:tab w:leader="none" w:pos="4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labor costs increased in aggregate dollars primarily due to: acquisition-related growth and inflationary pressures; partially offset by improved routing efficiencies;</w:t>
      </w:r>
    </w:p>
    <w:p>
      <w:pPr>
        <w:spacing w:after="0" w:line="8" w:lineRule="exact"/>
        <w:rPr>
          <w:rFonts w:ascii="Arial" w:cs="Arial" w:eastAsia="Arial" w:hAnsi="Arial"/>
          <w:sz w:val="18"/>
          <w:szCs w:val="18"/>
          <w:color w:val="auto"/>
        </w:rPr>
      </w:pPr>
    </w:p>
    <w:p>
      <w:pPr>
        <w:ind w:left="460" w:right="60" w:hanging="331"/>
        <w:spacing w:after="0" w:line="259" w:lineRule="auto"/>
        <w:tabs>
          <w:tab w:leader="none" w:pos="4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operational costs increased in aggregate dollars primarily due to: (i) acquisition-related growth; (ii) inflationary pressures; (iii) higher accretion expense associated with changes in the timing and cost estimates of our closure, post-closure, and capping obligations; (iv) higher year-to-date host community and royalty fees; (v) and higher tire repair and replacement costs; partially offset by lower vehicle insurance costs quarterly and landfill related operating costs on lower volumes;</w:t>
      </w:r>
    </w:p>
    <w:p>
      <w:pPr>
        <w:spacing w:after="0" w:line="24" w:lineRule="exact"/>
        <w:rPr>
          <w:rFonts w:ascii="Arial" w:cs="Arial" w:eastAsia="Arial" w:hAnsi="Arial"/>
          <w:sz w:val="18"/>
          <w:szCs w:val="18"/>
          <w:color w:val="auto"/>
        </w:rPr>
      </w:pPr>
    </w:p>
    <w:p>
      <w:pPr>
        <w:ind w:left="460" w:right="240" w:hanging="331"/>
        <w:spacing w:after="0" w:line="263" w:lineRule="auto"/>
        <w:tabs>
          <w:tab w:leader="none" w:pos="4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Maintenance and repair costs increased in aggregate dollars due to higher fleet maintenance costs driven by: (i) personnel related expenses, supply costs related to repairs and parts and outside repair spend associated with acquisition-related growth and inflationary pressures; and (ii) higher vehicle maintenance costs from delays in the delivery of fleet replacements; and</w:t>
      </w:r>
    </w:p>
    <w:p>
      <w:pPr>
        <w:spacing w:after="0" w:line="21" w:lineRule="exact"/>
        <w:rPr>
          <w:rFonts w:ascii="Arial" w:cs="Arial" w:eastAsia="Arial" w:hAnsi="Arial"/>
          <w:sz w:val="18"/>
          <w:szCs w:val="18"/>
          <w:color w:val="auto"/>
        </w:rPr>
      </w:pPr>
    </w:p>
    <w:p>
      <w:pPr>
        <w:ind w:left="460" w:right="140" w:hanging="331"/>
        <w:spacing w:after="0" w:line="259" w:lineRule="auto"/>
        <w:tabs>
          <w:tab w:leader="none" w:pos="4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operational costs increased in aggregate dollars driven by higher facility costs primarily due to: higher spend on outside repairs and personnel related expenses associated with acquisition-related growth and inflationary pressures; partially offset by a gain on resolution of acquisition-related contingent consideration associated with the reversal of a contingency for a transfer station permit expansion that is no longer deemed viable; partially offset by</w:t>
      </w:r>
    </w:p>
    <w:p>
      <w:pPr>
        <w:spacing w:after="0" w:line="24" w:lineRule="exact"/>
        <w:rPr>
          <w:rFonts w:ascii="Arial" w:cs="Arial" w:eastAsia="Arial" w:hAnsi="Arial"/>
          <w:sz w:val="18"/>
          <w:szCs w:val="18"/>
          <w:color w:val="auto"/>
        </w:rPr>
      </w:pPr>
    </w:p>
    <w:p>
      <w:pPr>
        <w:ind w:left="460" w:right="40" w:hanging="331"/>
        <w:spacing w:after="0" w:line="263" w:lineRule="auto"/>
        <w:tabs>
          <w:tab w:leader="none" w:pos="4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Fuel costs decreased in aggregate dollars primarily due to: lower diesel fuel prices and lower collection volumes; partially offset by higher diesel fuel consumption related to acquisition-related growth. See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this Quarterly Report on Form 10-Q for additional information regarding our fuel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General and administration expense increased $2.3 million quarterly and $5.5 million year-to-date from the prior year periods, due primarily to (i) acquisition-related growth; (ii) wage inflation; (iii) an increase in general overhead costs due to inflationary pressures and to support business growth; and (iv) the allocation of higher shared service costs; partially offset by lower accrued incentive compensation costs quarterly.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Depreciation and amortization expense increased $4.2 million quarterly and $10.2 million year-to-date from the prior year periods due primarily to (i) acquisition activity; (ii) increased investment in our fleet; and (iii) higher landfill amortization expense attributed to changes in cost and other assumptions from prior year more than offsetting lower landfill volumes.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Mid-Atlantic</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Collection and transfer station operations for our Mid-Atlantic region operating segment commenced on July 1, 2023. Operating deficit was $(0.7) million for the Mid-Atlantic region operating segment in the three and nine months ended September 30, 2023 driven primarily by solid waste collection services, as revenues, inclusive of inter-company revenues, was more than offset by $30.0 million cost of operations, $3.0 million of general and administration expense, $10.2 million of depreciation and amortization expense and $1.5 million of expense from acquisition activities, comprised primarily of legal, consulting and integration costs pertaining to the GFL Acquisition.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Solutions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Operating income decreased $(0.4) million quarterly and $(11.6) million year-to-date from the prior year periods. Excluding the impact of the expense from acquisition activities, our operating performance in the three and nine months ended September 30, 2023 was driven by revenue decline, inclusive of inter-company revenues, and the following cost changes.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 of operations decreased $(1.7) million quarterly and increased $4.7 million year-to-date from the prior year periods due to the following:</w:t>
      </w:r>
    </w:p>
    <w:p>
      <w:pPr>
        <w:spacing w:after="0" w:line="63" w:lineRule="exact"/>
        <w:rPr>
          <w:sz w:val="20"/>
          <w:szCs w:val="20"/>
          <w:color w:val="auto"/>
        </w:rPr>
      </w:pPr>
    </w:p>
    <w:p>
      <w:pPr>
        <w:ind w:left="460" w:hanging="331"/>
        <w:spacing w:after="0" w:line="259" w:lineRule="auto"/>
        <w:tabs>
          <w:tab w:leader="none" w:pos="4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 costs increased in aggregate dollars year-to-date due primarily to: (i) higher disposal rates and hauling charges related to inflationary pressures; and (ii) higher costs associated with the diversion of materials from our Boston, Massachusetts material recovery facility, which underwent a retrofit during the nine months ended September 30, 2023; partially offset year-to-date, and more than offset in total quarterly, by lower purchased material costs;</w:t>
      </w:r>
    </w:p>
    <w:p>
      <w:pPr>
        <w:spacing w:after="0" w:line="24" w:lineRule="exact"/>
        <w:rPr>
          <w:rFonts w:ascii="Arial" w:cs="Arial" w:eastAsia="Arial" w:hAnsi="Arial"/>
          <w:sz w:val="18"/>
          <w:szCs w:val="18"/>
          <w:color w:val="auto"/>
        </w:rPr>
      </w:pPr>
    </w:p>
    <w:p>
      <w:pPr>
        <w:ind w:left="460" w:right="360" w:hanging="331"/>
        <w:spacing w:after="0" w:line="298" w:lineRule="auto"/>
        <w:tabs>
          <w:tab w:leader="none" w:pos="4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Maintenance and repair costs increased in aggregate dollars due to higher fleet and year-to-date container maintenance costs driven by personnel related expenses and supply costs related to repairs and parts associated primarily with inflationary pressures;</w:t>
      </w:r>
    </w:p>
    <w:p>
      <w:pPr>
        <w:ind w:left="460" w:hanging="331"/>
        <w:spacing w:after="0" w:line="298" w:lineRule="auto"/>
        <w:tabs>
          <w:tab w:leader="none" w:pos="4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operational costs increased in aggregate dollars driven by higher facility costs primarily due to: (i) higher year-to-date spend on outside repairs; (ii) increased facility insurance costs; and (iii) higher personnel related expenses primarily due to inflationary pressures; and</w:t>
      </w:r>
    </w:p>
    <w:p>
      <w:pPr>
        <w:ind w:left="460" w:right="540" w:hanging="331"/>
        <w:spacing w:after="0" w:line="342" w:lineRule="auto"/>
        <w:tabs>
          <w:tab w:leader="none" w:pos="4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Direct labor costs decreased in aggregate dollars primarily due to lower outside labor costs associated with the diversion of materials from our Boston, Massachusetts material recovery facility, which underwent a retrofit during the nine months ended September 30, 2023.</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General and administration expense decreased $(0.2) million quarterly and increased $1.7 million year-to-date from the prior year periods due to: (i) wage inflation; (ii) an increase in general overhead costs associated with inflationary pressures; and (iii) the allocation of higher shared service costs; partially offset year-to-date and more than offset quarterly by (i) lower accrued incentive compensation costs; and (ii) lower bad debt expense.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increased $0.3 million quarterly and $0.6 million year-to-date from the prior year periods due primarily to the timing of acquisition activity.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Entities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Corporate Entities operating loss reflects those costs not allocated to our reportable operating segments, which typically consists of depreciation and amortization expense. Operating deficit increased $(0.2) million quarterly and $(5.9) million year-to-date from the prior year periods due to unallocated acquisition related expenses year-to-date, comprised primarily of legal, consulting and other similar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continually monitor our actual and forecasted cash flows, our liquidity, and our capital requirements in order to properly manage our liquidity needs as we move forward based on the capital intensive nature of our business and our growth acquisition strategy. As of September 30, 2023, we had</w:t>
      </w:r>
    </w:p>
    <w:p>
      <w:pPr>
        <w:ind w:right="240"/>
        <w:spacing w:after="0" w:line="253" w:lineRule="auto"/>
        <w:rPr>
          <w:sz w:val="20"/>
          <w:szCs w:val="20"/>
          <w:color w:val="auto"/>
        </w:rPr>
      </w:pPr>
      <w:r>
        <w:rPr>
          <w:rFonts w:ascii="Arial" w:cs="Arial" w:eastAsia="Arial" w:hAnsi="Arial"/>
          <w:sz w:val="18"/>
          <w:szCs w:val="18"/>
          <w:color w:val="auto"/>
        </w:rPr>
        <w:t>$272.3 million of undrawn capacity from our $300.0 million revolving credit facility ("Revolving Credit Facility") and $219.1 million of cash and equivalents to help meet our short-term and long-term liquidity needs. We expect existing cash and cash equivalents combined with available cash flows from operations and financing activities to continue to be sufficient to fund our operating activities and cash commitments for investing and financing activities for at least the next 12 months and thereafter for the foreseeable future.</w:t>
      </w:r>
    </w:p>
    <w:p>
      <w:pPr>
        <w:spacing w:after="0" w:line="85"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Our known current- and long-term uses of cash include, among other possible demands: (i) acquisitions,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more strategic acquisitions that may be inside or outside of our existing market, which could require additional financing either in the form of debt or equity.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A summary of cash and cash equivalents, restricted cash, restricted assets and debt balances, excluding any debt issuance costs, (in millions)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1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excluding cash, cash equivalents and restricted 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Restricted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40"/>
              <w:spacing w:after="0"/>
              <w:rPr>
                <w:sz w:val="20"/>
                <w:szCs w:val="20"/>
                <w:color w:val="auto"/>
              </w:rPr>
            </w:pPr>
            <w:r>
              <w:rPr>
                <w:rFonts w:ascii="Arial" w:cs="Arial" w:eastAsia="Arial" w:hAnsi="Arial"/>
                <w:sz w:val="18"/>
                <w:szCs w:val="18"/>
                <w:color w:val="auto"/>
              </w:rPr>
              <w:t>Current liabilities, excluding current maturities of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maturities of debt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177.6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less current portion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Current assets, excluding cash, cash equivalents and restricted cash, increased $58.0 million and current liabilities increased $75.6 million in the nine months ended September 30, 2023, resulting in a $(17.6) million decline in working capital, net (defined as current assets, excluding cash, cash equivalents and restricted cash, minus current liabilities), from $(41.3) million as of December 31, 2022 to $(58.9) million as of September 30, 2023. We strive to maintain a negative working capital cycle driven by shorter days sales outstanding as compared to days payable outstanding in an effort to collect money at a faster rate than paying bills to facilitate business growth.</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restricted cash increased $150.6 million in the nine months ended September 30, 2023. A summary of cash flows (in millions)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4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7"/>
              <w:spacing w:after="0"/>
              <w:rPr>
                <w:sz w:val="20"/>
                <w:szCs w:val="20"/>
                <w:color w:val="auto"/>
              </w:rPr>
            </w:pPr>
            <w:r>
              <w:rPr>
                <w:rFonts w:ascii="Arial" w:cs="Arial" w:eastAsia="Arial" w:hAnsi="Arial"/>
                <w:sz w:val="14"/>
                <w:szCs w:val="14"/>
                <w:b w:val="1"/>
                <w:bCs w:val="1"/>
                <w:color w:val="auto"/>
              </w:rPr>
              <w:t>$</w:t>
            </w:r>
          </w:p>
        </w:tc>
      </w:tr>
      <w:tr>
        <w:trPr>
          <w:trHeight w:val="196"/>
        </w:trPr>
        <w:tc>
          <w:tcPr>
            <w:tcW w:w="426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Change</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459"/>
              <w:spacing w:after="0"/>
              <w:rPr>
                <w:sz w:val="20"/>
                <w:szCs w:val="20"/>
                <w:color w:val="auto"/>
              </w:rPr>
            </w:pPr>
            <w:r>
              <w:rPr>
                <w:rFonts w:ascii="Arial" w:cs="Arial" w:eastAsia="Arial" w:hAnsi="Arial"/>
                <w:sz w:val="18"/>
                <w:szCs w:val="18"/>
                <w:color w:val="auto"/>
                <w:w w:val="93"/>
              </w:rPr>
              <w:t>157.8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439"/>
              <w:spacing w:after="0"/>
              <w:rPr>
                <w:sz w:val="20"/>
                <w:szCs w:val="20"/>
                <w:color w:val="auto"/>
              </w:rPr>
            </w:pPr>
            <w:r>
              <w:rPr>
                <w:rFonts w:ascii="Arial" w:cs="Arial" w:eastAsia="Arial" w:hAnsi="Arial"/>
                <w:sz w:val="18"/>
                <w:szCs w:val="18"/>
                <w:color w:val="auto"/>
                <w:w w:val="91"/>
              </w:rPr>
              <w:t>(937.2)</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(776.1)</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459"/>
              <w:spacing w:after="0"/>
              <w:rPr>
                <w:sz w:val="20"/>
                <w:szCs w:val="20"/>
                <w:color w:val="auto"/>
              </w:rPr>
            </w:pPr>
            <w:r>
              <w:rPr>
                <w:rFonts w:ascii="Arial" w:cs="Arial" w:eastAsia="Arial" w:hAnsi="Arial"/>
                <w:sz w:val="18"/>
                <w:szCs w:val="18"/>
                <w:color w:val="auto"/>
                <w:w w:val="93"/>
              </w:rPr>
              <w:t>930.0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w:t>
            </w:r>
          </w:p>
        </w:tc>
      </w:tr>
      <w:tr>
        <w:trPr>
          <w:trHeight w:val="851"/>
        </w:trPr>
        <w:tc>
          <w:tcPr>
            <w:tcW w:w="4260" w:type="dxa"/>
            <w:vAlign w:val="bottom"/>
          </w:tcPr>
          <w:p>
            <w:pPr>
              <w:spacing w:after="0"/>
              <w:rPr>
                <w:sz w:val="24"/>
                <w:szCs w:val="24"/>
                <w:color w:val="auto"/>
              </w:rPr>
            </w:pPr>
          </w:p>
        </w:tc>
        <w:tc>
          <w:tcPr>
            <w:tcW w:w="2480" w:type="dxa"/>
            <w:vAlign w:val="bottom"/>
          </w:tcPr>
          <w:p>
            <w:pPr>
              <w:jc w:val="right"/>
              <w:ind w:right="93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4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Disposition of assets, other items and charges,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termination of bridge financing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Net cash provided by operating activities increased $5.4 million in the nine months ended September 30, 2023 as compared to the nine months ended September 30, 2022. This was the result of operational performance, partially offset by an increase in the unfavorable cash flow impact associated with the changes in our assets and liabilities, net of effects of acquisitions and divestitures. For discussion of our operational performance in the nine months ended September 30, 2023 as compared to the nine months ended September 30, 2022, see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included in this Item 2.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of this Quarterly Report on Form 10-Q. The increase in the unfavorable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impact associated with the changes in our assets and liabilities, net of effects of acquisitions and divestitures, which are affected by both cost changes and the timing of payments, in the nine months ended September 30, 2023 as compared to the nine months ended September 30, 2022 was primarily due to the following:</w:t>
      </w:r>
    </w:p>
    <w:p>
      <w:pPr>
        <w:spacing w:after="0" w:line="30" w:lineRule="exact"/>
        <w:rPr>
          <w:sz w:val="20"/>
          <w:szCs w:val="20"/>
          <w:color w:val="auto"/>
        </w:rPr>
      </w:pPr>
    </w:p>
    <w:p>
      <w:pPr>
        <w:ind w:left="460" w:right="300" w:hanging="331"/>
        <w:spacing w:after="0" w:line="277" w:lineRule="auto"/>
        <w:tabs>
          <w:tab w:leader="none" w:pos="4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$(9.1) million unfavorable impact to operating cash flows associated with the change in accounts receivable primarily due to acquisition-related growth more than offsetting a favorable decrease in days sales outstanding from the prior year period;</w:t>
      </w:r>
    </w:p>
    <w:p>
      <w:pPr>
        <w:spacing w:after="0" w:line="8" w:lineRule="exact"/>
        <w:rPr>
          <w:rFonts w:ascii="Arial" w:cs="Arial" w:eastAsia="Arial" w:hAnsi="Arial"/>
          <w:sz w:val="18"/>
          <w:szCs w:val="18"/>
          <w:color w:val="auto"/>
        </w:rPr>
      </w:pPr>
    </w:p>
    <w:p>
      <w:pPr>
        <w:ind w:left="460" w:right="80" w:hanging="331"/>
        <w:spacing w:after="0" w:line="263" w:lineRule="auto"/>
        <w:tabs>
          <w:tab w:leader="none" w:pos="4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$(7.5) million unfavorable impact to operating cash flows associated with the changes in accrued expenses, contract liabilities and other liabilities due to higher payments associated with landfill capping, closure and post closure activity and a higher decline in accrued payroll related primarily to accrued incentive compensation, partially offset by acquisition-related growth; and</w:t>
      </w:r>
    </w:p>
    <w:p>
      <w:pPr>
        <w:spacing w:after="0" w:line="21" w:lineRule="exact"/>
        <w:rPr>
          <w:rFonts w:ascii="Arial" w:cs="Arial" w:eastAsia="Arial" w:hAnsi="Arial"/>
          <w:sz w:val="18"/>
          <w:szCs w:val="18"/>
          <w:color w:val="auto"/>
        </w:rPr>
      </w:pPr>
    </w:p>
    <w:p>
      <w:pPr>
        <w:ind w:left="460" w:right="220" w:hanging="331"/>
        <w:spacing w:after="0" w:line="277" w:lineRule="auto"/>
        <w:tabs>
          <w:tab w:leader="none" w:pos="4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$(4.3) million unfavorable impact to operating cash flows associated with the change in prepaid expenses, inventories and other assets associated with the timing of payments and acquisition-related growth; partially offset by</w:t>
      </w:r>
    </w:p>
    <w:p>
      <w:pPr>
        <w:spacing w:after="0" w:line="8" w:lineRule="exact"/>
        <w:rPr>
          <w:rFonts w:ascii="Arial" w:cs="Arial" w:eastAsia="Arial" w:hAnsi="Arial"/>
          <w:sz w:val="18"/>
          <w:szCs w:val="18"/>
          <w:color w:val="auto"/>
        </w:rPr>
      </w:pPr>
    </w:p>
    <w:p>
      <w:pPr>
        <w:ind w:left="460" w:right="280" w:hanging="331"/>
        <w:spacing w:after="0" w:line="277" w:lineRule="auto"/>
        <w:tabs>
          <w:tab w:leader="none" w:pos="4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$16.6 million favorable impact to operating cash flows associated with the change in accounts payable due to acquisition-related growth and the favorable increase in days payable outstanding from the prior year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4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(937.2)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i w:val="1"/>
          <w:iCs w:val="1"/>
          <w:color w:val="auto"/>
        </w:rPr>
        <w:t xml:space="preserve">Acquisitions, net of cash acquired. </w:t>
      </w:r>
      <w:r>
        <w:rPr>
          <w:rFonts w:ascii="Arial" w:cs="Arial" w:eastAsia="Arial" w:hAnsi="Arial"/>
          <w:sz w:val="18"/>
          <w:szCs w:val="18"/>
          <w:color w:val="auto"/>
        </w:rPr>
        <w:t>In the nine months ended September 30, 2023, we acquired five businesses for total consideration of $845.1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$842.6 million in cash and paid $5.2 million in holdback payments on businesses previously acquired, as compared to the nine months ended September 30, 2022 during which we acquired twelve businesses for total consideration of $78.1 million, including $72.7 million in cash, and paid $1.3 million in holdback payments on businesses previously acquired.</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$2.7 million higher in the nine months ended September 30, 2023 as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primarily due to higher capital spend associated with (i) inflation; (ii) facility spend related to the purchase of a transfer station that was formerly leased and the retrofitting of our Boston, Massachusetts single-stream material recovery facility; (iii) development of rail side infrastructure at our Subtitle D landfill located in Mount Jewett, Pennsylvania and (iv) acquisition activity; partially offset by timing of spend for vehicles, machinery, equipment and containers.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long-term borrowings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Principal payments on debt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Payments of contingent consideration</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share based awards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the public offering of Class A common stock</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496.2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 Net cash associated with debt activity increased $421.7 million in the nine months ended September 30, 2023 as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due primarily to entering into the $430.0 million aggregate principal amount 2023 Term Loan Facility in June 2023 and the issuance of $35.0 million aggregate principal amount of New York Bonds 2020R-2 in August 2023, partially offset by the issuance of $35.0 million aggregate principal amount of Vermont Bonds 2022A-1 in the prior year period.</w:t>
      </w:r>
    </w:p>
    <w:p>
      <w:pPr>
        <w:spacing w:after="0" w:line="7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Payment of debt issuance costs. </w:t>
      </w:r>
      <w:r>
        <w:rPr>
          <w:rFonts w:ascii="Arial" w:cs="Arial" w:eastAsia="Arial" w:hAnsi="Arial"/>
          <w:sz w:val="18"/>
          <w:szCs w:val="18"/>
          <w:color w:val="auto"/>
        </w:rPr>
        <w:t>We paid $12.8 million of debt issuance costs in the nine months ended September 30, 2023, which included $8.7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bridge financing activities associated with the GFL Acquisition and the Twin Bridges Acquisition. In the nine months ended September 30, 2022, we paid $1.2 million of debt issuance costs related to the issuance of Vermont Bonds 2022A-1.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ind w:right="120"/>
        <w:spacing w:after="0" w:line="257" w:lineRule="auto"/>
        <w:rPr>
          <w:sz w:val="20"/>
          <w:szCs w:val="20"/>
          <w:color w:val="auto"/>
        </w:rPr>
      </w:pPr>
      <w:r>
        <w:rPr>
          <w:rFonts w:ascii="Arial" w:cs="Arial" w:eastAsia="Arial" w:hAnsi="Arial"/>
          <w:sz w:val="18"/>
          <w:szCs w:val="18"/>
          <w:i w:val="1"/>
          <w:iCs w:val="1"/>
          <w:color w:val="auto"/>
        </w:rPr>
        <w:t xml:space="preserve">Proceeds from the public offering of Class A Common Stock. </w:t>
      </w:r>
      <w:r>
        <w:rPr>
          <w:rFonts w:ascii="Arial" w:cs="Arial" w:eastAsia="Arial" w:hAnsi="Arial"/>
          <w:sz w:val="18"/>
          <w:szCs w:val="18"/>
          <w:color w:val="auto"/>
        </w:rPr>
        <w:t>On June 16, 2023, we completed a public offering of 6.1 million shares of our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a public offering price of $85.50 per share. After deducting stock issuance costs as of September 30, 2023, including underwriting discounts, commissions and offering expenses, the offering resulted in net proceeds of $496.2 million. The net proceeds from this offering were and are to be used to fund acquisition activity, including the GFL Acquisition and the Twin Bridges Acquisition, to pay certain costs associated with acquisition activities, and to repay borrowings and/or debt securities.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February 2023, we entered into first and second amendments to our amended and restated credit agreement dated as of December 22, 2021 (collectively with the third amendment and the Loan Joinder disclosed below, the "Amended and Restated Credit Agreement"). The first amendment provides, commencing in the fiscal year ending December 31, 2024, that the interest rate margin applied for drawn and undrawn amounts under the Amended and Restated Credit Agreement shall be separately adjusted based on our achievement of certain thresholds and targets on two sustainability related key performance indicator metrics during the prior fiscal year: (i) metric tons of solid waste materials reduced, reused or recycled through our direct operations or with third-parties in collaboration with customers; and (ii) our total recordable incident rate. The second amendment provides that loans under the Amended and Restated Credit Agreement shall bear interest, at our election, at term secured overnight financing rate ("Term SOFR"), including a secured overnight financing rate adjustment of 10 basis points, or at a base rate, in each case, plus or minus any sustainable rate adjustment plus an applicable interest rate margin based upon our consolidated net leverage ratio.</w:t>
      </w:r>
    </w:p>
    <w:p>
      <w:pPr>
        <w:spacing w:after="0" w:line="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April 2023, we entered into an equity purchase agreement pursuant to which we agreed to the GFL Acquisition. In connection with the GFL Acquisition, we entered into (i) a commitment letter to obtain short-term secured bridge financing of up to $375.0 million and (ii) the third amendment to the Amended and Restated Credit Agreement to, among other things, permit the draw down of the short-term secured bridge financing and authorize a delayed draw term loan facility to be executed with customary limited condition provisions. The short-term secured bridge financing was undrawn and subsequently terminated in May 2023 when we entered into the specified acquisition loan joinder, dated May 25, 2023 ("Loan Joinder"), which provided for a</w:t>
      </w:r>
    </w:p>
    <w:p>
      <w:pPr>
        <w:spacing w:after="0" w:line="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 xml:space="preserve">$430.0 million aggregate principal amount 2023 Term Loan Facility under the Amended and Restated Credit Agreement. In June 2023, we borrowed $430.0 million under the 2023 Term Loan Facility and paid certain fees and costs due and payable in connection therewith. Borrowings from the 2023 Term Loan Facility were used to fund, in conjunction with the net proceeds from the public offering of our Class A common stock completed on June 16, 2023, cash and cash equivalents and borrowings from our Revolving Credit Facility, the GFL Acquisition. See Note 9,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to our consolidated financial statements included in Part I. Item. 1 of this Quarterly Report on Form 10-Q for further disclosure regarding the public offering.</w:t>
      </w:r>
    </w:p>
    <w:p>
      <w:pPr>
        <w:spacing w:after="0" w:line="5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 xml:space="preserve">In June 2023, we entered into an asset purchase agreement pursuant to which we agreed to the Twin Bridges Acquisition. In connection with the Twin Bridges Acquisition, we entered into a commitment letter to obtain short-term unsecured bridge financing of up to $200.0 million that was undrawn and subsequently terminated when we completed a public offering of our Class A common stock on June 16, 2023. See Note 9,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to our consolidated financial statements included in Part I. Item. 1 of this Quarterly Report on Form 10-Q, regarding the public offering.</w:t>
      </w:r>
    </w:p>
    <w:p>
      <w:pPr>
        <w:spacing w:after="0" w:line="4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August 2023, we completed the issuance of $35.0 million aggregate principal amount of New York Bonds 2020R-2. The New York Bonds 2020R-2, which are unsecured and guaranteed jointly and severally, fully and unconditionally by all of our significant wholly-owned subsidiaries, accrue interest at 5.125% per annum from August 24, 2023 through September 2, 2030, at which time they may be converted to a variable interest rate period or to a new term interest rate period. The New York Bonds 2020R-2 mature on September 1, 2050. As of September 30, 2023, we had $2.7 million of remaining cash proceeds from the issuance of the New York Bonds 2020R-2 included in restricted cash and assets that is restricted to finance or reimburse certain noncurrent asset costs associated with capital projects in the State of New York.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As of September 30, 2023, we are party to the Amended and Restated Credit Agreement, which provides for a $350.0 million aggregate principal amount term loan A facility ("Term Loan Facility"), a $300.0 million Revolving Credit Facility, with a $75.0 million sublimit for letters of credit, and a</w:t>
      </w:r>
    </w:p>
    <w:p>
      <w:pPr>
        <w:ind w:right="40"/>
        <w:spacing w:after="0" w:line="252" w:lineRule="auto"/>
        <w:rPr>
          <w:sz w:val="20"/>
          <w:szCs w:val="20"/>
          <w:color w:val="auto"/>
        </w:rPr>
      </w:pPr>
      <w:r>
        <w:rPr>
          <w:rFonts w:ascii="Arial" w:cs="Arial" w:eastAsia="Arial" w:hAnsi="Arial"/>
          <w:sz w:val="18"/>
          <w:szCs w:val="18"/>
          <w:color w:val="auto"/>
        </w:rPr>
        <w:t>$430.0 million 2023 Term Loan Facility (collectively, the "Credit Facility"). We have the right to request, at our discretion, an increase in the amount of loans under the Credit Facility by an aggregate amount of $125.0 million, subject to further increase based on the terms and conditions set forth in the Amended and Restated Credit Agreement. The Credit Facility has a 5-year term that matures in December 2026. The Credit Facility shall bear interest, at our election, at Term SOFR, including a secured overnight financing rate adjustment of 10 basis points, or at a base rate, in each case plus or minus any sustainable rate adjustment of up to positive or negative 4.0 basis points per annum, plus an applicable interest rate margin based upon our consolidated net leverage ratio as follows: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1860" w:type="dxa"/>
            <w:vAlign w:val="bottom"/>
            <w:gridSpan w:val="2"/>
          </w:tcPr>
          <w:p>
            <w:pPr>
              <w:ind w:left="300"/>
              <w:spacing w:after="0"/>
              <w:rPr>
                <w:sz w:val="20"/>
                <w:szCs w:val="20"/>
                <w:color w:val="auto"/>
              </w:rPr>
            </w:pPr>
            <w:r>
              <w:rPr>
                <w:rFonts w:ascii="Arial" w:cs="Arial" w:eastAsia="Arial" w:hAnsi="Arial"/>
                <w:sz w:val="14"/>
                <w:szCs w:val="14"/>
                <w:b w:val="1"/>
                <w:bCs w:val="1"/>
                <w:color w:val="auto"/>
              </w:rPr>
              <w:t>Term SOFR Loans</w:t>
            </w:r>
          </w:p>
        </w:tc>
        <w:tc>
          <w:tcPr>
            <w:tcW w:w="1760" w:type="dxa"/>
            <w:vAlign w:val="bottom"/>
          </w:tcPr>
          <w:p>
            <w:pPr>
              <w:ind w:left="360"/>
              <w:spacing w:after="0"/>
              <w:rPr>
                <w:sz w:val="20"/>
                <w:szCs w:val="20"/>
                <w:color w:val="auto"/>
              </w:rPr>
            </w:pPr>
            <w:r>
              <w:rPr>
                <w:rFonts w:ascii="Arial" w:cs="Arial" w:eastAsia="Arial" w:hAnsi="Arial"/>
                <w:sz w:val="14"/>
                <w:szCs w:val="14"/>
                <w:b w:val="1"/>
                <w:bCs w:val="1"/>
                <w:color w:val="auto"/>
              </w:rPr>
              <w:t>Base Rate Loans</w:t>
            </w:r>
          </w:p>
        </w:tc>
      </w:tr>
      <w:tr>
        <w:trPr>
          <w:trHeight w:val="26"/>
        </w:trPr>
        <w:tc>
          <w:tcPr>
            <w:tcW w:w="76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31"/>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1.125% to 2.125%</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0.125% to 1.125%</w:t>
            </w:r>
          </w:p>
        </w:tc>
      </w:tr>
      <w:tr>
        <w:trPr>
          <w:trHeight w:val="338"/>
        </w:trPr>
        <w:tc>
          <w:tcPr>
            <w:tcW w:w="76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1.125% to 2.125%</w:t>
            </w:r>
          </w:p>
        </w:tc>
        <w:tc>
          <w:tcPr>
            <w:tcW w:w="1760" w:type="dxa"/>
            <w:vAlign w:val="bottom"/>
          </w:tcPr>
          <w:p>
            <w:pPr>
              <w:spacing w:after="0"/>
              <w:rPr>
                <w:sz w:val="20"/>
                <w:szCs w:val="20"/>
                <w:color w:val="auto"/>
              </w:rPr>
            </w:pPr>
            <w:r>
              <w:rPr>
                <w:rFonts w:ascii="Arial" w:cs="Arial" w:eastAsia="Arial" w:hAnsi="Arial"/>
                <w:sz w:val="18"/>
                <w:szCs w:val="18"/>
                <w:color w:val="auto"/>
              </w:rPr>
              <w:t>0.125% to 1.125%</w:t>
            </w:r>
          </w:p>
        </w:tc>
      </w:tr>
      <w:tr>
        <w:trPr>
          <w:trHeight w:val="338"/>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Term Loan Facility</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1.625% to 2.625%</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0.625% to 1.625%</w:t>
            </w:r>
          </w:p>
        </w:tc>
      </w:tr>
    </w:tbl>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commitment fee will be charged on undrawn amounts at a rate of Term SOFR, including a secured overnight financing rate adjustment of 10 basis points, plus a margin based upon our consolidated net leverage ratio in the range of 0.20% to 0.40% per annum, plus a sustainability adjustment of up to positive or negative 1.0 basis point per annum. The Amended and Restated Credit Agreement provides that Term SOFR is subject to a zero percent floor. We are also required to pay a fronting fee for each letter of credit of 0.25% per annum. Interest under the Amended and Restated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September 30, 2023, further advances were available under the Revolving Credit Facility in the amount of $272.3 million. The available amount is net of outstanding irrevocable letters of credit totaling $27.7 million, and as of September 30, 2023 no amount had been drawn.</w:t>
      </w:r>
    </w:p>
    <w:p>
      <w:pPr>
        <w:spacing w:after="0" w:line="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Amended and Restated Credit Agreement requires us to maintain a minimum interest coverage ratio and a maximum consolidated net leverage ratio, to be measured at the end of each fiscal quarter. As of September 30, 2023, we were in compliance with all financial covenants contained in the Amended and Restated Credit Agreement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Credit Facility Covenant</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Twelve Months Ended</w:t>
            </w:r>
          </w:p>
        </w:tc>
        <w:tc>
          <w:tcPr>
            <w:tcW w:w="2280" w:type="dxa"/>
            <w:vAlign w:val="bottom"/>
          </w:tcPr>
          <w:p>
            <w:pPr>
              <w:jc w:val="right"/>
              <w:ind w:right="239"/>
              <w:spacing w:after="0"/>
              <w:rPr>
                <w:sz w:val="20"/>
                <w:szCs w:val="20"/>
                <w:color w:val="auto"/>
              </w:rPr>
            </w:pPr>
            <w:r>
              <w:rPr>
                <w:rFonts w:ascii="Arial" w:cs="Arial" w:eastAsia="Arial" w:hAnsi="Arial"/>
                <w:sz w:val="14"/>
                <w:szCs w:val="14"/>
                <w:b w:val="1"/>
                <w:bCs w:val="1"/>
                <w:color w:val="auto"/>
              </w:rPr>
              <w:t>Covenant Requirements at</w:t>
            </w:r>
          </w:p>
        </w:tc>
        <w:tc>
          <w:tcPr>
            <w:tcW w:w="0" w:type="dxa"/>
            <w:vAlign w:val="bottom"/>
          </w:tcPr>
          <w:p>
            <w:pPr>
              <w:spacing w:after="0"/>
              <w:rPr>
                <w:sz w:val="1"/>
                <w:szCs w:val="1"/>
                <w:color w:val="auto"/>
              </w:rPr>
            </w:pPr>
          </w:p>
        </w:tc>
      </w:tr>
      <w:tr>
        <w:trPr>
          <w:trHeight w:val="196"/>
        </w:trPr>
        <w:tc>
          <w:tcPr>
            <w:tcW w:w="6960" w:type="dxa"/>
            <w:vAlign w:val="bottom"/>
            <w:gridSpan w:val="2"/>
            <w:vMerge w:val="continue"/>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 2023</w:t>
            </w:r>
          </w:p>
        </w:tc>
        <w:tc>
          <w:tcPr>
            <w:tcW w:w="2280" w:type="dxa"/>
            <w:vAlign w:val="bottom"/>
          </w:tcPr>
          <w:p>
            <w:pPr>
              <w:jc w:val="right"/>
              <w:ind w:right="459"/>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243"/>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Maximum consolidated net leverage ratio </w:t>
            </w: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Minimum interest coverage ratio</w:t>
            </w:r>
          </w:p>
        </w:tc>
        <w:tc>
          <w:tcPr>
            <w:tcW w:w="184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00" w:right="20" w:hanging="330"/>
        <w:spacing w:after="0" w:line="291" w:lineRule="auto"/>
        <w:tabs>
          <w:tab w:leader="none" w:pos="492" w:val="left"/>
        </w:tabs>
        <w:numPr>
          <w:ilvl w:val="0"/>
          <w:numId w:val="38"/>
        </w:numPr>
        <w:rPr>
          <w:rFonts w:ascii="Arial" w:cs="Arial" w:eastAsia="Arial" w:hAnsi="Arial"/>
          <w:sz w:val="13"/>
          <w:szCs w:val="13"/>
          <w:color w:val="auto"/>
        </w:rPr>
      </w:pPr>
      <w:r>
        <w:rPr>
          <w:rFonts w:ascii="Arial" w:cs="Arial" w:eastAsia="Arial" w:hAnsi="Arial"/>
          <w:sz w:val="16"/>
          <w:szCs w:val="16"/>
          <w:color w:val="auto"/>
        </w:rPr>
        <w:t>The maximum consolidated net leverage ratio is calculated as consolidated funded debt, net of up to $100.0 million of unencumbered cash and cash equivalents in excess of $2.0 million (calculated at $958.0 million as of September 30, 2023, or $1,058.0 million of consolidated funded debt less $100.0 million total of unencumbered cash and cash equivalents), divided by consolidated EBITDA. Consolidated EBITDA is based on operating results for the twelve months preceding the measurement date of September 30, 2023. Consolidated funded debt, net and consolidated EBITDA as defined by the Amended and Restated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Consolidated EBITDA is as follows (in millions):</w:t>
      </w:r>
    </w:p>
    <w:p>
      <w:pPr>
        <w:spacing w:after="0" w:line="7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Twelve Months Ended</w:t>
            </w:r>
          </w:p>
        </w:tc>
      </w:tr>
      <w:tr>
        <w:trPr>
          <w:trHeight w:val="192"/>
        </w:trPr>
        <w:tc>
          <w:tcPr>
            <w:tcW w:w="8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September 30, 2023</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Loss from termination of bridge financing</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expense</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Disposition of assets, other items and charges, net</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less amortization of debt issuance costs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Provision for income taxes, net of deferred income taxes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as allowed by the Amended and Restated Credit Agreement</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Consolidated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w:t>
            </w: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these financial covenants, the Amended and Restated Credit Agreement also contains a number of important customary affirmative and negative covenants which restrict, among other things, our ability to sell assets, incur additional debt, create liens, make investments, and pay dividends. As of September 30, 2023, we were in compliance with the covenants contained in the Amended and Restated Credit Agreement. We do not believe that these restrictions impact our ability to meet future liquidity needs.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7" w:name="page48"/>
    <w:bookmarkEnd w:id="47"/>
    <w:p>
      <w:pPr>
        <w:ind w:right="40"/>
        <w:spacing w:after="0" w:line="257"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 and Other Debt</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As of September 30, 2023, we had outstanding $232.0 million aggregate principal amount of tax exempt bonds; $51.1 million aggregate principal amount of finance leases; and $0.3 million aggregate principal amount of notes payable.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our consolidated financial statements included in Part I. Item. 1 of this Quarterly Report on Form 10-Q for further disclosure regarding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Inflationary increases in costs, including current inflationary pressures associated primarily with fuel, labor and certain other cost categories and capital items, have materially affected, and may continue to materially affect, our operating margins and cash flows. While inflation negatively impacted operating results and margins during the three and nine months ended September 30, 2023 and 2022,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fuel cost recovery programs, primarily the energy component of our E&amp;E Fee, which is designed to recover escalating fuel price fluctuations above a periodically reset floor. Despite these programs, competitive factors may require us to absorb at least a portion of these cost increases. See Item 3.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included in this Quarterly Report on Form 10-Q for additional information regarding our fuel cost recovery programs. Additionally, management’s estimates associated with inflation have had, and will continue to have, an impact on our accounting for landfill and environmental remediation liabilities.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business is primarily located in the 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Because certain of our operating and fixed costs remain constant throughout the fiscal year, operating income is therefore impacted by a similar seasonality. 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processing line-of-business in the Resource Solutions operating segment typically experiences increased volumes of fiber from November through mid-January due to increased retail activity during the holiday season.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financial statements have been prepared in accordance with generally accepted accounting principles in the United States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of our Annual Report on Form 10-K for the fiscal year ended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normal course of business we are exposed to market risks, including changes in diesel fuel prices, interest rates and certain commodity prices. We have a variety of strategies to mitigate these market risks, including those discussed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Price Risk</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fuel cost recovery programs, primarily the energy component of our energy and environmental fee ("E&amp;E Fee(s)"), which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Based on our consumption levels in the last twelve months ended September 30, 2023, combined with our expected fuel consumption related to the acquisition of the equity interests of four wholly owned subsidiaries of GFL Environmental Inc., which are the basis of a newly formed regional operating segment, the Mid-Atlantic region, that expanded our integrated solid waste services to the states of Delaware and Maryland ("GFL Acquisition"), and after considering physically settled fuel contracts, we believe a $0.40 cent per gallon change in the price of diesel fuel would change our direct fuel costs by approximately $5.1 million annually, or $1.3 million quarterly. Offsetting these changes in direct fuel expense would be changes in the energy component of the E&amp;E Fees charged to our customers. Based on participation rates as of September 30, 2023 and considering the GFL Acquisition, we believe a $0.40 cent per gallon change in the price of diesel fuel would change the energy component of the E&amp;E Fee by approximately $5.2 million annually, or $1.3 million quarterly. In addition to direct fuel costs related to our consumption levels, we are also subject to fuel surcharge expense from third party transportation providers. Other operational costs and capital expenditures may also be impacted by fuel prices.</w:t>
      </w:r>
    </w:p>
    <w:p>
      <w:pPr>
        <w:spacing w:after="0" w:line="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the three and nine months ended September 30, 2023, our fuel costs were $13.6 million, or 3.9% of revenue, and $34.0 million, or 3.8% of revenue, respectively, as compared to $12.1 million, or 4.1% of revenue, and $35.6 million, or 4.4% of revenue, in the three and nine months ended September 30, 2022, respectively.</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sustainability recycling adjustment fee to reduce recycling commodity risks; (2) providing in-bound material recovery facilities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September 30, 2023, we were not party to any commodity hedging agreements.</w:t>
      </w:r>
    </w:p>
    <w:p>
      <w:pPr>
        <w:spacing w:after="0" w:line="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Should recycled material commodity prices change by $10 per ton, we estimate that our operating income margin would change by approximately $1.0 million annually, or $0.3 million quarterly.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notional amount of interest rate derivative agreements follows:</w:t>
      </w:r>
    </w:p>
    <w:p>
      <w:pPr>
        <w:spacing w:after="0" w:line="14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September 30,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Active</w:t>
            </w: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Forward Starting</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6760" w:type="dxa"/>
            <w:vAlign w:val="bottom"/>
            <w:tcBorders>
              <w:top w:val="single" w:sz="8" w:color="CCEEFF"/>
            </w:tcBorders>
            <w:shd w:val="clear" w:color="auto" w:fill="CCEEFF"/>
          </w:tcPr>
          <w:p>
            <w:pPr>
              <w:jc w:val="center"/>
              <w:ind w:right="5270"/>
              <w:spacing w:after="0"/>
              <w:rPr>
                <w:sz w:val="20"/>
                <w:szCs w:val="20"/>
                <w:color w:val="auto"/>
              </w:rPr>
            </w:pPr>
            <w:r>
              <w:rPr>
                <w:rFonts w:ascii="Arial" w:cs="Arial" w:eastAsia="Arial" w:hAnsi="Arial"/>
                <w:sz w:val="18"/>
                <w:szCs w:val="18"/>
                <w:color w:val="auto"/>
                <w:w w:val="91"/>
              </w:rPr>
              <w:t>Beginning balance</w:t>
            </w: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30"/>
        </w:trPr>
        <w:tc>
          <w:tcPr>
            <w:tcW w:w="6760" w:type="dxa"/>
            <w:vAlign w:val="bottom"/>
          </w:tcPr>
          <w:p>
            <w:pPr>
              <w:jc w:val="center"/>
              <w:ind w:right="5250"/>
              <w:spacing w:after="0"/>
              <w:rPr>
                <w:sz w:val="20"/>
                <w:szCs w:val="20"/>
                <w:color w:val="auto"/>
              </w:rPr>
            </w:pPr>
            <w:r>
              <w:rPr>
                <w:rFonts w:ascii="Arial" w:cs="Arial" w:eastAsia="Arial" w:hAnsi="Arial"/>
                <w:sz w:val="18"/>
                <w:szCs w:val="18"/>
                <w:color w:val="auto"/>
                <w:w w:val="94"/>
              </w:rPr>
              <w:t>Additions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290.0</w:t>
            </w: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Commencements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jc w:val="center"/>
              <w:ind w:right="5230"/>
              <w:spacing w:after="0"/>
              <w:rPr>
                <w:sz w:val="20"/>
                <w:szCs w:val="20"/>
                <w:color w:val="auto"/>
              </w:rPr>
            </w:pPr>
            <w:r>
              <w:rPr>
                <w:rFonts w:ascii="Arial" w:cs="Arial" w:eastAsia="Arial" w:hAnsi="Arial"/>
                <w:sz w:val="18"/>
                <w:szCs w:val="18"/>
                <w:color w:val="auto"/>
                <w:w w:val="92"/>
              </w:rPr>
              <w:t>Maturities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48"/>
        </w:trPr>
        <w:tc>
          <w:tcPr>
            <w:tcW w:w="6760" w:type="dxa"/>
            <w:vAlign w:val="bottom"/>
            <w:tcBorders>
              <w:top w:val="single" w:sz="8" w:color="CCEEFF"/>
              <w:bottom w:val="single" w:sz="8" w:color="CCEEFF"/>
            </w:tcBorders>
            <w:shd w:val="clear" w:color="auto" w:fill="CCEEFF"/>
          </w:tcPr>
          <w:p>
            <w:pPr>
              <w:jc w:val="center"/>
              <w:ind w:right="5290"/>
              <w:spacing w:after="0"/>
              <w:rPr>
                <w:sz w:val="20"/>
                <w:szCs w:val="20"/>
                <w:color w:val="auto"/>
              </w:rPr>
            </w:pPr>
            <w:r>
              <w:rPr>
                <w:rFonts w:ascii="Arial" w:cs="Arial" w:eastAsia="Arial" w:hAnsi="Arial"/>
                <w:sz w:val="18"/>
                <w:szCs w:val="18"/>
                <w:color w:val="auto"/>
                <w:w w:val="91"/>
              </w:rPr>
              <w:t xml:space="preserve">Ending balance </w:t>
            </w:r>
            <w:r>
              <w:rPr>
                <w:rFonts w:ascii="Arial" w:cs="Arial" w:eastAsia="Arial" w:hAnsi="Arial"/>
                <w:sz w:val="14"/>
                <w:szCs w:val="14"/>
                <w:color w:val="auto"/>
                <w:w w:val="91"/>
              </w:rPr>
              <w:t>(1)</w:t>
            </w: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right="540" w:hanging="652"/>
        <w:spacing w:after="0" w:line="27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receive interest based on term secured overnight financing rate, restricted by a 0.0% floor, and pay interest at a weighted average rate of approximately 3.41%. These agreements mature between February 2026 and June 2028.</w:t>
      </w:r>
    </w:p>
    <w:p>
      <w:pPr>
        <w:spacing w:after="0" w:line="6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As of September 30, 2023, we had $283.3 million of fixed rate debt in addition to the $415.0 million fixed through our interest rate derivative agreements; and interest rate risk relating to approximately $359.6 million of long-term debt. The weighted average interest rate on the variable rate portion of long-term debt was approximately 7.0% at September 30, 2023. Should the average interest rate on the variable rate portion of long-term debt change by 100 basis points, we estimate that our interest expense would change by approximately $3.6 million annually, or $0.9 million quarterly.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Our management, with the participation of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effectiveness of our disclosure controls and procedures as of September 30, 2023.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2023,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three months ended September 30, 2023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information required by this Item is provided in Note 8,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in Part 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1. of this Quarterly Report on Form 10-Q.</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over Certain Environmental Matters Involving Governmental Authorities with Possible Sanctions of $1,000,000 or More</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specified threshold which we determine is reasonably designed to result in disclosure of any such proceeding that is material to our business or financial condition. Pursuant to Item 103, we have determined such disclosure threshold to be $1,000,000. We have no matters to disclose in accordance with that requirement.</w:t>
      </w:r>
    </w:p>
    <w:p>
      <w:pPr>
        <w:spacing w:after="0" w:line="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business is subject to a number of risks, including those identified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Annual Report on Form 10-K for the fiscal year ended December 31, 2022,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pacing w:after="0" w:line="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and Officer Trading Arrangements</w:t>
      </w:r>
    </w:p>
    <w:p>
      <w:pPr>
        <w:spacing w:after="0" w:line="104"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A portion of the compensation of our directors and officers (as defined in Rule 16a-1(f) under the Securities Exchange Act of 1934, as amended (“Exchange Act”)) is in the form of equity awards, including restricted stock units (“RSU(s)”) and performance stock units (“PSU(s)”), and, from time to time, directors and officers engage in open-market transactions with respect to the securities acquired pursuant to such equity awards or other securities of ours, including to satisfy tax withholding obligations when equity awards vest or are exercised, and for diversification or other personal reasons.</w:t>
      </w:r>
    </w:p>
    <w:p>
      <w:pPr>
        <w:spacing w:after="0" w:line="6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spacing w:after="0" w:line="4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following table describes, for the quarter ended September 30, 2023 covered by this Quarterly Report on Form 10-Q, each trading arrangement for the sale or purchase of our securities adopted or terminated by our directors and officers that is either (1) a contract, instruction or written plan intended to satisfy the affirmative defense conditions of Rule 10b5-1(c) (a “Rule 10b5-1 trading arrangement”) or (2) a “non-Rule 10b5-1 trading arrangement” (as defined in Item 408(c) of Regulation S-K):</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23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Name (Title)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Action Taken (Date</w:t>
            </w:r>
          </w:p>
        </w:tc>
        <w:tc>
          <w:tcPr>
            <w:tcW w:w="29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Type of Trading Arrangement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Nature of Trading</w:t>
            </w:r>
          </w:p>
        </w:tc>
        <w:tc>
          <w:tcPr>
            <w:tcW w:w="1520" w:type="dxa"/>
            <w:vAlign w:val="bottom"/>
          </w:tcPr>
          <w:p>
            <w:pPr>
              <w:ind w:left="120"/>
              <w:spacing w:after="0"/>
              <w:rPr>
                <w:sz w:val="20"/>
                <w:szCs w:val="20"/>
                <w:color w:val="auto"/>
              </w:rPr>
            </w:pPr>
            <w:r>
              <w:rPr>
                <w:rFonts w:ascii="Arial" w:cs="Arial" w:eastAsia="Arial" w:hAnsi="Arial"/>
                <w:sz w:val="14"/>
                <w:szCs w:val="14"/>
                <w:b w:val="1"/>
                <w:bCs w:val="1"/>
                <w:color w:val="auto"/>
              </w:rPr>
              <w:t>Duration of Trading</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Aggregate Number of</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 Action)</w:t>
            </w:r>
          </w:p>
        </w:tc>
        <w:tc>
          <w:tcPr>
            <w:tcW w:w="29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Arrangement</w:t>
            </w:r>
          </w:p>
        </w:tc>
        <w:tc>
          <w:tcPr>
            <w:tcW w:w="15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Arrangement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75"/>
        </w:trPr>
        <w:tc>
          <w:tcPr>
            <w:tcW w:w="23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John W. Casella</w:t>
            </w:r>
          </w:p>
        </w:tc>
        <w:tc>
          <w:tcPr>
            <w:tcW w:w="1400" w:type="dxa"/>
            <w:vAlign w:val="bottom"/>
            <w:shd w:val="clear" w:color="auto" w:fill="CCEEFF"/>
          </w:tcPr>
          <w:p>
            <w:pPr>
              <w:spacing w:after="0"/>
              <w:rPr>
                <w:sz w:val="15"/>
                <w:szCs w:val="15"/>
                <w:color w:val="auto"/>
              </w:rPr>
            </w:pPr>
          </w:p>
        </w:tc>
        <w:tc>
          <w:tcPr>
            <w:tcW w:w="2920" w:type="dxa"/>
            <w:vAlign w:val="bottom"/>
            <w:shd w:val="clear" w:color="auto" w:fill="CCEEFF"/>
          </w:tcPr>
          <w:p>
            <w:pPr>
              <w:ind w:left="80"/>
              <w:spacing w:after="0" w:line="175" w:lineRule="exact"/>
              <w:rPr>
                <w:sz w:val="20"/>
                <w:szCs w:val="20"/>
                <w:color w:val="auto"/>
              </w:rPr>
            </w:pPr>
            <w:r>
              <w:rPr>
                <w:rFonts w:ascii="Arial" w:cs="Arial" w:eastAsia="Arial" w:hAnsi="Arial"/>
                <w:sz w:val="18"/>
                <w:szCs w:val="18"/>
                <w:color w:val="auto"/>
              </w:rPr>
              <w:t>Durable Rule 10b5-1 trading</w:t>
            </w:r>
          </w:p>
        </w:tc>
        <w:tc>
          <w:tcPr>
            <w:tcW w:w="1380" w:type="dxa"/>
            <w:vAlign w:val="bottom"/>
            <w:shd w:val="clear" w:color="auto" w:fill="CCEEFF"/>
          </w:tcPr>
          <w:p>
            <w:pPr>
              <w:spacing w:after="0"/>
              <w:rPr>
                <w:sz w:val="15"/>
                <w:szCs w:val="15"/>
                <w:color w:val="auto"/>
              </w:rPr>
            </w:pPr>
          </w:p>
        </w:tc>
        <w:tc>
          <w:tcPr>
            <w:tcW w:w="1520" w:type="dxa"/>
            <w:vAlign w:val="bottom"/>
            <w:shd w:val="clear" w:color="auto" w:fill="CCEEFF"/>
          </w:tcPr>
          <w:p>
            <w:pPr>
              <w:ind w:left="100"/>
              <w:spacing w:after="0" w:line="175" w:lineRule="exact"/>
              <w:rPr>
                <w:sz w:val="20"/>
                <w:szCs w:val="20"/>
                <w:color w:val="auto"/>
              </w:rPr>
            </w:pPr>
            <w:r>
              <w:rPr>
                <w:rFonts w:ascii="Arial" w:cs="Arial" w:eastAsia="Arial" w:hAnsi="Arial"/>
                <w:sz w:val="18"/>
                <w:szCs w:val="18"/>
                <w:color w:val="auto"/>
              </w:rPr>
              <w:t>Until final</w:t>
            </w: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of</w:t>
            </w:r>
          </w:p>
        </w:tc>
        <w:tc>
          <w:tcPr>
            <w:tcW w:w="1400" w:type="dxa"/>
            <w:vAlign w:val="bottom"/>
            <w:shd w:val="clear" w:color="auto" w:fill="CCEEFF"/>
          </w:tcPr>
          <w:p>
            <w:pPr>
              <w:jc w:val="center"/>
              <w:ind w:left="9"/>
              <w:spacing w:after="0"/>
              <w:rPr>
                <w:sz w:val="20"/>
                <w:szCs w:val="20"/>
                <w:color w:val="auto"/>
              </w:rPr>
            </w:pPr>
            <w:r>
              <w:rPr>
                <w:rFonts w:ascii="Arial" w:cs="Arial" w:eastAsia="Arial" w:hAnsi="Arial"/>
                <w:sz w:val="18"/>
                <w:szCs w:val="18"/>
                <w:color w:val="auto"/>
                <w:w w:val="95"/>
              </w:rPr>
              <w:t>Adoption</w:t>
            </w:r>
          </w:p>
        </w:tc>
        <w:tc>
          <w:tcPr>
            <w:tcW w:w="2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arrangement for sell-to-cover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Sale</w:t>
            </w:r>
          </w:p>
        </w:tc>
        <w:tc>
          <w:tcPr>
            <w:tcW w:w="1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settlement of any</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Indeterminable</w:t>
            </w:r>
            <w:r>
              <w:rPr>
                <w:rFonts w:ascii="Arial" w:cs="Arial" w:eastAsia="Arial" w:hAnsi="Arial"/>
                <w:sz w:val="23"/>
                <w:szCs w:val="23"/>
                <w:color w:val="auto"/>
                <w:w w:val="88"/>
                <w:vertAlign w:val="superscript"/>
              </w:rPr>
              <w:t>(1)</w:t>
            </w:r>
          </w:p>
        </w:tc>
        <w:tc>
          <w:tcPr>
            <w:tcW w:w="0" w:type="dxa"/>
            <w:vAlign w:val="bottom"/>
          </w:tcPr>
          <w:p>
            <w:pPr>
              <w:spacing w:after="0"/>
              <w:rPr>
                <w:sz w:val="1"/>
                <w:szCs w:val="1"/>
                <w:color w:val="auto"/>
              </w:rPr>
            </w:pPr>
          </w:p>
        </w:tc>
      </w:tr>
      <w:tr>
        <w:trPr>
          <w:trHeight w:val="94"/>
        </w:trPr>
        <w:tc>
          <w:tcPr>
            <w:tcW w:w="2360" w:type="dxa"/>
            <w:vAlign w:val="bottom"/>
            <w:shd w:val="clear" w:color="auto" w:fill="CCEEFF"/>
          </w:tcPr>
          <w:p>
            <w:pPr>
              <w:ind w:left="20"/>
              <w:spacing w:after="0" w:line="95" w:lineRule="exact"/>
              <w:rPr>
                <w:sz w:val="20"/>
                <w:szCs w:val="20"/>
                <w:color w:val="auto"/>
              </w:rPr>
            </w:pPr>
            <w:r>
              <w:rPr>
                <w:rFonts w:ascii="Arial" w:cs="Arial" w:eastAsia="Arial" w:hAnsi="Arial"/>
                <w:sz w:val="10"/>
                <w:szCs w:val="10"/>
                <w:color w:val="auto"/>
              </w:rPr>
              <w:t>Directors, Chief Executive</w:t>
            </w:r>
          </w:p>
        </w:tc>
        <w:tc>
          <w:tcPr>
            <w:tcW w:w="1400" w:type="dxa"/>
            <w:vAlign w:val="bottom"/>
            <w:shd w:val="clear" w:color="auto" w:fill="CCEEFF"/>
          </w:tcPr>
          <w:p>
            <w:pPr>
              <w:jc w:val="center"/>
              <w:spacing w:after="0" w:line="95" w:lineRule="exact"/>
              <w:rPr>
                <w:sz w:val="20"/>
                <w:szCs w:val="20"/>
                <w:color w:val="auto"/>
              </w:rPr>
            </w:pPr>
            <w:r>
              <w:rPr>
                <w:rFonts w:ascii="Arial" w:cs="Arial" w:eastAsia="Arial" w:hAnsi="Arial"/>
                <w:sz w:val="10"/>
                <w:szCs w:val="10"/>
                <w:color w:val="auto"/>
              </w:rPr>
              <w:t>(08/22/2023)</w:t>
            </w:r>
          </w:p>
        </w:tc>
        <w:tc>
          <w:tcPr>
            <w:tcW w:w="2920" w:type="dxa"/>
            <w:vAlign w:val="bottom"/>
            <w:shd w:val="clear" w:color="auto" w:fill="CCEEFF"/>
          </w:tcPr>
          <w:p>
            <w:pPr>
              <w:ind w:left="80"/>
              <w:spacing w:after="0" w:line="95" w:lineRule="exact"/>
              <w:rPr>
                <w:sz w:val="20"/>
                <w:szCs w:val="20"/>
                <w:color w:val="auto"/>
              </w:rPr>
            </w:pPr>
            <w:r>
              <w:rPr>
                <w:rFonts w:ascii="Arial" w:cs="Arial" w:eastAsia="Arial" w:hAnsi="Arial"/>
                <w:sz w:val="10"/>
                <w:szCs w:val="10"/>
                <w:color w:val="auto"/>
              </w:rPr>
              <w:t>transactions relating to certain equity</w:t>
            </w:r>
          </w:p>
        </w:tc>
        <w:tc>
          <w:tcPr>
            <w:tcW w:w="1380" w:type="dxa"/>
            <w:vAlign w:val="bottom"/>
            <w:shd w:val="clear" w:color="auto" w:fill="CCEEFF"/>
          </w:tcPr>
          <w:p>
            <w:pPr>
              <w:spacing w:after="0"/>
              <w:rPr>
                <w:sz w:val="8"/>
                <w:szCs w:val="8"/>
                <w:color w:val="auto"/>
              </w:rPr>
            </w:pPr>
          </w:p>
        </w:tc>
        <w:tc>
          <w:tcPr>
            <w:tcW w:w="1520" w:type="dxa"/>
            <w:vAlign w:val="bottom"/>
            <w:shd w:val="clear" w:color="auto" w:fill="CCEEFF"/>
          </w:tcPr>
          <w:p>
            <w:pPr>
              <w:ind w:left="100"/>
              <w:spacing w:after="0" w:line="95" w:lineRule="exact"/>
              <w:rPr>
                <w:sz w:val="20"/>
                <w:szCs w:val="20"/>
                <w:color w:val="auto"/>
              </w:rPr>
            </w:pPr>
            <w:r>
              <w:rPr>
                <w:rFonts w:ascii="Arial" w:cs="Arial" w:eastAsia="Arial" w:hAnsi="Arial"/>
                <w:sz w:val="10"/>
                <w:szCs w:val="10"/>
                <w:color w:val="auto"/>
              </w:rPr>
              <w:t>covered RSU or</w:t>
            </w:r>
          </w:p>
        </w:tc>
        <w:tc>
          <w:tcPr>
            <w:tcW w:w="1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and Secretary)</w:t>
            </w:r>
          </w:p>
        </w:tc>
        <w:tc>
          <w:tcPr>
            <w:tcW w:w="1400" w:type="dxa"/>
            <w:vAlign w:val="bottom"/>
            <w:shd w:val="clear" w:color="auto" w:fill="CCEEFF"/>
          </w:tcPr>
          <w:p>
            <w:pPr>
              <w:spacing w:after="0"/>
              <w:rPr>
                <w:sz w:val="19"/>
                <w:szCs w:val="19"/>
                <w:color w:val="auto"/>
              </w:rPr>
            </w:pPr>
          </w:p>
        </w:tc>
        <w:tc>
          <w:tcPr>
            <w:tcW w:w="29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awards that have or may be granted</w:t>
            </w:r>
          </w:p>
        </w:tc>
        <w:tc>
          <w:tcPr>
            <w:tcW w:w="1380" w:type="dxa"/>
            <w:vAlign w:val="bottom"/>
            <w:shd w:val="clear" w:color="auto" w:fill="CCEEFF"/>
          </w:tcPr>
          <w:p>
            <w:pPr>
              <w:spacing w:after="0"/>
              <w:rPr>
                <w:sz w:val="19"/>
                <w:szCs w:val="19"/>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PSU</w:t>
            </w: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Edmond "Ned" R. Coletta</w:t>
            </w:r>
          </w:p>
        </w:tc>
        <w:tc>
          <w:tcPr>
            <w:tcW w:w="1400" w:type="dxa"/>
            <w:vAlign w:val="bottom"/>
          </w:tcPr>
          <w:p>
            <w:pPr>
              <w:spacing w:after="0"/>
              <w:rPr>
                <w:sz w:val="15"/>
                <w:szCs w:val="15"/>
                <w:color w:val="auto"/>
              </w:rPr>
            </w:pPr>
          </w:p>
        </w:tc>
        <w:tc>
          <w:tcPr>
            <w:tcW w:w="2920" w:type="dxa"/>
            <w:vAlign w:val="bottom"/>
          </w:tcPr>
          <w:p>
            <w:pPr>
              <w:ind w:left="80"/>
              <w:spacing w:after="0" w:line="176" w:lineRule="exact"/>
              <w:rPr>
                <w:sz w:val="20"/>
                <w:szCs w:val="20"/>
                <w:color w:val="auto"/>
              </w:rPr>
            </w:pPr>
            <w:r>
              <w:rPr>
                <w:rFonts w:ascii="Arial" w:cs="Arial" w:eastAsia="Arial" w:hAnsi="Arial"/>
                <w:sz w:val="18"/>
                <w:szCs w:val="18"/>
                <w:color w:val="auto"/>
              </w:rPr>
              <w:t>Durable Rule 10b5-1 trading</w:t>
            </w:r>
          </w:p>
        </w:tc>
        <w:tc>
          <w:tcPr>
            <w:tcW w:w="1380" w:type="dxa"/>
            <w:vAlign w:val="bottom"/>
          </w:tcPr>
          <w:p>
            <w:pPr>
              <w:spacing w:after="0"/>
              <w:rPr>
                <w:sz w:val="15"/>
                <w:szCs w:val="15"/>
                <w:color w:val="auto"/>
              </w:rPr>
            </w:pPr>
          </w:p>
        </w:tc>
        <w:tc>
          <w:tcPr>
            <w:tcW w:w="1520" w:type="dxa"/>
            <w:vAlign w:val="bottom"/>
          </w:tcPr>
          <w:p>
            <w:pPr>
              <w:ind w:left="100"/>
              <w:spacing w:after="0" w:line="176" w:lineRule="exact"/>
              <w:rPr>
                <w:sz w:val="20"/>
                <w:szCs w:val="20"/>
                <w:color w:val="auto"/>
              </w:rPr>
            </w:pPr>
            <w:r>
              <w:rPr>
                <w:rFonts w:ascii="Arial" w:cs="Arial" w:eastAsia="Arial" w:hAnsi="Arial"/>
                <w:sz w:val="18"/>
                <w:szCs w:val="18"/>
                <w:color w:val="auto"/>
              </w:rPr>
              <w:t>Until final</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360" w:type="dxa"/>
            <w:vAlign w:val="bottom"/>
            <w:vMerge w:val="continue"/>
          </w:tcPr>
          <w:p>
            <w:pPr>
              <w:spacing w:after="0"/>
              <w:rPr>
                <w:sz w:val="7"/>
                <w:szCs w:val="7"/>
                <w:color w:val="auto"/>
              </w:rPr>
            </w:pPr>
          </w:p>
        </w:tc>
        <w:tc>
          <w:tcPr>
            <w:tcW w:w="1400" w:type="dxa"/>
            <w:vAlign w:val="bottom"/>
            <w:vMerge w:val="restart"/>
          </w:tcPr>
          <w:p>
            <w:pPr>
              <w:jc w:val="center"/>
              <w:ind w:left="9"/>
              <w:spacing w:after="0"/>
              <w:rPr>
                <w:sz w:val="20"/>
                <w:szCs w:val="20"/>
                <w:color w:val="auto"/>
              </w:rPr>
            </w:pPr>
            <w:r>
              <w:rPr>
                <w:rFonts w:ascii="Arial" w:cs="Arial" w:eastAsia="Arial" w:hAnsi="Arial"/>
                <w:sz w:val="18"/>
                <w:szCs w:val="18"/>
                <w:color w:val="auto"/>
                <w:w w:val="95"/>
              </w:rPr>
              <w:t>Adoption</w:t>
            </w:r>
          </w:p>
        </w:tc>
        <w:tc>
          <w:tcPr>
            <w:tcW w:w="2920" w:type="dxa"/>
            <w:vAlign w:val="bottom"/>
            <w:vMerge w:val="restart"/>
          </w:tcPr>
          <w:p>
            <w:pPr>
              <w:ind w:left="80"/>
              <w:spacing w:after="0"/>
              <w:rPr>
                <w:sz w:val="20"/>
                <w:szCs w:val="20"/>
                <w:color w:val="auto"/>
              </w:rPr>
            </w:pPr>
            <w:r>
              <w:rPr>
                <w:rFonts w:ascii="Arial" w:cs="Arial" w:eastAsia="Arial" w:hAnsi="Arial"/>
                <w:sz w:val="18"/>
                <w:szCs w:val="18"/>
                <w:color w:val="auto"/>
              </w:rPr>
              <w:t>arrangement for sell-to-cover</w:t>
            </w:r>
          </w:p>
        </w:tc>
        <w:tc>
          <w:tcPr>
            <w:tcW w:w="1380" w:type="dxa"/>
            <w:vAlign w:val="bottom"/>
          </w:tcPr>
          <w:p>
            <w:pPr>
              <w:spacing w:after="0"/>
              <w:rPr>
                <w:sz w:val="7"/>
                <w:szCs w:val="7"/>
                <w:color w:val="auto"/>
              </w:rPr>
            </w:pPr>
          </w:p>
        </w:tc>
        <w:tc>
          <w:tcPr>
            <w:tcW w:w="1520" w:type="dxa"/>
            <w:vAlign w:val="bottom"/>
            <w:vMerge w:val="restart"/>
          </w:tcPr>
          <w:p>
            <w:pPr>
              <w:ind w:left="100"/>
              <w:spacing w:after="0"/>
              <w:rPr>
                <w:sz w:val="20"/>
                <w:szCs w:val="20"/>
                <w:color w:val="auto"/>
              </w:rPr>
            </w:pPr>
            <w:r>
              <w:rPr>
                <w:rFonts w:ascii="Arial" w:cs="Arial" w:eastAsia="Arial" w:hAnsi="Arial"/>
                <w:sz w:val="18"/>
                <w:szCs w:val="18"/>
                <w:color w:val="auto"/>
              </w:rPr>
              <w:t>settlement of any</w:t>
            </w: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20"/>
              <w:spacing w:after="0" w:line="189" w:lineRule="exact"/>
              <w:rPr>
                <w:sz w:val="20"/>
                <w:szCs w:val="20"/>
                <w:color w:val="auto"/>
              </w:rPr>
            </w:pPr>
            <w:r>
              <w:rPr>
                <w:rFonts w:ascii="Arial" w:cs="Arial" w:eastAsia="Arial" w:hAnsi="Arial"/>
                <w:sz w:val="18"/>
                <w:szCs w:val="18"/>
                <w:color w:val="auto"/>
                <w:w w:val="96"/>
              </w:rPr>
              <w:t>(President and Chief Financial</w:t>
            </w:r>
          </w:p>
        </w:tc>
        <w:tc>
          <w:tcPr>
            <w:tcW w:w="1400" w:type="dxa"/>
            <w:vAlign w:val="bottom"/>
            <w:vMerge w:val="continue"/>
          </w:tcPr>
          <w:p>
            <w:pPr>
              <w:spacing w:after="0"/>
              <w:rPr>
                <w:sz w:val="16"/>
                <w:szCs w:val="16"/>
                <w:color w:val="auto"/>
              </w:rPr>
            </w:pPr>
          </w:p>
        </w:tc>
        <w:tc>
          <w:tcPr>
            <w:tcW w:w="2920" w:type="dxa"/>
            <w:vAlign w:val="bottom"/>
            <w:vMerge w:val="continue"/>
          </w:tcPr>
          <w:p>
            <w:pPr>
              <w:spacing w:after="0"/>
              <w:rPr>
                <w:sz w:val="16"/>
                <w:szCs w:val="16"/>
                <w:color w:val="auto"/>
              </w:rPr>
            </w:pPr>
          </w:p>
        </w:tc>
        <w:tc>
          <w:tcPr>
            <w:tcW w:w="1380" w:type="dxa"/>
            <w:vAlign w:val="bottom"/>
          </w:tcPr>
          <w:p>
            <w:pPr>
              <w:jc w:val="center"/>
              <w:spacing w:after="0" w:line="189" w:lineRule="exact"/>
              <w:rPr>
                <w:sz w:val="20"/>
                <w:szCs w:val="20"/>
                <w:color w:val="auto"/>
              </w:rPr>
            </w:pPr>
            <w:r>
              <w:rPr>
                <w:rFonts w:ascii="Arial" w:cs="Arial" w:eastAsia="Arial" w:hAnsi="Arial"/>
                <w:sz w:val="18"/>
                <w:szCs w:val="18"/>
                <w:color w:val="auto"/>
                <w:w w:val="88"/>
              </w:rPr>
              <w:t>Sale</w:t>
            </w:r>
          </w:p>
        </w:tc>
        <w:tc>
          <w:tcPr>
            <w:tcW w:w="1520" w:type="dxa"/>
            <w:vAlign w:val="bottom"/>
            <w:vMerge w:val="continue"/>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17"/>
                <w:szCs w:val="17"/>
                <w:color w:val="auto"/>
                <w:w w:val="94"/>
              </w:rPr>
              <w:t>Indeterminable</w:t>
            </w:r>
            <w:r>
              <w:rPr>
                <w:rFonts w:ascii="Arial" w:cs="Arial" w:eastAsia="Arial" w:hAnsi="Arial"/>
                <w:sz w:val="21"/>
                <w:szCs w:val="21"/>
                <w:color w:val="auto"/>
                <w:w w:val="94"/>
                <w:vertAlign w:val="superscript"/>
              </w:rPr>
              <w:t>(1)</w:t>
            </w:r>
          </w:p>
        </w:tc>
        <w:tc>
          <w:tcPr>
            <w:tcW w:w="0" w:type="dxa"/>
            <w:vAlign w:val="bottom"/>
          </w:tcPr>
          <w:p>
            <w:pPr>
              <w:spacing w:after="0"/>
              <w:rPr>
                <w:sz w:val="1"/>
                <w:szCs w:val="1"/>
                <w:color w:val="auto"/>
              </w:rPr>
            </w:pPr>
          </w:p>
        </w:tc>
      </w:tr>
      <w:tr>
        <w:trPr>
          <w:trHeight w:val="94"/>
        </w:trPr>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Officer)</w:t>
            </w:r>
          </w:p>
        </w:tc>
        <w:tc>
          <w:tcPr>
            <w:tcW w:w="1400" w:type="dxa"/>
            <w:vAlign w:val="bottom"/>
          </w:tcPr>
          <w:p>
            <w:pPr>
              <w:jc w:val="center"/>
              <w:spacing w:after="0" w:line="95" w:lineRule="exact"/>
              <w:rPr>
                <w:sz w:val="20"/>
                <w:szCs w:val="20"/>
                <w:color w:val="auto"/>
              </w:rPr>
            </w:pPr>
            <w:r>
              <w:rPr>
                <w:rFonts w:ascii="Arial" w:cs="Arial" w:eastAsia="Arial" w:hAnsi="Arial"/>
                <w:sz w:val="10"/>
                <w:szCs w:val="10"/>
                <w:color w:val="auto"/>
              </w:rPr>
              <w:t>(08/02/2023)</w:t>
            </w:r>
          </w:p>
        </w:tc>
        <w:tc>
          <w:tcPr>
            <w:tcW w:w="2920" w:type="dxa"/>
            <w:vAlign w:val="bottom"/>
          </w:tcPr>
          <w:p>
            <w:pPr>
              <w:ind w:left="80"/>
              <w:spacing w:after="0" w:line="95" w:lineRule="exact"/>
              <w:rPr>
                <w:sz w:val="20"/>
                <w:szCs w:val="20"/>
                <w:color w:val="auto"/>
              </w:rPr>
            </w:pPr>
            <w:r>
              <w:rPr>
                <w:rFonts w:ascii="Arial" w:cs="Arial" w:eastAsia="Arial" w:hAnsi="Arial"/>
                <w:sz w:val="10"/>
                <w:szCs w:val="10"/>
                <w:color w:val="auto"/>
              </w:rPr>
              <w:t>transactions relating to certain equity</w:t>
            </w:r>
          </w:p>
        </w:tc>
        <w:tc>
          <w:tcPr>
            <w:tcW w:w="1380" w:type="dxa"/>
            <w:vAlign w:val="bottom"/>
          </w:tcPr>
          <w:p>
            <w:pPr>
              <w:spacing w:after="0"/>
              <w:rPr>
                <w:sz w:val="8"/>
                <w:szCs w:val="8"/>
                <w:color w:val="auto"/>
              </w:rPr>
            </w:pPr>
          </w:p>
        </w:tc>
        <w:tc>
          <w:tcPr>
            <w:tcW w:w="1520" w:type="dxa"/>
            <w:vAlign w:val="bottom"/>
          </w:tcPr>
          <w:p>
            <w:pPr>
              <w:ind w:left="100"/>
              <w:spacing w:after="0" w:line="95" w:lineRule="exact"/>
              <w:rPr>
                <w:sz w:val="20"/>
                <w:szCs w:val="20"/>
                <w:color w:val="auto"/>
              </w:rPr>
            </w:pPr>
            <w:r>
              <w:rPr>
                <w:rFonts w:ascii="Arial" w:cs="Arial" w:eastAsia="Arial" w:hAnsi="Arial"/>
                <w:sz w:val="10"/>
                <w:szCs w:val="10"/>
                <w:color w:val="auto"/>
              </w:rPr>
              <w:t>covered RSU or</w:t>
            </w: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6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2920" w:type="dxa"/>
            <w:vAlign w:val="bottom"/>
            <w:vMerge w:val="restart"/>
          </w:tcPr>
          <w:p>
            <w:pPr>
              <w:ind w:left="80"/>
              <w:spacing w:after="0"/>
              <w:rPr>
                <w:sz w:val="20"/>
                <w:szCs w:val="20"/>
                <w:color w:val="auto"/>
              </w:rPr>
            </w:pPr>
            <w:r>
              <w:rPr>
                <w:rFonts w:ascii="Arial" w:cs="Arial" w:eastAsia="Arial" w:hAnsi="Arial"/>
                <w:sz w:val="18"/>
                <w:szCs w:val="18"/>
                <w:color w:val="auto"/>
                <w:w w:val="97"/>
              </w:rPr>
              <w:t>awards that have or may be granted</w:t>
            </w:r>
          </w:p>
        </w:tc>
        <w:tc>
          <w:tcPr>
            <w:tcW w:w="1380" w:type="dxa"/>
            <w:vAlign w:val="bottom"/>
          </w:tcPr>
          <w:p>
            <w:pPr>
              <w:spacing w:after="0"/>
              <w:rPr>
                <w:sz w:val="11"/>
                <w:szCs w:val="11"/>
                <w:color w:val="auto"/>
              </w:rPr>
            </w:pPr>
          </w:p>
        </w:tc>
        <w:tc>
          <w:tcPr>
            <w:tcW w:w="1520" w:type="dxa"/>
            <w:vAlign w:val="bottom"/>
            <w:vMerge w:val="restart"/>
          </w:tcPr>
          <w:p>
            <w:pPr>
              <w:ind w:left="100"/>
              <w:spacing w:after="0"/>
              <w:rPr>
                <w:sz w:val="20"/>
                <w:szCs w:val="20"/>
                <w:color w:val="auto"/>
              </w:rPr>
            </w:pPr>
            <w:r>
              <w:rPr>
                <w:rFonts w:ascii="Arial" w:cs="Arial" w:eastAsia="Arial" w:hAnsi="Arial"/>
                <w:sz w:val="18"/>
                <w:szCs w:val="18"/>
                <w:color w:val="auto"/>
              </w:rPr>
              <w:t>PSU</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92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Shelley E. Sayward</w:t>
            </w:r>
          </w:p>
        </w:tc>
        <w:tc>
          <w:tcPr>
            <w:tcW w:w="1400" w:type="dxa"/>
            <w:vAlign w:val="bottom"/>
            <w:shd w:val="clear" w:color="auto" w:fill="CCEEFF"/>
          </w:tcPr>
          <w:p>
            <w:pPr>
              <w:spacing w:after="0"/>
              <w:rPr>
                <w:sz w:val="15"/>
                <w:szCs w:val="15"/>
                <w:color w:val="auto"/>
              </w:rPr>
            </w:pPr>
          </w:p>
        </w:tc>
        <w:tc>
          <w:tcPr>
            <w:tcW w:w="29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Durable Rule 10b5-1 trading</w:t>
            </w:r>
          </w:p>
        </w:tc>
        <w:tc>
          <w:tcPr>
            <w:tcW w:w="1380" w:type="dxa"/>
            <w:vAlign w:val="bottom"/>
            <w:shd w:val="clear" w:color="auto" w:fill="CCEEFF"/>
          </w:tcPr>
          <w:p>
            <w:pPr>
              <w:spacing w:after="0"/>
              <w:rPr>
                <w:sz w:val="15"/>
                <w:szCs w:val="15"/>
                <w:color w:val="auto"/>
              </w:rPr>
            </w:pPr>
          </w:p>
        </w:tc>
        <w:tc>
          <w:tcPr>
            <w:tcW w:w="15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Until final</w:t>
            </w: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360" w:type="dxa"/>
            <w:vAlign w:val="bottom"/>
            <w:vMerge w:val="continue"/>
            <w:shd w:val="clear" w:color="auto" w:fill="CCEEFF"/>
          </w:tcPr>
          <w:p>
            <w:pPr>
              <w:spacing w:after="0"/>
              <w:rPr>
                <w:sz w:val="7"/>
                <w:szCs w:val="7"/>
                <w:color w:val="auto"/>
              </w:rPr>
            </w:pPr>
          </w:p>
        </w:tc>
        <w:tc>
          <w:tcPr>
            <w:tcW w:w="1400" w:type="dxa"/>
            <w:vAlign w:val="bottom"/>
            <w:vMerge w:val="restart"/>
            <w:shd w:val="clear" w:color="auto" w:fill="CCEEFF"/>
          </w:tcPr>
          <w:p>
            <w:pPr>
              <w:jc w:val="center"/>
              <w:ind w:left="9"/>
              <w:spacing w:after="0"/>
              <w:rPr>
                <w:sz w:val="20"/>
                <w:szCs w:val="20"/>
                <w:color w:val="auto"/>
              </w:rPr>
            </w:pPr>
            <w:r>
              <w:rPr>
                <w:rFonts w:ascii="Arial" w:cs="Arial" w:eastAsia="Arial" w:hAnsi="Arial"/>
                <w:sz w:val="18"/>
                <w:szCs w:val="18"/>
                <w:color w:val="auto"/>
                <w:w w:val="95"/>
              </w:rPr>
              <w:t>Adoption</w:t>
            </w:r>
          </w:p>
        </w:tc>
        <w:tc>
          <w:tcPr>
            <w:tcW w:w="29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arrangement for sell-to-cover</w:t>
            </w:r>
          </w:p>
        </w:tc>
        <w:tc>
          <w:tcPr>
            <w:tcW w:w="1380" w:type="dxa"/>
            <w:vAlign w:val="bottom"/>
            <w:shd w:val="clear" w:color="auto" w:fill="CCEEFF"/>
          </w:tcPr>
          <w:p>
            <w:pPr>
              <w:spacing w:after="0"/>
              <w:rPr>
                <w:sz w:val="7"/>
                <w:szCs w:val="7"/>
                <w:color w:val="auto"/>
              </w:rPr>
            </w:pPr>
          </w:p>
        </w:tc>
        <w:tc>
          <w:tcPr>
            <w:tcW w:w="15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settlement of any</w:t>
            </w:r>
          </w:p>
        </w:tc>
        <w:tc>
          <w:tcPr>
            <w:tcW w:w="1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(Senior Vice President and</w:t>
            </w:r>
          </w:p>
        </w:tc>
        <w:tc>
          <w:tcPr>
            <w:tcW w:w="1400" w:type="dxa"/>
            <w:vAlign w:val="bottom"/>
            <w:vMerge w:val="continue"/>
            <w:shd w:val="clear" w:color="auto" w:fill="CCEEFF"/>
          </w:tcPr>
          <w:p>
            <w:pPr>
              <w:spacing w:after="0"/>
              <w:rPr>
                <w:sz w:val="16"/>
                <w:szCs w:val="16"/>
                <w:color w:val="auto"/>
              </w:rPr>
            </w:pPr>
          </w:p>
        </w:tc>
        <w:tc>
          <w:tcPr>
            <w:tcW w:w="2920" w:type="dxa"/>
            <w:vAlign w:val="bottom"/>
            <w:vMerge w:val="continue"/>
            <w:shd w:val="clear" w:color="auto" w:fill="CCEEFF"/>
          </w:tcPr>
          <w:p>
            <w:pPr>
              <w:spacing w:after="0"/>
              <w:rPr>
                <w:sz w:val="16"/>
                <w:szCs w:val="16"/>
                <w:color w:val="auto"/>
              </w:rPr>
            </w:pP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Sale</w:t>
            </w:r>
          </w:p>
        </w:tc>
        <w:tc>
          <w:tcPr>
            <w:tcW w:w="1520" w:type="dxa"/>
            <w:vAlign w:val="bottom"/>
            <w:vMerge w:val="continue"/>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4"/>
              </w:rPr>
              <w:t>Indeterminable</w:t>
            </w:r>
            <w:r>
              <w:rPr>
                <w:rFonts w:ascii="Arial" w:cs="Arial" w:eastAsia="Arial" w:hAnsi="Arial"/>
                <w:sz w:val="21"/>
                <w:szCs w:val="21"/>
                <w:color w:val="auto"/>
                <w:w w:val="94"/>
                <w:vertAlign w:val="superscript"/>
              </w:rPr>
              <w:t>(1)</w:t>
            </w:r>
          </w:p>
        </w:tc>
        <w:tc>
          <w:tcPr>
            <w:tcW w:w="0" w:type="dxa"/>
            <w:vAlign w:val="bottom"/>
          </w:tcPr>
          <w:p>
            <w:pPr>
              <w:spacing w:after="0"/>
              <w:rPr>
                <w:sz w:val="1"/>
                <w:szCs w:val="1"/>
                <w:color w:val="auto"/>
              </w:rPr>
            </w:pPr>
          </w:p>
        </w:tc>
      </w:tr>
      <w:tr>
        <w:trPr>
          <w:trHeight w:val="95"/>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General Counsel)</w:t>
            </w:r>
          </w:p>
        </w:tc>
        <w:tc>
          <w:tcPr>
            <w:tcW w:w="1400" w:type="dxa"/>
            <w:vAlign w:val="bottom"/>
            <w:shd w:val="clear" w:color="auto" w:fill="CCEEFF"/>
          </w:tcPr>
          <w:p>
            <w:pPr>
              <w:jc w:val="center"/>
              <w:spacing w:after="0" w:line="95" w:lineRule="exact"/>
              <w:rPr>
                <w:sz w:val="20"/>
                <w:szCs w:val="20"/>
                <w:color w:val="auto"/>
              </w:rPr>
            </w:pPr>
            <w:r>
              <w:rPr>
                <w:rFonts w:ascii="Arial" w:cs="Arial" w:eastAsia="Arial" w:hAnsi="Arial"/>
                <w:sz w:val="10"/>
                <w:szCs w:val="10"/>
                <w:color w:val="auto"/>
              </w:rPr>
              <w:t>(08/02/2023)</w:t>
            </w:r>
          </w:p>
        </w:tc>
        <w:tc>
          <w:tcPr>
            <w:tcW w:w="2920" w:type="dxa"/>
            <w:vAlign w:val="bottom"/>
            <w:shd w:val="clear" w:color="auto" w:fill="CCEEFF"/>
          </w:tcPr>
          <w:p>
            <w:pPr>
              <w:ind w:left="80"/>
              <w:spacing w:after="0" w:line="95" w:lineRule="exact"/>
              <w:rPr>
                <w:sz w:val="20"/>
                <w:szCs w:val="20"/>
                <w:color w:val="auto"/>
              </w:rPr>
            </w:pPr>
            <w:r>
              <w:rPr>
                <w:rFonts w:ascii="Arial" w:cs="Arial" w:eastAsia="Arial" w:hAnsi="Arial"/>
                <w:sz w:val="10"/>
                <w:szCs w:val="10"/>
                <w:color w:val="auto"/>
              </w:rPr>
              <w:t>transactions relating to certain equity</w:t>
            </w:r>
          </w:p>
        </w:tc>
        <w:tc>
          <w:tcPr>
            <w:tcW w:w="1380" w:type="dxa"/>
            <w:vAlign w:val="bottom"/>
            <w:shd w:val="clear" w:color="auto" w:fill="CCEEFF"/>
          </w:tcPr>
          <w:p>
            <w:pPr>
              <w:spacing w:after="0"/>
              <w:rPr>
                <w:sz w:val="8"/>
                <w:szCs w:val="8"/>
                <w:color w:val="auto"/>
              </w:rPr>
            </w:pPr>
          </w:p>
        </w:tc>
        <w:tc>
          <w:tcPr>
            <w:tcW w:w="1520" w:type="dxa"/>
            <w:vAlign w:val="bottom"/>
            <w:shd w:val="clear" w:color="auto" w:fill="CCEEFF"/>
          </w:tcPr>
          <w:p>
            <w:pPr>
              <w:ind w:left="100"/>
              <w:spacing w:after="0" w:line="95" w:lineRule="exact"/>
              <w:rPr>
                <w:sz w:val="20"/>
                <w:szCs w:val="20"/>
                <w:color w:val="auto"/>
              </w:rPr>
            </w:pPr>
            <w:r>
              <w:rPr>
                <w:rFonts w:ascii="Arial" w:cs="Arial" w:eastAsia="Arial" w:hAnsi="Arial"/>
                <w:sz w:val="10"/>
                <w:szCs w:val="10"/>
                <w:color w:val="auto"/>
              </w:rPr>
              <w:t>covered RSU or</w:t>
            </w:r>
          </w:p>
        </w:tc>
        <w:tc>
          <w:tcPr>
            <w:tcW w:w="1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60" w:type="dxa"/>
            <w:vAlign w:val="bottom"/>
            <w:vMerge w:val="continue"/>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9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97"/>
              </w:rPr>
              <w:t>awards that have or may be granted</w:t>
            </w:r>
          </w:p>
        </w:tc>
        <w:tc>
          <w:tcPr>
            <w:tcW w:w="13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PSU</w:t>
            </w:r>
          </w:p>
        </w:tc>
        <w:tc>
          <w:tcPr>
            <w:tcW w:w="1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6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920" w:type="dxa"/>
            <w:vAlign w:val="bottom"/>
            <w:vMerge w:val="continue"/>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360" w:type="dxa"/>
            <w:vAlign w:val="bottom"/>
          </w:tcPr>
          <w:p>
            <w:pPr>
              <w:ind w:left="20"/>
              <w:spacing w:after="0" w:line="176" w:lineRule="exact"/>
              <w:rPr>
                <w:sz w:val="20"/>
                <w:szCs w:val="20"/>
                <w:color w:val="auto"/>
              </w:rPr>
            </w:pPr>
            <w:r>
              <w:rPr>
                <w:rFonts w:ascii="Arial" w:cs="Arial" w:eastAsia="Arial" w:hAnsi="Arial"/>
                <w:sz w:val="18"/>
                <w:szCs w:val="18"/>
                <w:color w:val="auto"/>
              </w:rPr>
              <w:t>Sean M. Steves</w:t>
            </w:r>
          </w:p>
        </w:tc>
        <w:tc>
          <w:tcPr>
            <w:tcW w:w="1400" w:type="dxa"/>
            <w:vAlign w:val="bottom"/>
          </w:tcPr>
          <w:p>
            <w:pPr>
              <w:spacing w:after="0"/>
              <w:rPr>
                <w:sz w:val="15"/>
                <w:szCs w:val="15"/>
                <w:color w:val="auto"/>
              </w:rPr>
            </w:pPr>
          </w:p>
        </w:tc>
        <w:tc>
          <w:tcPr>
            <w:tcW w:w="2920" w:type="dxa"/>
            <w:vAlign w:val="bottom"/>
          </w:tcPr>
          <w:p>
            <w:pPr>
              <w:ind w:left="80"/>
              <w:spacing w:after="0" w:line="176" w:lineRule="exact"/>
              <w:rPr>
                <w:sz w:val="20"/>
                <w:szCs w:val="20"/>
                <w:color w:val="auto"/>
              </w:rPr>
            </w:pPr>
            <w:r>
              <w:rPr>
                <w:rFonts w:ascii="Arial" w:cs="Arial" w:eastAsia="Arial" w:hAnsi="Arial"/>
                <w:sz w:val="18"/>
                <w:szCs w:val="18"/>
                <w:color w:val="auto"/>
              </w:rPr>
              <w:t>Durable Rule 10b5-1 trading</w:t>
            </w:r>
          </w:p>
        </w:tc>
        <w:tc>
          <w:tcPr>
            <w:tcW w:w="1380" w:type="dxa"/>
            <w:vAlign w:val="bottom"/>
          </w:tcPr>
          <w:p>
            <w:pPr>
              <w:spacing w:after="0"/>
              <w:rPr>
                <w:sz w:val="15"/>
                <w:szCs w:val="15"/>
                <w:color w:val="auto"/>
              </w:rPr>
            </w:pPr>
          </w:p>
        </w:tc>
        <w:tc>
          <w:tcPr>
            <w:tcW w:w="1520" w:type="dxa"/>
            <w:vAlign w:val="bottom"/>
          </w:tcPr>
          <w:p>
            <w:pPr>
              <w:ind w:left="100"/>
              <w:spacing w:after="0" w:line="176" w:lineRule="exact"/>
              <w:rPr>
                <w:sz w:val="20"/>
                <w:szCs w:val="20"/>
                <w:color w:val="auto"/>
              </w:rPr>
            </w:pPr>
            <w:r>
              <w:rPr>
                <w:rFonts w:ascii="Arial" w:cs="Arial" w:eastAsia="Arial" w:hAnsi="Arial"/>
                <w:sz w:val="18"/>
                <w:szCs w:val="18"/>
                <w:color w:val="auto"/>
              </w:rPr>
              <w:t>Until final</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c>
          <w:tcPr>
            <w:tcW w:w="1400" w:type="dxa"/>
            <w:vAlign w:val="bottom"/>
          </w:tcPr>
          <w:p>
            <w:pPr>
              <w:jc w:val="center"/>
              <w:ind w:left="9"/>
              <w:spacing w:after="0"/>
              <w:rPr>
                <w:sz w:val="20"/>
                <w:szCs w:val="20"/>
                <w:color w:val="auto"/>
              </w:rPr>
            </w:pPr>
            <w:r>
              <w:rPr>
                <w:rFonts w:ascii="Arial" w:cs="Arial" w:eastAsia="Arial" w:hAnsi="Arial"/>
                <w:sz w:val="18"/>
                <w:szCs w:val="18"/>
                <w:color w:val="auto"/>
                <w:w w:val="95"/>
              </w:rPr>
              <w:t>Adoption</w:t>
            </w:r>
          </w:p>
        </w:tc>
        <w:tc>
          <w:tcPr>
            <w:tcW w:w="2920" w:type="dxa"/>
            <w:vAlign w:val="bottom"/>
          </w:tcPr>
          <w:p>
            <w:pPr>
              <w:ind w:left="80"/>
              <w:spacing w:after="0"/>
              <w:rPr>
                <w:sz w:val="20"/>
                <w:szCs w:val="20"/>
                <w:color w:val="auto"/>
              </w:rPr>
            </w:pPr>
            <w:r>
              <w:rPr>
                <w:rFonts w:ascii="Arial" w:cs="Arial" w:eastAsia="Arial" w:hAnsi="Arial"/>
                <w:sz w:val="18"/>
                <w:szCs w:val="18"/>
                <w:color w:val="auto"/>
              </w:rPr>
              <w:t>arrangement for sell-to-cover</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Sale</w:t>
            </w:r>
          </w:p>
        </w:tc>
        <w:tc>
          <w:tcPr>
            <w:tcW w:w="1520" w:type="dxa"/>
            <w:vAlign w:val="bottom"/>
          </w:tcPr>
          <w:p>
            <w:pPr>
              <w:ind w:left="100"/>
              <w:spacing w:after="0"/>
              <w:rPr>
                <w:sz w:val="20"/>
                <w:szCs w:val="20"/>
                <w:color w:val="auto"/>
              </w:rPr>
            </w:pPr>
            <w:r>
              <w:rPr>
                <w:rFonts w:ascii="Arial" w:cs="Arial" w:eastAsia="Arial" w:hAnsi="Arial"/>
                <w:sz w:val="18"/>
                <w:szCs w:val="18"/>
                <w:color w:val="auto"/>
              </w:rPr>
              <w:t>settlement of any</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Indeterminable</w:t>
            </w:r>
            <w:r>
              <w:rPr>
                <w:rFonts w:ascii="Arial" w:cs="Arial" w:eastAsia="Arial" w:hAnsi="Arial"/>
                <w:sz w:val="23"/>
                <w:szCs w:val="23"/>
                <w:color w:val="auto"/>
                <w:w w:val="88"/>
                <w:vertAlign w:val="superscript"/>
              </w:rPr>
              <w:t>(1)</w:t>
            </w:r>
          </w:p>
        </w:tc>
        <w:tc>
          <w:tcPr>
            <w:tcW w:w="0" w:type="dxa"/>
            <w:vAlign w:val="bottom"/>
          </w:tcPr>
          <w:p>
            <w:pPr>
              <w:spacing w:after="0"/>
              <w:rPr>
                <w:sz w:val="1"/>
                <w:szCs w:val="1"/>
                <w:color w:val="auto"/>
              </w:rPr>
            </w:pPr>
          </w:p>
        </w:tc>
      </w:tr>
      <w:tr>
        <w:trPr>
          <w:trHeight w:val="94"/>
        </w:trPr>
        <w:tc>
          <w:tcPr>
            <w:tcW w:w="2360" w:type="dxa"/>
            <w:vAlign w:val="bottom"/>
          </w:tcPr>
          <w:p>
            <w:pPr>
              <w:ind w:left="20"/>
              <w:spacing w:after="0" w:line="95" w:lineRule="exact"/>
              <w:rPr>
                <w:sz w:val="20"/>
                <w:szCs w:val="20"/>
                <w:color w:val="auto"/>
              </w:rPr>
            </w:pPr>
            <w:r>
              <w:rPr>
                <w:rFonts w:ascii="Arial" w:cs="Arial" w:eastAsia="Arial" w:hAnsi="Arial"/>
                <w:sz w:val="10"/>
                <w:szCs w:val="10"/>
                <w:color w:val="auto"/>
              </w:rPr>
              <w:t>Chief Operating Officer of</w:t>
            </w:r>
          </w:p>
        </w:tc>
        <w:tc>
          <w:tcPr>
            <w:tcW w:w="1400" w:type="dxa"/>
            <w:vAlign w:val="bottom"/>
          </w:tcPr>
          <w:p>
            <w:pPr>
              <w:jc w:val="center"/>
              <w:spacing w:after="0" w:line="95" w:lineRule="exact"/>
              <w:rPr>
                <w:sz w:val="20"/>
                <w:szCs w:val="20"/>
                <w:color w:val="auto"/>
              </w:rPr>
            </w:pPr>
            <w:r>
              <w:rPr>
                <w:rFonts w:ascii="Arial" w:cs="Arial" w:eastAsia="Arial" w:hAnsi="Arial"/>
                <w:sz w:val="10"/>
                <w:szCs w:val="10"/>
                <w:color w:val="auto"/>
              </w:rPr>
              <w:t>(08/02/2023)</w:t>
            </w:r>
          </w:p>
        </w:tc>
        <w:tc>
          <w:tcPr>
            <w:tcW w:w="2920" w:type="dxa"/>
            <w:vAlign w:val="bottom"/>
          </w:tcPr>
          <w:p>
            <w:pPr>
              <w:ind w:left="80"/>
              <w:spacing w:after="0" w:line="95" w:lineRule="exact"/>
              <w:rPr>
                <w:sz w:val="20"/>
                <w:szCs w:val="20"/>
                <w:color w:val="auto"/>
              </w:rPr>
            </w:pPr>
            <w:r>
              <w:rPr>
                <w:rFonts w:ascii="Arial" w:cs="Arial" w:eastAsia="Arial" w:hAnsi="Arial"/>
                <w:sz w:val="10"/>
                <w:szCs w:val="10"/>
                <w:color w:val="auto"/>
              </w:rPr>
              <w:t>transactions relating to certain equity</w:t>
            </w:r>
          </w:p>
        </w:tc>
        <w:tc>
          <w:tcPr>
            <w:tcW w:w="1380" w:type="dxa"/>
            <w:vAlign w:val="bottom"/>
          </w:tcPr>
          <w:p>
            <w:pPr>
              <w:spacing w:after="0"/>
              <w:rPr>
                <w:sz w:val="8"/>
                <w:szCs w:val="8"/>
                <w:color w:val="auto"/>
              </w:rPr>
            </w:pPr>
          </w:p>
        </w:tc>
        <w:tc>
          <w:tcPr>
            <w:tcW w:w="1520" w:type="dxa"/>
            <w:vAlign w:val="bottom"/>
          </w:tcPr>
          <w:p>
            <w:pPr>
              <w:ind w:left="100"/>
              <w:spacing w:after="0" w:line="95" w:lineRule="exact"/>
              <w:rPr>
                <w:sz w:val="20"/>
                <w:szCs w:val="20"/>
                <w:color w:val="auto"/>
              </w:rPr>
            </w:pPr>
            <w:r>
              <w:rPr>
                <w:rFonts w:ascii="Arial" w:cs="Arial" w:eastAsia="Arial" w:hAnsi="Arial"/>
                <w:sz w:val="10"/>
                <w:szCs w:val="10"/>
                <w:color w:val="auto"/>
              </w:rPr>
              <w:t>covered RSU or</w:t>
            </w: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Arial" w:cs="Arial" w:eastAsia="Arial" w:hAnsi="Arial"/>
                <w:sz w:val="18"/>
                <w:szCs w:val="18"/>
                <w:color w:val="auto"/>
              </w:rPr>
              <w:t>Solid Waste Operations)</w:t>
            </w:r>
          </w:p>
        </w:tc>
        <w:tc>
          <w:tcPr>
            <w:tcW w:w="1400" w:type="dxa"/>
            <w:vAlign w:val="bottom"/>
          </w:tcPr>
          <w:p>
            <w:pPr>
              <w:spacing w:after="0"/>
              <w:rPr>
                <w:sz w:val="19"/>
                <w:szCs w:val="19"/>
                <w:color w:val="auto"/>
              </w:rPr>
            </w:pPr>
          </w:p>
        </w:tc>
        <w:tc>
          <w:tcPr>
            <w:tcW w:w="2920" w:type="dxa"/>
            <w:vAlign w:val="bottom"/>
          </w:tcPr>
          <w:p>
            <w:pPr>
              <w:ind w:left="80"/>
              <w:spacing w:after="0"/>
              <w:rPr>
                <w:sz w:val="20"/>
                <w:szCs w:val="20"/>
                <w:color w:val="auto"/>
              </w:rPr>
            </w:pPr>
            <w:r>
              <w:rPr>
                <w:rFonts w:ascii="Arial" w:cs="Arial" w:eastAsia="Arial" w:hAnsi="Arial"/>
                <w:sz w:val="18"/>
                <w:szCs w:val="18"/>
                <w:color w:val="auto"/>
                <w:w w:val="97"/>
              </w:rPr>
              <w:t>awards that have or may be granted</w:t>
            </w:r>
          </w:p>
        </w:tc>
        <w:tc>
          <w:tcPr>
            <w:tcW w:w="1380" w:type="dxa"/>
            <w:vAlign w:val="bottom"/>
          </w:tcPr>
          <w:p>
            <w:pPr>
              <w:spacing w:after="0"/>
              <w:rPr>
                <w:sz w:val="19"/>
                <w:szCs w:val="19"/>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PSU</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Kevin J. Drohan</w:t>
            </w:r>
          </w:p>
        </w:tc>
        <w:tc>
          <w:tcPr>
            <w:tcW w:w="1400" w:type="dxa"/>
            <w:vAlign w:val="bottom"/>
            <w:shd w:val="clear" w:color="auto" w:fill="CCEEFF"/>
          </w:tcPr>
          <w:p>
            <w:pPr>
              <w:spacing w:after="0"/>
              <w:rPr>
                <w:sz w:val="15"/>
                <w:szCs w:val="15"/>
                <w:color w:val="auto"/>
              </w:rPr>
            </w:pPr>
          </w:p>
        </w:tc>
        <w:tc>
          <w:tcPr>
            <w:tcW w:w="29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Durable Rule 10b5-1 trading</w:t>
            </w:r>
          </w:p>
        </w:tc>
        <w:tc>
          <w:tcPr>
            <w:tcW w:w="1380" w:type="dxa"/>
            <w:vAlign w:val="bottom"/>
            <w:shd w:val="clear" w:color="auto" w:fill="CCEEFF"/>
          </w:tcPr>
          <w:p>
            <w:pPr>
              <w:spacing w:after="0"/>
              <w:rPr>
                <w:sz w:val="15"/>
                <w:szCs w:val="15"/>
                <w:color w:val="auto"/>
              </w:rPr>
            </w:pPr>
          </w:p>
        </w:tc>
        <w:tc>
          <w:tcPr>
            <w:tcW w:w="15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Until final</w:t>
            </w: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360" w:type="dxa"/>
            <w:vAlign w:val="bottom"/>
            <w:vMerge w:val="continue"/>
            <w:shd w:val="clear" w:color="auto" w:fill="CCEEFF"/>
          </w:tcPr>
          <w:p>
            <w:pPr>
              <w:spacing w:after="0"/>
              <w:rPr>
                <w:sz w:val="7"/>
                <w:szCs w:val="7"/>
                <w:color w:val="auto"/>
              </w:rPr>
            </w:pPr>
          </w:p>
        </w:tc>
        <w:tc>
          <w:tcPr>
            <w:tcW w:w="1400" w:type="dxa"/>
            <w:vAlign w:val="bottom"/>
            <w:vMerge w:val="restart"/>
            <w:shd w:val="clear" w:color="auto" w:fill="CCEEFF"/>
          </w:tcPr>
          <w:p>
            <w:pPr>
              <w:jc w:val="center"/>
              <w:ind w:left="9"/>
              <w:spacing w:after="0"/>
              <w:rPr>
                <w:sz w:val="20"/>
                <w:szCs w:val="20"/>
                <w:color w:val="auto"/>
              </w:rPr>
            </w:pPr>
            <w:r>
              <w:rPr>
                <w:rFonts w:ascii="Arial" w:cs="Arial" w:eastAsia="Arial" w:hAnsi="Arial"/>
                <w:sz w:val="18"/>
                <w:szCs w:val="18"/>
                <w:color w:val="auto"/>
                <w:w w:val="95"/>
              </w:rPr>
              <w:t>Adoption</w:t>
            </w:r>
          </w:p>
        </w:tc>
        <w:tc>
          <w:tcPr>
            <w:tcW w:w="29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arrangement for sell-to-cover</w:t>
            </w:r>
          </w:p>
        </w:tc>
        <w:tc>
          <w:tcPr>
            <w:tcW w:w="1380" w:type="dxa"/>
            <w:vAlign w:val="bottom"/>
            <w:shd w:val="clear" w:color="auto" w:fill="CCEEFF"/>
          </w:tcPr>
          <w:p>
            <w:pPr>
              <w:spacing w:after="0"/>
              <w:rPr>
                <w:sz w:val="7"/>
                <w:szCs w:val="7"/>
                <w:color w:val="auto"/>
              </w:rPr>
            </w:pPr>
          </w:p>
        </w:tc>
        <w:tc>
          <w:tcPr>
            <w:tcW w:w="15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settlement of any</w:t>
            </w:r>
          </w:p>
        </w:tc>
        <w:tc>
          <w:tcPr>
            <w:tcW w:w="1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(Vice President and Chief</w:t>
            </w:r>
          </w:p>
        </w:tc>
        <w:tc>
          <w:tcPr>
            <w:tcW w:w="1400" w:type="dxa"/>
            <w:vAlign w:val="bottom"/>
            <w:vMerge w:val="continue"/>
            <w:shd w:val="clear" w:color="auto" w:fill="CCEEFF"/>
          </w:tcPr>
          <w:p>
            <w:pPr>
              <w:spacing w:after="0"/>
              <w:rPr>
                <w:sz w:val="16"/>
                <w:szCs w:val="16"/>
                <w:color w:val="auto"/>
              </w:rPr>
            </w:pPr>
          </w:p>
        </w:tc>
        <w:tc>
          <w:tcPr>
            <w:tcW w:w="2920" w:type="dxa"/>
            <w:vAlign w:val="bottom"/>
            <w:vMerge w:val="continue"/>
            <w:shd w:val="clear" w:color="auto" w:fill="CCEEFF"/>
          </w:tcPr>
          <w:p>
            <w:pPr>
              <w:spacing w:after="0"/>
              <w:rPr>
                <w:sz w:val="16"/>
                <w:szCs w:val="16"/>
                <w:color w:val="auto"/>
              </w:rPr>
            </w:pP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Sale</w:t>
            </w:r>
          </w:p>
        </w:tc>
        <w:tc>
          <w:tcPr>
            <w:tcW w:w="1520" w:type="dxa"/>
            <w:vAlign w:val="bottom"/>
            <w:vMerge w:val="continue"/>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4"/>
              </w:rPr>
              <w:t>Indeterminable</w:t>
            </w:r>
            <w:r>
              <w:rPr>
                <w:rFonts w:ascii="Arial" w:cs="Arial" w:eastAsia="Arial" w:hAnsi="Arial"/>
                <w:sz w:val="21"/>
                <w:szCs w:val="21"/>
                <w:color w:val="auto"/>
                <w:w w:val="94"/>
                <w:vertAlign w:val="superscript"/>
              </w:rPr>
              <w:t>(1)</w:t>
            </w:r>
          </w:p>
        </w:tc>
        <w:tc>
          <w:tcPr>
            <w:tcW w:w="0" w:type="dxa"/>
            <w:vAlign w:val="bottom"/>
          </w:tcPr>
          <w:p>
            <w:pPr>
              <w:spacing w:after="0"/>
              <w:rPr>
                <w:sz w:val="1"/>
                <w:szCs w:val="1"/>
                <w:color w:val="auto"/>
              </w:rPr>
            </w:pPr>
          </w:p>
        </w:tc>
      </w:tr>
      <w:tr>
        <w:trPr>
          <w:trHeight w:val="94"/>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Accounting Officer)</w:t>
            </w:r>
          </w:p>
        </w:tc>
        <w:tc>
          <w:tcPr>
            <w:tcW w:w="1400" w:type="dxa"/>
            <w:vAlign w:val="bottom"/>
            <w:shd w:val="clear" w:color="auto" w:fill="CCEEFF"/>
          </w:tcPr>
          <w:p>
            <w:pPr>
              <w:jc w:val="center"/>
              <w:spacing w:after="0" w:line="95" w:lineRule="exact"/>
              <w:rPr>
                <w:sz w:val="20"/>
                <w:szCs w:val="20"/>
                <w:color w:val="auto"/>
              </w:rPr>
            </w:pPr>
            <w:r>
              <w:rPr>
                <w:rFonts w:ascii="Arial" w:cs="Arial" w:eastAsia="Arial" w:hAnsi="Arial"/>
                <w:sz w:val="10"/>
                <w:szCs w:val="10"/>
                <w:color w:val="auto"/>
              </w:rPr>
              <w:t>(08/02/2023)</w:t>
            </w:r>
          </w:p>
        </w:tc>
        <w:tc>
          <w:tcPr>
            <w:tcW w:w="2920" w:type="dxa"/>
            <w:vAlign w:val="bottom"/>
            <w:shd w:val="clear" w:color="auto" w:fill="CCEEFF"/>
          </w:tcPr>
          <w:p>
            <w:pPr>
              <w:ind w:left="80"/>
              <w:spacing w:after="0" w:line="95" w:lineRule="exact"/>
              <w:rPr>
                <w:sz w:val="20"/>
                <w:szCs w:val="20"/>
                <w:color w:val="auto"/>
              </w:rPr>
            </w:pPr>
            <w:r>
              <w:rPr>
                <w:rFonts w:ascii="Arial" w:cs="Arial" w:eastAsia="Arial" w:hAnsi="Arial"/>
                <w:sz w:val="10"/>
                <w:szCs w:val="10"/>
                <w:color w:val="auto"/>
              </w:rPr>
              <w:t>transactions relating to certain equity</w:t>
            </w:r>
          </w:p>
        </w:tc>
        <w:tc>
          <w:tcPr>
            <w:tcW w:w="1380" w:type="dxa"/>
            <w:vAlign w:val="bottom"/>
            <w:shd w:val="clear" w:color="auto" w:fill="CCEEFF"/>
          </w:tcPr>
          <w:p>
            <w:pPr>
              <w:spacing w:after="0"/>
              <w:rPr>
                <w:sz w:val="8"/>
                <w:szCs w:val="8"/>
                <w:color w:val="auto"/>
              </w:rPr>
            </w:pPr>
          </w:p>
        </w:tc>
        <w:tc>
          <w:tcPr>
            <w:tcW w:w="1520" w:type="dxa"/>
            <w:vAlign w:val="bottom"/>
            <w:shd w:val="clear" w:color="auto" w:fill="CCEEFF"/>
          </w:tcPr>
          <w:p>
            <w:pPr>
              <w:ind w:left="100"/>
              <w:spacing w:after="0" w:line="95" w:lineRule="exact"/>
              <w:rPr>
                <w:sz w:val="20"/>
                <w:szCs w:val="20"/>
                <w:color w:val="auto"/>
              </w:rPr>
            </w:pPr>
            <w:r>
              <w:rPr>
                <w:rFonts w:ascii="Arial" w:cs="Arial" w:eastAsia="Arial" w:hAnsi="Arial"/>
                <w:sz w:val="10"/>
                <w:szCs w:val="10"/>
                <w:color w:val="auto"/>
              </w:rPr>
              <w:t>covered RSU or</w:t>
            </w:r>
          </w:p>
        </w:tc>
        <w:tc>
          <w:tcPr>
            <w:tcW w:w="1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60" w:type="dxa"/>
            <w:vAlign w:val="bottom"/>
            <w:vMerge w:val="continue"/>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9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97"/>
              </w:rPr>
              <w:t>awards that have or may be granted</w:t>
            </w:r>
          </w:p>
        </w:tc>
        <w:tc>
          <w:tcPr>
            <w:tcW w:w="13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PSU</w:t>
            </w:r>
          </w:p>
        </w:tc>
        <w:tc>
          <w:tcPr>
            <w:tcW w:w="1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6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920" w:type="dxa"/>
            <w:vAlign w:val="bottom"/>
            <w:vMerge w:val="continue"/>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Paul J. Ligon</w:t>
            </w:r>
          </w:p>
        </w:tc>
        <w:tc>
          <w:tcPr>
            <w:tcW w:w="1400" w:type="dxa"/>
            <w:vAlign w:val="bottom"/>
          </w:tcPr>
          <w:p>
            <w:pPr>
              <w:spacing w:after="0"/>
              <w:rPr>
                <w:sz w:val="15"/>
                <w:szCs w:val="15"/>
                <w:color w:val="auto"/>
              </w:rPr>
            </w:pPr>
          </w:p>
        </w:tc>
        <w:tc>
          <w:tcPr>
            <w:tcW w:w="2920" w:type="dxa"/>
            <w:vAlign w:val="bottom"/>
          </w:tcPr>
          <w:p>
            <w:pPr>
              <w:ind w:left="80"/>
              <w:spacing w:after="0" w:line="176" w:lineRule="exact"/>
              <w:rPr>
                <w:sz w:val="20"/>
                <w:szCs w:val="20"/>
                <w:color w:val="auto"/>
              </w:rPr>
            </w:pPr>
            <w:r>
              <w:rPr>
                <w:rFonts w:ascii="Arial" w:cs="Arial" w:eastAsia="Arial" w:hAnsi="Arial"/>
                <w:sz w:val="18"/>
                <w:szCs w:val="18"/>
                <w:color w:val="auto"/>
              </w:rPr>
              <w:t>Durable Rule 10b5-1 trading</w:t>
            </w:r>
          </w:p>
        </w:tc>
        <w:tc>
          <w:tcPr>
            <w:tcW w:w="1380" w:type="dxa"/>
            <w:vAlign w:val="bottom"/>
          </w:tcPr>
          <w:p>
            <w:pPr>
              <w:spacing w:after="0"/>
              <w:rPr>
                <w:sz w:val="15"/>
                <w:szCs w:val="15"/>
                <w:color w:val="auto"/>
              </w:rPr>
            </w:pPr>
          </w:p>
        </w:tc>
        <w:tc>
          <w:tcPr>
            <w:tcW w:w="1520" w:type="dxa"/>
            <w:vAlign w:val="bottom"/>
          </w:tcPr>
          <w:p>
            <w:pPr>
              <w:ind w:left="100"/>
              <w:spacing w:after="0" w:line="176" w:lineRule="exact"/>
              <w:rPr>
                <w:sz w:val="20"/>
                <w:szCs w:val="20"/>
                <w:color w:val="auto"/>
              </w:rPr>
            </w:pPr>
            <w:r>
              <w:rPr>
                <w:rFonts w:ascii="Arial" w:cs="Arial" w:eastAsia="Arial" w:hAnsi="Arial"/>
                <w:sz w:val="18"/>
                <w:szCs w:val="18"/>
                <w:color w:val="auto"/>
              </w:rPr>
              <w:t>Until final</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360" w:type="dxa"/>
            <w:vAlign w:val="bottom"/>
            <w:vMerge w:val="continue"/>
          </w:tcPr>
          <w:p>
            <w:pPr>
              <w:spacing w:after="0"/>
              <w:rPr>
                <w:sz w:val="7"/>
                <w:szCs w:val="7"/>
                <w:color w:val="auto"/>
              </w:rPr>
            </w:pPr>
          </w:p>
        </w:tc>
        <w:tc>
          <w:tcPr>
            <w:tcW w:w="1400" w:type="dxa"/>
            <w:vAlign w:val="bottom"/>
            <w:vMerge w:val="restart"/>
          </w:tcPr>
          <w:p>
            <w:pPr>
              <w:jc w:val="center"/>
              <w:ind w:left="9"/>
              <w:spacing w:after="0"/>
              <w:rPr>
                <w:sz w:val="20"/>
                <w:szCs w:val="20"/>
                <w:color w:val="auto"/>
              </w:rPr>
            </w:pPr>
            <w:r>
              <w:rPr>
                <w:rFonts w:ascii="Arial" w:cs="Arial" w:eastAsia="Arial" w:hAnsi="Arial"/>
                <w:sz w:val="18"/>
                <w:szCs w:val="18"/>
                <w:color w:val="auto"/>
                <w:w w:val="95"/>
              </w:rPr>
              <w:t>Adoption</w:t>
            </w:r>
          </w:p>
        </w:tc>
        <w:tc>
          <w:tcPr>
            <w:tcW w:w="2920" w:type="dxa"/>
            <w:vAlign w:val="bottom"/>
            <w:vMerge w:val="restart"/>
          </w:tcPr>
          <w:p>
            <w:pPr>
              <w:ind w:left="80"/>
              <w:spacing w:after="0"/>
              <w:rPr>
                <w:sz w:val="20"/>
                <w:szCs w:val="20"/>
                <w:color w:val="auto"/>
              </w:rPr>
            </w:pPr>
            <w:r>
              <w:rPr>
                <w:rFonts w:ascii="Arial" w:cs="Arial" w:eastAsia="Arial" w:hAnsi="Arial"/>
                <w:sz w:val="18"/>
                <w:szCs w:val="18"/>
                <w:color w:val="auto"/>
              </w:rPr>
              <w:t>arrangement for sell-to-cover</w:t>
            </w:r>
          </w:p>
        </w:tc>
        <w:tc>
          <w:tcPr>
            <w:tcW w:w="1380" w:type="dxa"/>
            <w:vAlign w:val="bottom"/>
          </w:tcPr>
          <w:p>
            <w:pPr>
              <w:spacing w:after="0"/>
              <w:rPr>
                <w:sz w:val="7"/>
                <w:szCs w:val="7"/>
                <w:color w:val="auto"/>
              </w:rPr>
            </w:pPr>
          </w:p>
        </w:tc>
        <w:tc>
          <w:tcPr>
            <w:tcW w:w="1520" w:type="dxa"/>
            <w:vAlign w:val="bottom"/>
            <w:vMerge w:val="restart"/>
          </w:tcPr>
          <w:p>
            <w:pPr>
              <w:ind w:left="100"/>
              <w:spacing w:after="0"/>
              <w:rPr>
                <w:sz w:val="20"/>
                <w:szCs w:val="20"/>
                <w:color w:val="auto"/>
              </w:rPr>
            </w:pPr>
            <w:r>
              <w:rPr>
                <w:rFonts w:ascii="Arial" w:cs="Arial" w:eastAsia="Arial" w:hAnsi="Arial"/>
                <w:sz w:val="18"/>
                <w:szCs w:val="18"/>
                <w:color w:val="auto"/>
              </w:rPr>
              <w:t>settlement of any</w:t>
            </w: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20"/>
              <w:spacing w:after="0" w:line="189" w:lineRule="exact"/>
              <w:rPr>
                <w:sz w:val="20"/>
                <w:szCs w:val="20"/>
                <w:color w:val="auto"/>
              </w:rPr>
            </w:pPr>
            <w:r>
              <w:rPr>
                <w:rFonts w:ascii="Arial" w:cs="Arial" w:eastAsia="Arial" w:hAnsi="Arial"/>
                <w:sz w:val="18"/>
                <w:szCs w:val="18"/>
                <w:color w:val="auto"/>
              </w:rPr>
              <w:t>(Senior Vice President</w:t>
            </w:r>
          </w:p>
        </w:tc>
        <w:tc>
          <w:tcPr>
            <w:tcW w:w="1400" w:type="dxa"/>
            <w:vAlign w:val="bottom"/>
            <w:vMerge w:val="continue"/>
          </w:tcPr>
          <w:p>
            <w:pPr>
              <w:spacing w:after="0"/>
              <w:rPr>
                <w:sz w:val="16"/>
                <w:szCs w:val="16"/>
                <w:color w:val="auto"/>
              </w:rPr>
            </w:pPr>
          </w:p>
        </w:tc>
        <w:tc>
          <w:tcPr>
            <w:tcW w:w="2920" w:type="dxa"/>
            <w:vAlign w:val="bottom"/>
            <w:vMerge w:val="continue"/>
          </w:tcPr>
          <w:p>
            <w:pPr>
              <w:spacing w:after="0"/>
              <w:rPr>
                <w:sz w:val="16"/>
                <w:szCs w:val="16"/>
                <w:color w:val="auto"/>
              </w:rPr>
            </w:pPr>
          </w:p>
        </w:tc>
        <w:tc>
          <w:tcPr>
            <w:tcW w:w="1380" w:type="dxa"/>
            <w:vAlign w:val="bottom"/>
          </w:tcPr>
          <w:p>
            <w:pPr>
              <w:jc w:val="center"/>
              <w:spacing w:after="0" w:line="189" w:lineRule="exact"/>
              <w:rPr>
                <w:sz w:val="20"/>
                <w:szCs w:val="20"/>
                <w:color w:val="auto"/>
              </w:rPr>
            </w:pPr>
            <w:r>
              <w:rPr>
                <w:rFonts w:ascii="Arial" w:cs="Arial" w:eastAsia="Arial" w:hAnsi="Arial"/>
                <w:sz w:val="18"/>
                <w:szCs w:val="18"/>
                <w:color w:val="auto"/>
                <w:w w:val="88"/>
              </w:rPr>
              <w:t>Sale</w:t>
            </w:r>
          </w:p>
        </w:tc>
        <w:tc>
          <w:tcPr>
            <w:tcW w:w="1520" w:type="dxa"/>
            <w:vAlign w:val="bottom"/>
            <w:vMerge w:val="continue"/>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17"/>
                <w:szCs w:val="17"/>
                <w:color w:val="auto"/>
                <w:w w:val="94"/>
              </w:rPr>
              <w:t>Indeterminable</w:t>
            </w:r>
            <w:r>
              <w:rPr>
                <w:rFonts w:ascii="Arial" w:cs="Arial" w:eastAsia="Arial" w:hAnsi="Arial"/>
                <w:sz w:val="21"/>
                <w:szCs w:val="21"/>
                <w:color w:val="auto"/>
                <w:w w:val="94"/>
                <w:vertAlign w:val="superscript"/>
              </w:rPr>
              <w:t>(1)</w:t>
            </w:r>
          </w:p>
        </w:tc>
        <w:tc>
          <w:tcPr>
            <w:tcW w:w="0" w:type="dxa"/>
            <w:vAlign w:val="bottom"/>
          </w:tcPr>
          <w:p>
            <w:pPr>
              <w:spacing w:after="0"/>
              <w:rPr>
                <w:sz w:val="1"/>
                <w:szCs w:val="1"/>
                <w:color w:val="auto"/>
              </w:rPr>
            </w:pPr>
          </w:p>
        </w:tc>
      </w:tr>
      <w:tr>
        <w:trPr>
          <w:trHeight w:val="95"/>
        </w:trPr>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Sustainable Growth)</w:t>
            </w:r>
          </w:p>
        </w:tc>
        <w:tc>
          <w:tcPr>
            <w:tcW w:w="1400" w:type="dxa"/>
            <w:vAlign w:val="bottom"/>
          </w:tcPr>
          <w:p>
            <w:pPr>
              <w:jc w:val="center"/>
              <w:spacing w:after="0" w:line="95" w:lineRule="exact"/>
              <w:rPr>
                <w:sz w:val="20"/>
                <w:szCs w:val="20"/>
                <w:color w:val="auto"/>
              </w:rPr>
            </w:pPr>
            <w:r>
              <w:rPr>
                <w:rFonts w:ascii="Arial" w:cs="Arial" w:eastAsia="Arial" w:hAnsi="Arial"/>
                <w:sz w:val="10"/>
                <w:szCs w:val="10"/>
                <w:color w:val="auto"/>
              </w:rPr>
              <w:t>(08/02/2023)</w:t>
            </w:r>
          </w:p>
        </w:tc>
        <w:tc>
          <w:tcPr>
            <w:tcW w:w="2920" w:type="dxa"/>
            <w:vAlign w:val="bottom"/>
          </w:tcPr>
          <w:p>
            <w:pPr>
              <w:ind w:left="80"/>
              <w:spacing w:after="0" w:line="95" w:lineRule="exact"/>
              <w:rPr>
                <w:sz w:val="20"/>
                <w:szCs w:val="20"/>
                <w:color w:val="auto"/>
              </w:rPr>
            </w:pPr>
            <w:r>
              <w:rPr>
                <w:rFonts w:ascii="Arial" w:cs="Arial" w:eastAsia="Arial" w:hAnsi="Arial"/>
                <w:sz w:val="10"/>
                <w:szCs w:val="10"/>
                <w:color w:val="auto"/>
              </w:rPr>
              <w:t>transactions relating to certain equity</w:t>
            </w:r>
          </w:p>
        </w:tc>
        <w:tc>
          <w:tcPr>
            <w:tcW w:w="1380" w:type="dxa"/>
            <w:vAlign w:val="bottom"/>
          </w:tcPr>
          <w:p>
            <w:pPr>
              <w:spacing w:after="0"/>
              <w:rPr>
                <w:sz w:val="8"/>
                <w:szCs w:val="8"/>
                <w:color w:val="auto"/>
              </w:rPr>
            </w:pPr>
          </w:p>
        </w:tc>
        <w:tc>
          <w:tcPr>
            <w:tcW w:w="1520" w:type="dxa"/>
            <w:vAlign w:val="bottom"/>
          </w:tcPr>
          <w:p>
            <w:pPr>
              <w:ind w:left="100"/>
              <w:spacing w:after="0" w:line="95" w:lineRule="exact"/>
              <w:rPr>
                <w:sz w:val="20"/>
                <w:szCs w:val="20"/>
                <w:color w:val="auto"/>
              </w:rPr>
            </w:pPr>
            <w:r>
              <w:rPr>
                <w:rFonts w:ascii="Arial" w:cs="Arial" w:eastAsia="Arial" w:hAnsi="Arial"/>
                <w:sz w:val="10"/>
                <w:szCs w:val="10"/>
                <w:color w:val="auto"/>
              </w:rPr>
              <w:t>covered RSU or</w:t>
            </w: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6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2920" w:type="dxa"/>
            <w:vAlign w:val="bottom"/>
            <w:vMerge w:val="restart"/>
          </w:tcPr>
          <w:p>
            <w:pPr>
              <w:ind w:left="80"/>
              <w:spacing w:after="0"/>
              <w:rPr>
                <w:sz w:val="20"/>
                <w:szCs w:val="20"/>
                <w:color w:val="auto"/>
              </w:rPr>
            </w:pPr>
            <w:r>
              <w:rPr>
                <w:rFonts w:ascii="Arial" w:cs="Arial" w:eastAsia="Arial" w:hAnsi="Arial"/>
                <w:sz w:val="18"/>
                <w:szCs w:val="18"/>
                <w:color w:val="auto"/>
                <w:w w:val="97"/>
              </w:rPr>
              <w:t>awards that have or may be granted</w:t>
            </w:r>
          </w:p>
        </w:tc>
        <w:tc>
          <w:tcPr>
            <w:tcW w:w="1380" w:type="dxa"/>
            <w:vAlign w:val="bottom"/>
          </w:tcPr>
          <w:p>
            <w:pPr>
              <w:spacing w:after="0"/>
              <w:rPr>
                <w:sz w:val="11"/>
                <w:szCs w:val="11"/>
                <w:color w:val="auto"/>
              </w:rPr>
            </w:pPr>
          </w:p>
        </w:tc>
        <w:tc>
          <w:tcPr>
            <w:tcW w:w="1520" w:type="dxa"/>
            <w:vAlign w:val="bottom"/>
            <w:vMerge w:val="restart"/>
          </w:tcPr>
          <w:p>
            <w:pPr>
              <w:ind w:left="100"/>
              <w:spacing w:after="0"/>
              <w:rPr>
                <w:sz w:val="20"/>
                <w:szCs w:val="20"/>
                <w:color w:val="auto"/>
              </w:rPr>
            </w:pPr>
            <w:r>
              <w:rPr>
                <w:rFonts w:ascii="Arial" w:cs="Arial" w:eastAsia="Arial" w:hAnsi="Arial"/>
                <w:sz w:val="18"/>
                <w:szCs w:val="18"/>
                <w:color w:val="auto"/>
              </w:rPr>
              <w:t>PSU</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92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9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Durable Rule 10b5-1 trading</w:t>
            </w:r>
          </w:p>
        </w:tc>
        <w:tc>
          <w:tcPr>
            <w:tcW w:w="1380" w:type="dxa"/>
            <w:vAlign w:val="bottom"/>
            <w:shd w:val="clear" w:color="auto" w:fill="CCEEFF"/>
          </w:tcPr>
          <w:p>
            <w:pPr>
              <w:spacing w:after="0"/>
              <w:rPr>
                <w:sz w:val="15"/>
                <w:szCs w:val="15"/>
                <w:color w:val="auto"/>
              </w:rPr>
            </w:pPr>
          </w:p>
        </w:tc>
        <w:tc>
          <w:tcPr>
            <w:tcW w:w="15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Until final</w:t>
            </w: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Douglas R. Casella</w:t>
            </w:r>
          </w:p>
        </w:tc>
        <w:tc>
          <w:tcPr>
            <w:tcW w:w="1400" w:type="dxa"/>
            <w:vAlign w:val="bottom"/>
            <w:shd w:val="clear" w:color="auto" w:fill="CCEEFF"/>
          </w:tcPr>
          <w:p>
            <w:pPr>
              <w:jc w:val="center"/>
              <w:ind w:left="9"/>
              <w:spacing w:after="0"/>
              <w:rPr>
                <w:sz w:val="20"/>
                <w:szCs w:val="20"/>
                <w:color w:val="auto"/>
              </w:rPr>
            </w:pPr>
            <w:r>
              <w:rPr>
                <w:rFonts w:ascii="Arial" w:cs="Arial" w:eastAsia="Arial" w:hAnsi="Arial"/>
                <w:sz w:val="18"/>
                <w:szCs w:val="18"/>
                <w:color w:val="auto"/>
                <w:w w:val="95"/>
              </w:rPr>
              <w:t>Adoption</w:t>
            </w:r>
          </w:p>
        </w:tc>
        <w:tc>
          <w:tcPr>
            <w:tcW w:w="2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arrangement for sell-to-cover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Sale</w:t>
            </w:r>
          </w:p>
        </w:tc>
        <w:tc>
          <w:tcPr>
            <w:tcW w:w="1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settlement of any</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Indeterminable</w:t>
            </w:r>
            <w:r>
              <w:rPr>
                <w:rFonts w:ascii="Arial" w:cs="Arial" w:eastAsia="Arial" w:hAnsi="Arial"/>
                <w:sz w:val="23"/>
                <w:szCs w:val="23"/>
                <w:color w:val="auto"/>
                <w:w w:val="88"/>
                <w:vertAlign w:val="superscript"/>
              </w:rPr>
              <w:t>(1)</w:t>
            </w:r>
          </w:p>
        </w:tc>
        <w:tc>
          <w:tcPr>
            <w:tcW w:w="0" w:type="dxa"/>
            <w:vAlign w:val="bottom"/>
          </w:tcPr>
          <w:p>
            <w:pPr>
              <w:spacing w:after="0"/>
              <w:rPr>
                <w:sz w:val="1"/>
                <w:szCs w:val="1"/>
                <w:color w:val="auto"/>
              </w:rPr>
            </w:pPr>
          </w:p>
        </w:tc>
      </w:tr>
      <w:tr>
        <w:trPr>
          <w:trHeight w:val="94"/>
        </w:trPr>
        <w:tc>
          <w:tcPr>
            <w:tcW w:w="2360" w:type="dxa"/>
            <w:vAlign w:val="bottom"/>
            <w:shd w:val="clear" w:color="auto" w:fill="CCEEFF"/>
          </w:tcPr>
          <w:p>
            <w:pPr>
              <w:ind w:left="20"/>
              <w:spacing w:after="0" w:line="95" w:lineRule="exact"/>
              <w:rPr>
                <w:sz w:val="20"/>
                <w:szCs w:val="20"/>
                <w:color w:val="auto"/>
              </w:rPr>
            </w:pPr>
            <w:r>
              <w:rPr>
                <w:rFonts w:ascii="Arial" w:cs="Arial" w:eastAsia="Arial" w:hAnsi="Arial"/>
                <w:sz w:val="10"/>
                <w:szCs w:val="10"/>
                <w:color w:val="auto"/>
              </w:rPr>
              <w:t>(Vice Chairman)</w:t>
            </w:r>
          </w:p>
        </w:tc>
        <w:tc>
          <w:tcPr>
            <w:tcW w:w="1400" w:type="dxa"/>
            <w:vAlign w:val="bottom"/>
            <w:shd w:val="clear" w:color="auto" w:fill="CCEEFF"/>
          </w:tcPr>
          <w:p>
            <w:pPr>
              <w:jc w:val="center"/>
              <w:spacing w:after="0" w:line="95" w:lineRule="exact"/>
              <w:rPr>
                <w:sz w:val="20"/>
                <w:szCs w:val="20"/>
                <w:color w:val="auto"/>
              </w:rPr>
            </w:pPr>
            <w:r>
              <w:rPr>
                <w:rFonts w:ascii="Arial" w:cs="Arial" w:eastAsia="Arial" w:hAnsi="Arial"/>
                <w:sz w:val="10"/>
                <w:szCs w:val="10"/>
                <w:color w:val="auto"/>
              </w:rPr>
              <w:t>(08/20/2023)</w:t>
            </w:r>
          </w:p>
        </w:tc>
        <w:tc>
          <w:tcPr>
            <w:tcW w:w="2920" w:type="dxa"/>
            <w:vAlign w:val="bottom"/>
            <w:shd w:val="clear" w:color="auto" w:fill="CCEEFF"/>
          </w:tcPr>
          <w:p>
            <w:pPr>
              <w:ind w:left="80"/>
              <w:spacing w:after="0" w:line="95" w:lineRule="exact"/>
              <w:rPr>
                <w:sz w:val="20"/>
                <w:szCs w:val="20"/>
                <w:color w:val="auto"/>
              </w:rPr>
            </w:pPr>
            <w:r>
              <w:rPr>
                <w:rFonts w:ascii="Arial" w:cs="Arial" w:eastAsia="Arial" w:hAnsi="Arial"/>
                <w:sz w:val="10"/>
                <w:szCs w:val="10"/>
                <w:color w:val="auto"/>
              </w:rPr>
              <w:t>transactions relating to certain equity</w:t>
            </w:r>
          </w:p>
        </w:tc>
        <w:tc>
          <w:tcPr>
            <w:tcW w:w="1380" w:type="dxa"/>
            <w:vAlign w:val="bottom"/>
            <w:shd w:val="clear" w:color="auto" w:fill="CCEEFF"/>
          </w:tcPr>
          <w:p>
            <w:pPr>
              <w:spacing w:after="0"/>
              <w:rPr>
                <w:sz w:val="8"/>
                <w:szCs w:val="8"/>
                <w:color w:val="auto"/>
              </w:rPr>
            </w:pPr>
          </w:p>
        </w:tc>
        <w:tc>
          <w:tcPr>
            <w:tcW w:w="1520" w:type="dxa"/>
            <w:vAlign w:val="bottom"/>
            <w:shd w:val="clear" w:color="auto" w:fill="CCEEFF"/>
          </w:tcPr>
          <w:p>
            <w:pPr>
              <w:ind w:left="100"/>
              <w:spacing w:after="0" w:line="95" w:lineRule="exact"/>
              <w:rPr>
                <w:sz w:val="20"/>
                <w:szCs w:val="20"/>
                <w:color w:val="auto"/>
              </w:rPr>
            </w:pPr>
            <w:r>
              <w:rPr>
                <w:rFonts w:ascii="Arial" w:cs="Arial" w:eastAsia="Arial" w:hAnsi="Arial"/>
                <w:sz w:val="10"/>
                <w:szCs w:val="10"/>
                <w:color w:val="auto"/>
              </w:rPr>
              <w:t>covered RSU or</w:t>
            </w:r>
          </w:p>
        </w:tc>
        <w:tc>
          <w:tcPr>
            <w:tcW w:w="1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9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awards that have or may be granted</w:t>
            </w:r>
          </w:p>
        </w:tc>
        <w:tc>
          <w:tcPr>
            <w:tcW w:w="1380" w:type="dxa"/>
            <w:vAlign w:val="bottom"/>
            <w:shd w:val="clear" w:color="auto" w:fill="CCEEFF"/>
          </w:tcPr>
          <w:p>
            <w:pPr>
              <w:spacing w:after="0"/>
              <w:rPr>
                <w:sz w:val="19"/>
                <w:szCs w:val="19"/>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PSU</w:t>
            </w: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20" w:hanging="652"/>
        <w:spacing w:after="0" w:line="293" w:lineRule="auto"/>
        <w:tabs>
          <w:tab w:leader="none" w:pos="65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number of shares subject to covered RSUs or PSUs that will be sold to satisfy applicable tax withholding obligations upon vesting is unknown as the number will vary based on the extent to which vesting conditions are satisfied, the market price of our common stock at the time of settlement and the potential future grant of additional RSUs or PSUs subject to this arrangement. This trading arrangement, which applies to RSUs or PSUs whether vesting is based on the passage of time and/or the achievement of performance goals, provides for the automatic sale of shares that would otherwise be issuable on each settlement date of a covered RSU or PSU in an amount sufficient to satisfy the applicable withholding obligation, with the proceeds of the sale delivered to us in satisfaction of the applicable withholding obligation.</w:t>
      </w:r>
    </w:p>
    <w:p>
      <w:pPr>
        <w:spacing w:after="0" w:line="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None of our directors or officers terminated a Rule 10b5-1 trading arrangement or adopted or terminated a non-Rule 10b5-1 trading arrangement (as defined in Item 408(c) of Regulation S-K) during the quarterly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3" w:name="page54"/>
    <w:bookmarkEnd w:id="53"/>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420" w:type="dxa"/>
            <w:vAlign w:val="bottom"/>
            <w:gridSpan w:val="8"/>
            <w:vMerge w:val="restart"/>
          </w:tcPr>
          <w:p>
            <w:pPr>
              <w:ind w:left="10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No.</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42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720" w:type="dxa"/>
            <w:vAlign w:val="bottom"/>
            <w:tcBorders>
              <w:top w:val="single" w:sz="8" w:color="auto"/>
              <w:bottom w:val="single" w:sz="8" w:color="0000FF"/>
            </w:tcBorders>
            <w:gridSpan w:val="7"/>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Amended and Restated Guaranty Agreement, dated as of August 1, 2023, by the guarantors named therein, in favor of U.S. Bank Trust</w:t>
              </w:r>
            </w:hyperlink>
          </w:p>
        </w:tc>
        <w:tc>
          <w:tcPr>
            <w:tcW w:w="30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10"/>
          </w:tcPr>
          <w:p>
            <w:pPr>
              <w:spacing w:after="0" w:line="15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Company, National Association, as trustee (incorporated herein by reference to Exhibit 4.2 to the Current Report on Form 8-K of Casella</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as filed on August 24, 2023 (file no. 000-23211)).</w:t>
              </w:r>
            </w:hyperlink>
          </w:p>
        </w:tc>
        <w:tc>
          <w:tcPr>
            <w:tcW w:w="6280" w:type="dxa"/>
            <w:vAlign w:val="bottom"/>
            <w:tcBorders>
              <w:top w:val="single" w:sz="8" w:color="0000FF"/>
            </w:tcBorders>
            <w:gridSpan w:val="7"/>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60" w:type="dxa"/>
            <w:vAlign w:val="bottom"/>
          </w:tcPr>
          <w:p>
            <w:pPr>
              <w:jc w:val="center"/>
              <w:spacing w:after="0"/>
              <w:rPr>
                <w:sz w:val="20"/>
                <w:szCs w:val="20"/>
                <w:color w:val="auto"/>
              </w:rPr>
            </w:pPr>
            <w:r>
              <w:rPr>
                <w:rFonts w:ascii="Arial" w:cs="Arial" w:eastAsia="Arial" w:hAnsi="Arial"/>
                <w:sz w:val="18"/>
                <w:szCs w:val="18"/>
                <w:color w:val="auto"/>
                <w:w w:val="90"/>
              </w:rPr>
              <w:t>10.2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0000FF"/>
              </w:rPr>
              <w:t>Employment Agreement between Casella Waste Systems, Inc. and Bradford J. Helgeson dated as of October 31, 2023.</w:t>
            </w:r>
          </w:p>
        </w:tc>
        <w:tc>
          <w:tcPr>
            <w:tcW w:w="0" w:type="dxa"/>
            <w:vAlign w:val="bottom"/>
          </w:tcPr>
          <w:p>
            <w:pPr>
              <w:spacing w:after="0"/>
              <w:rPr>
                <w:sz w:val="1"/>
                <w:szCs w:val="1"/>
                <w:color w:val="auto"/>
              </w:rPr>
            </w:pPr>
          </w:p>
        </w:tc>
      </w:tr>
      <w:tr>
        <w:trPr>
          <w:trHeight w:val="264"/>
        </w:trPr>
        <w:tc>
          <w:tcPr>
            <w:tcW w:w="1060" w:type="dxa"/>
            <w:vAlign w:val="bottom"/>
          </w:tcPr>
          <w:p>
            <w:pPr>
              <w:jc w:val="center"/>
              <w:spacing w:after="0"/>
              <w:rPr>
                <w:sz w:val="20"/>
                <w:szCs w:val="20"/>
                <w:color w:val="auto"/>
              </w:rPr>
            </w:pPr>
            <w:r>
              <w:rPr>
                <w:rFonts w:ascii="Arial" w:cs="Arial" w:eastAsia="Arial" w:hAnsi="Arial"/>
                <w:sz w:val="18"/>
                <w:szCs w:val="18"/>
                <w:color w:val="auto"/>
                <w:w w:val="90"/>
              </w:rPr>
              <w:t>10.3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Offer Letter between Casella Waste Systems, Inc. and Bradford J. Helgeson dated as of October 31, 2023.</w:t>
            </w:r>
          </w:p>
        </w:tc>
        <w:tc>
          <w:tcPr>
            <w:tcW w:w="14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jc w:val="center"/>
              <w:spacing w:after="0"/>
              <w:rPr>
                <w:sz w:val="20"/>
                <w:szCs w:val="20"/>
                <w:color w:val="auto"/>
              </w:rPr>
            </w:pPr>
            <w:r>
              <w:rPr>
                <w:rFonts w:ascii="Arial" w:cs="Arial" w:eastAsia="Arial" w:hAnsi="Arial"/>
                <w:sz w:val="18"/>
                <w:szCs w:val="18"/>
                <w:color w:val="auto"/>
                <w:w w:val="90"/>
              </w:rPr>
              <w:t>31.1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0000FF"/>
              </w:rPr>
              <w:t>Certification of John W. Casella, Principal Executive Officer, pursuant to Section 302 of the Sarbanes – Oxley Act of 2002.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9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jc w:val="center"/>
              <w:spacing w:after="0"/>
              <w:rPr>
                <w:sz w:val="20"/>
                <w:szCs w:val="20"/>
                <w:color w:val="auto"/>
              </w:rPr>
            </w:pPr>
            <w:r>
              <w:rPr>
                <w:rFonts w:ascii="Arial" w:cs="Arial" w:eastAsia="Arial" w:hAnsi="Arial"/>
                <w:sz w:val="18"/>
                <w:szCs w:val="18"/>
                <w:color w:val="auto"/>
                <w:w w:val="90"/>
              </w:rPr>
              <w:t>31.2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0000FF"/>
              </w:rPr>
              <w:t>Certification of Edmond R. Coletta, Principal Financial Officer, pursuant to Section 302 of the Sarbanes – Oxley Act of 2002.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140" w:type="dxa"/>
            <w:vAlign w:val="bottom"/>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jc w:val="center"/>
              <w:spacing w:after="0"/>
              <w:rPr>
                <w:sz w:val="20"/>
                <w:szCs w:val="20"/>
                <w:color w:val="auto"/>
              </w:rPr>
            </w:pPr>
            <w:r>
              <w:rPr>
                <w:rFonts w:ascii="Arial" w:cs="Arial" w:eastAsia="Arial" w:hAnsi="Arial"/>
                <w:sz w:val="18"/>
                <w:szCs w:val="18"/>
                <w:color w:val="auto"/>
                <w:w w:val="91"/>
              </w:rPr>
              <w:t>32.1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0000FF"/>
                <w:w w:val="93"/>
              </w:rPr>
              <w:t>Certification of Chief Executive Officer pursuant to 18 U.S.C. Section 1350, as adopted pursuant to Section 906 of the Sarbanes- Oxley</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3"/>
              </w:rPr>
              <w:t>Act of 2002.</w:t>
            </w:r>
          </w:p>
        </w:tc>
        <w:tc>
          <w:tcPr>
            <w:tcW w:w="8860" w:type="dxa"/>
            <w:vAlign w:val="bottom"/>
            <w:tcBorders>
              <w:top w:val="single" w:sz="8" w:color="0000FF"/>
            </w:tcBorders>
            <w:gridSpan w:val="7"/>
          </w:tcPr>
          <w:p>
            <w:pPr>
              <w:spacing w:after="0"/>
              <w:rPr>
                <w:sz w:val="13"/>
                <w:szCs w:val="13"/>
                <w:color w:val="auto"/>
              </w:rPr>
            </w:pPr>
          </w:p>
        </w:tc>
        <w:tc>
          <w:tcPr>
            <w:tcW w:w="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center"/>
              <w:spacing w:after="0"/>
              <w:rPr>
                <w:sz w:val="20"/>
                <w:szCs w:val="20"/>
                <w:color w:val="auto"/>
              </w:rPr>
            </w:pPr>
            <w:r>
              <w:rPr>
                <w:rFonts w:ascii="Arial" w:cs="Arial" w:eastAsia="Arial" w:hAnsi="Arial"/>
                <w:sz w:val="18"/>
                <w:szCs w:val="18"/>
                <w:color w:val="auto"/>
                <w:w w:val="91"/>
              </w:rPr>
              <w:t>32.2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0000FF"/>
                <w:w w:val="93"/>
              </w:rPr>
              <w:t>Certification of Chief Financial Officer pursuant to 18 U.S.C. Section 1350, as adopted pursuant to Section 906 of the Sarbanes- Oxley</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3"/>
              </w:rPr>
              <w:t>Act of 2002.</w:t>
            </w:r>
          </w:p>
        </w:tc>
        <w:tc>
          <w:tcPr>
            <w:tcW w:w="8800" w:type="dxa"/>
            <w:vAlign w:val="bottom"/>
            <w:tcBorders>
              <w:top w:val="single" w:sz="8" w:color="0000FF"/>
            </w:tcBorders>
            <w:gridSpan w:val="6"/>
          </w:tcPr>
          <w:p>
            <w:pPr>
              <w:spacing w:after="0"/>
              <w:rPr>
                <w:sz w:val="13"/>
                <w:szCs w:val="13"/>
                <w:color w:val="auto"/>
              </w:rPr>
            </w:pPr>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2"/>
                <w:szCs w:val="22"/>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auto"/>
                <w:w w:val="98"/>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96"/>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4"/>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06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auto"/>
                <w:w w:val="93"/>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200" w:right="40" w:hanging="742"/>
        <w:spacing w:after="0" w:line="244" w:lineRule="auto"/>
        <w:tabs>
          <w:tab w:leader="none" w:pos="12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Submitted Electronically Herewith. Attached as Exhibit 101 to this report are the following formatted in inline XBRL (Extensible Business Reporting Language): (i) Consolidated Balance Sheets as of September 30, 2023 and December 31, 2022, (ii) Consolidated Statements of Operations for the three and nine months ended September 30, 2023 and 2022, (iii) Consolidated Statements of Comprehensive Income for the three and nine months ended September 30, 2023 and 2022, (iv) Consolidated Statements of Stockholders’ Equity for the three and nine months ended September 30, 2023 and 2022, (v) Consolidated Statements of Cash Flows for the nine months ended September 30, 2023 and 2022, and (vi) Notes to Consolidated Financial Statements.</w:t>
      </w:r>
    </w:p>
    <w:p>
      <w:pPr>
        <w:spacing w:after="0" w:line="12" w:lineRule="exact"/>
        <w:rPr>
          <w:sz w:val="20"/>
          <w:szCs w:val="20"/>
          <w:color w:val="auto"/>
        </w:rPr>
      </w:pPr>
    </w:p>
    <w:p>
      <w:pPr>
        <w:ind w:left="1200" w:hanging="703"/>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00" w:hanging="753"/>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499"/>
        </w:trPr>
        <w:tc>
          <w:tcPr>
            <w:tcW w:w="3700" w:type="dxa"/>
            <w:vAlign w:val="bottom"/>
          </w:tcPr>
          <w:p>
            <w:pPr>
              <w:spacing w:after="0"/>
              <w:rPr>
                <w:sz w:val="20"/>
                <w:szCs w:val="20"/>
                <w:color w:val="auto"/>
              </w:rPr>
            </w:pPr>
            <w:r>
              <w:rPr>
                <w:rFonts w:ascii="Arial" w:cs="Arial" w:eastAsia="Arial" w:hAnsi="Arial"/>
                <w:sz w:val="18"/>
                <w:szCs w:val="18"/>
                <w:color w:val="auto"/>
              </w:rPr>
              <w:t>Date: November 2, 2023</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Kevin Drohan</w:t>
            </w:r>
          </w:p>
        </w:tc>
      </w:tr>
      <w:tr>
        <w:trPr>
          <w:trHeight w:val="222"/>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Kevin Drohan</w:t>
            </w:r>
          </w:p>
        </w:tc>
      </w:tr>
      <w:tr>
        <w:trPr>
          <w:trHeight w:val="229"/>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499"/>
        </w:trPr>
        <w:tc>
          <w:tcPr>
            <w:tcW w:w="3700" w:type="dxa"/>
            <w:vAlign w:val="bottom"/>
          </w:tcPr>
          <w:p>
            <w:pPr>
              <w:spacing w:after="0"/>
              <w:rPr>
                <w:sz w:val="20"/>
                <w:szCs w:val="20"/>
                <w:color w:val="auto"/>
              </w:rPr>
            </w:pPr>
            <w:r>
              <w:rPr>
                <w:rFonts w:ascii="Arial" w:cs="Arial" w:eastAsia="Arial" w:hAnsi="Arial"/>
                <w:sz w:val="18"/>
                <w:szCs w:val="18"/>
                <w:color w:val="auto"/>
              </w:rPr>
              <w:t>Date: November 2, 2023</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30"/>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1107"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18"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9"/>
          <w:szCs w:val="19"/>
          <w:color w:val="auto"/>
        </w:rPr>
        <w:t xml:space="preserve">THIS EMPLOYMENT AGREEMENT, dated as of the </w:t>
      </w:r>
      <w:r>
        <w:rPr>
          <w:rFonts w:ascii="Arial" w:cs="Arial" w:eastAsia="Arial" w:hAnsi="Arial"/>
          <w:sz w:val="19"/>
          <w:szCs w:val="19"/>
          <w:u w:val="single" w:color="auto"/>
          <w:color w:val="auto"/>
        </w:rPr>
        <w:t>31st</w:t>
      </w:r>
      <w:r>
        <w:rPr>
          <w:rFonts w:ascii="Arial" w:cs="Arial" w:eastAsia="Arial" w:hAnsi="Arial"/>
          <w:sz w:val="19"/>
          <w:szCs w:val="19"/>
          <w:color w:val="auto"/>
        </w:rPr>
        <w:t xml:space="preserve"> day of October, 2023 (the “Agreement”), is made by and between Casella Waste Systems, Inc., a Delaware corporation with an address of 25 Greens Hill Lane, Rutland, Vermont 05701 (“Company”), and Bradford J. Helgeson an individual and a resident of Basking Ridge, New Jersey (“Employee”).</w:t>
      </w:r>
    </w:p>
    <w:p>
      <w:pPr>
        <w:spacing w:after="0" w:line="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Company is in the business of providing solid waste management, disposal, resource recovery and recycling services and related businesses; and</w:t>
      </w:r>
    </w:p>
    <w:p>
      <w:pPr>
        <w:spacing w:after="0" w:line="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Company and Employee are mutually desirous that Company continue to employ Employee, and Employee accepts such continued employment, upon the terms and conditions hereinafter set forth.</w:t>
      </w:r>
    </w:p>
    <w:p>
      <w:pPr>
        <w:spacing w:after="0" w:line="8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in consideration of the foregoing and of the respective covenants and agreements of the parties herein contained, Company and Employee, intending to be legally bound, do hereby agree as follows:</w:t>
      </w:r>
    </w:p>
    <w:p>
      <w:pPr>
        <w:spacing w:after="0" w:line="6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w:t>
      </w:r>
    </w:p>
    <w:p>
      <w:pPr>
        <w:spacing w:after="0" w:line="11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1.1 During the Agreement Term (as defined below), Employee is the Executive Vice President and Chief Financial Officer (or such other and comparable titles and positions as shall be given Employee by the Chief Executive Officer or President of Company) and shall faithfully perform for Company the duties of said office. Employee shall have such corporate power and authority as are necessary to perform the duties of such office and any other office(s) that are so assigned to him. Employee shall report to the President of the Company. Employee shall devote substantially all of his business time and effort to the performance of his duties hereunder, shall use all reasonable efforts to advance the best interests of Company and shall not engage in outside business activities which materially interfere with the performance of his duties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subject to Sections 5 and 6 below, nothing in this Agreement shall preclude Employee from devoting reasonable periods required for participating in professional, educational, philanthropic, public interest, charitable, social or community activities.</w:t>
      </w:r>
    </w:p>
    <w:p>
      <w:pPr>
        <w:spacing w:after="0" w:line="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duties to be performed by Employee hereunder shall be performed primarily in the Company’s Home Office, subject to reasonable travel requirements on behalf of Company.</w:t>
      </w:r>
    </w:p>
    <w:p>
      <w:pPr>
        <w:spacing w:after="0" w:line="67" w:lineRule="exact"/>
        <w:rPr>
          <w:sz w:val="20"/>
          <w:szCs w:val="20"/>
          <w:color w:val="auto"/>
        </w:rPr>
      </w:pPr>
    </w:p>
    <w:p>
      <w:pPr>
        <w:jc w:val="both"/>
        <w:ind w:firstLine="8"/>
        <w:spacing w:after="0" w:line="249" w:lineRule="auto"/>
        <w:tabs>
          <w:tab w:leader="none" w:pos="64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Agreement Term</w:t>
      </w:r>
      <w:r>
        <w:rPr>
          <w:rFonts w:ascii="Arial" w:cs="Arial" w:eastAsia="Arial" w:hAnsi="Arial"/>
          <w:sz w:val="22"/>
          <w:szCs w:val="22"/>
          <w:color w:val="auto"/>
        </w:rPr>
        <w:t>. Company hereby employs Employee, and Employee hereby accepts such employment, for an initial term (“Initial Term”) commencing November 6, 2023, and ending on the first anniversary of such date, unless sooner terminated in accordance with the provisions of Section 4. The term of this Agreement shall be automatically extended for an additional year at the expiration of the Initial Term or any succeeding term (such Initial Term and any succeeding terms being hereinafter referred to as “Agreement Term”), unless terminated by Company or Employee pursuant to the terms of Section 4 of this Agreement.</w:t>
      </w:r>
    </w:p>
    <w:p>
      <w:pPr>
        <w:spacing w:after="0" w:line="85" w:lineRule="exact"/>
        <w:rPr>
          <w:rFonts w:ascii="Arial" w:cs="Arial" w:eastAsia="Arial" w:hAnsi="Arial"/>
          <w:sz w:val="22"/>
          <w:szCs w:val="22"/>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Compensation and Expenses</w:t>
      </w:r>
      <w:r>
        <w:rPr>
          <w:rFonts w:ascii="Arial" w:cs="Arial" w:eastAsia="Arial" w:hAnsi="Arial"/>
          <w:sz w:val="22"/>
          <w:szCs w:val="22"/>
          <w:color w:val="auto"/>
        </w:rPr>
        <w:t>.</w:t>
      </w:r>
    </w:p>
    <w:p>
      <w:pPr>
        <w:spacing w:after="0" w:line="112"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Base Salary</w:t>
      </w:r>
      <w:r>
        <w:rPr>
          <w:rFonts w:ascii="Arial" w:cs="Arial" w:eastAsia="Arial" w:hAnsi="Arial"/>
          <w:sz w:val="22"/>
          <w:szCs w:val="22"/>
          <w:color w:val="auto"/>
        </w:rPr>
        <w:t>. Subject to the next sentence of this Section 3.1.1, Employee shall be compensated at the annual rate of Four Hundred Fifty Thousand Dollars ($450,000) (“Base</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Salary”), payable on a bi-weekly basis in accordance with Company’s standard payroll procedures. The Base Salary will be subject to annual reviews in accordance with Company policy. Such reviews shall form the basis for any increase in Base Salary.</w:t>
      </w:r>
    </w:p>
    <w:p>
      <w:pPr>
        <w:jc w:val="both"/>
        <w:ind w:firstLine="648"/>
        <w:spacing w:after="0" w:line="249"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Incentive Compensation</w:t>
      </w:r>
      <w:r>
        <w:rPr>
          <w:rFonts w:ascii="Arial" w:cs="Arial" w:eastAsia="Arial" w:hAnsi="Arial"/>
          <w:sz w:val="22"/>
          <w:szCs w:val="22"/>
          <w:color w:val="auto"/>
        </w:rPr>
        <w:t>. In addition to the Base Salary, on an annual basis, subject to annual reviews in accordance with Company policy, and also subject to the overall performance of Company, Employee shall be eligible but not guaranteed to receive a bonus (“Bonus”) consisting of (i) a cash bonus of up to eighty five percent (85%) of Employee’s Base Salary, (ii) issuance of additional stock options, restricted stock units (“RSUs”) or performance-based units (“PSUs”) of Company or (iii) a combination of both cash and stock options, RSUs or PSUs in an amount to be determined after the conclusion of each fiscal year of Company during the Agreement Term in the sole discretion of the Compensation Committee of the Board (the “Compensation Committee”). Should a cash Bonus be payable to Employee, it is expected that it will be payable no later than 2½ months after the end of the later of the Employer’s fiscal year or Employee’s taxable year during which the Bonus was earned.</w:t>
      </w:r>
    </w:p>
    <w:p>
      <w:pPr>
        <w:spacing w:after="0" w:line="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Business Expenses</w:t>
      </w:r>
      <w:r>
        <w:rPr>
          <w:rFonts w:ascii="Arial" w:cs="Arial" w:eastAsia="Arial" w:hAnsi="Arial"/>
          <w:sz w:val="22"/>
          <w:szCs w:val="22"/>
          <w:color w:val="auto"/>
        </w:rPr>
        <w:t>. Upon submission of appropriate invoices or vouchers, Company shall pay or reimburse Employee for all reasonable and necessary expenses actually incurred or paid by him during the Agreement Term in the performance of his duties hereunder.</w:t>
      </w:r>
    </w:p>
    <w:p>
      <w:pPr>
        <w:spacing w:after="0" w:line="9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Participation in Benefit Plans</w:t>
      </w:r>
      <w:r>
        <w:rPr>
          <w:rFonts w:ascii="Arial" w:cs="Arial" w:eastAsia="Arial" w:hAnsi="Arial"/>
          <w:sz w:val="19"/>
          <w:szCs w:val="19"/>
          <w:color w:val="auto"/>
        </w:rPr>
        <w:t>. Subject to each plan’s Employee eligibility and contribution requirement, Employee shall be entitled to continue to participate in any health benefit or other employee benefit plans available to Company’s senior executives as in effect from time to time, including, without limitation, any qualified or non-qualified pension, profit sharing and savings plans, any death and disability benefit plans, any medical, dental, health and welfare plans and any stock purchase programs, on terms and conditions at least as favorable as provided to other senior executives of Company, to the extent that he may be eligible to do so under the applicable provisions of any such plan and applicable law. Following the termination of Employee hereunder or the expiration of the Severance Benefit Term (as defined in Section 4.4.1(e)), Employee and his eligible dependents shall be eligible for health care continuation under the Consolidated Omnibus Reconciliation Act of 1985 (“COBRA”) to the extent authorized by law and at Employee’s own cost.</w:t>
      </w:r>
    </w:p>
    <w:p>
      <w:pPr>
        <w:spacing w:after="0" w:line="4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Vacation</w:t>
      </w:r>
      <w:r>
        <w:rPr>
          <w:rFonts w:ascii="Arial" w:cs="Arial" w:eastAsia="Arial" w:hAnsi="Arial"/>
          <w:sz w:val="22"/>
          <w:szCs w:val="22"/>
          <w:color w:val="auto"/>
        </w:rPr>
        <w:t>. Employee shall be entitled to annual paid time off in accordance with the Company Employee Handbook and the standard Company holidays. Company shall have no obligation to pay Employee for any unused vacation, except as provided in the Company Employee Handbook and by applicable law.</w:t>
      </w:r>
    </w:p>
    <w:p>
      <w:pPr>
        <w:spacing w:after="0" w:line="72"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Fringe Benefits and Perquisites</w:t>
      </w:r>
      <w:r>
        <w:rPr>
          <w:rFonts w:ascii="Arial" w:cs="Arial" w:eastAsia="Arial" w:hAnsi="Arial"/>
          <w:sz w:val="19"/>
          <w:szCs w:val="19"/>
          <w:color w:val="auto"/>
        </w:rPr>
        <w:t>. Employee shall be entitled to any fringe benefits and perquisites that are generally made available to senior executives of Company from time to time and that are approved by the Compensation Committee.</w:t>
      </w:r>
    </w:p>
    <w:p>
      <w:pPr>
        <w:ind w:left="660" w:hanging="652"/>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Employee’s employment hereunder may be terminated only under the following circumstances:</w:t>
      </w:r>
    </w:p>
    <w:p>
      <w:pPr>
        <w:spacing w:after="0" w:line="112"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hereunder shall terminate upon his death, in which event Company shall pay to Employee’s written designee or, if he has no written designee, to his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spouse or, if he leaves no spouse and has no written designee, to his estate, (i) Severance payable in a lump sum within sixty (60) days of the date of Employee’s death, (ii) the Acceleration Payment, payable in a lump sum within sixty (60) days of the date of Employee’s death, and (iii) all reasonable expenses actually incurred or paid by Employee in the performance of his duties hereunder prior to the date of death.</w:t>
      </w:r>
    </w:p>
    <w:p>
      <w:pPr>
        <w:spacing w:after="0" w:line="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Disability</w:t>
      </w:r>
      <w:r>
        <w:rPr>
          <w:rFonts w:ascii="Arial" w:cs="Arial" w:eastAsia="Arial" w:hAnsi="Arial"/>
          <w:sz w:val="19"/>
          <w:szCs w:val="19"/>
          <w:color w:val="auto"/>
        </w:rPr>
        <w:t>. Company may terminate Employee’s employment hereunder if (i) as a result of Employee’s incapacity due to physical or mental illness, Employee shall have been absent from his duties hereunder on a full-time basis for an aggregate of one hundred eighty (180) consecutive or non-consecutive business days in any twelve (12) consecutive-month period and (ii) within ten (10) days after written notice of termination hereunder is given by Company, Employee shall not have returned to the performance of his duties hereunder on a full-time basis. The determination of incapacity or disability under the preceding sentence shall be made in good faith by Company based upon information supplied by a physician selected by Company or its insurers and reasonably acceptable to Employee or his legal representative. During any period that Employee fails to perform his duties hereunder as a result of incapacity due to physical or mental illness (the “Disability Period”), Employee shall continue to receive his full Base Salary hereunder until his employment is terminated pursuant to this Section 4.2, provided that amounts payable to Employee shall be reduced by the sum of the amounts, if any, paid to Employee during the Disability Period under any disability benefit plans of Company. If Employee is terminated pursuant to this Section 4.2, Company shall pay to Employee (or his legal representative): (i) Severance, payable as described in Section 4.4.1(c), (ii) the Acceleration Payment, payable as described in Section 4.4.1(a), (iii) Severance Benefits for the Severance Benefit Term, and (iv) all reasonable expenses actually incurred or paid by Employee in the performance of his duties hereunder prior to the date of termination due to disability.</w:t>
      </w:r>
    </w:p>
    <w:p>
      <w:pPr>
        <w:spacing w:after="0" w:line="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Termination by Company</w:t>
      </w:r>
      <w:r>
        <w:rPr>
          <w:rFonts w:ascii="Arial" w:cs="Arial" w:eastAsia="Arial" w:hAnsi="Arial"/>
          <w:sz w:val="19"/>
          <w:szCs w:val="19"/>
          <w:color w:val="auto"/>
        </w:rPr>
        <w:t>.</w:t>
      </w:r>
    </w:p>
    <w:p>
      <w:pPr>
        <w:spacing w:after="0" w:line="1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4.3.1 </w:t>
      </w: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Company shall have “Cause” to terminate Employee’s employment hereunder upon Employee (A) being convicted of a crime involving Company (other than pursuant to actions taken at the direction or with the approval of the Board), (B) having engaged in (1) willful misconduct which has a material adverse effect on Company, (2) willful or gross neglect or behavior which has a material adverse effect on Company, (3) fraud, (4) misappropriation or (5) embezzlement in the performance of his duties hereunder, or (C) having breached in any material respect the material terms and provisions of this Agreement and failed to cure such breach within fifteen (15) days following written notice from Company specifying such breach. In the event Employee’s employment is terminated by Company for “Cause”, Employee shall be entitled to continue to receive Base Salary accrued but unpaid and expenses incurred but not repaid to Employee, in each case only until the effective date of such termination.</w:t>
      </w:r>
    </w:p>
    <w:p>
      <w:pPr>
        <w:spacing w:after="0" w:line="4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1"/>
          <w:szCs w:val="21"/>
          <w:color w:val="auto"/>
        </w:rPr>
        <w:t xml:space="preserve">4.3.2 </w:t>
      </w:r>
      <w:r>
        <w:rPr>
          <w:rFonts w:ascii="Arial" w:cs="Arial" w:eastAsia="Arial" w:hAnsi="Arial"/>
          <w:sz w:val="21"/>
          <w:szCs w:val="21"/>
          <w:u w:val="single" w:color="auto"/>
          <w:color w:val="auto"/>
        </w:rPr>
        <w:t>Termination by Company other than for Cause</w:t>
      </w:r>
      <w:r>
        <w:rPr>
          <w:rFonts w:ascii="Arial" w:cs="Arial" w:eastAsia="Arial" w:hAnsi="Arial"/>
          <w:sz w:val="21"/>
          <w:szCs w:val="21"/>
          <w:color w:val="auto"/>
        </w:rPr>
        <w:t>. In the event Employee’s employment is terminated by Company other than for Cause, Employee shall be entitled to (i) Severance, payable as described in Section 4.4.1(c), (ii) the Acceleration Payment, payable as described in Section 4.4.1(a), (iii) Severance Benefits for the Severance Benefit Term, and (iv) the accelerated vesting at the time of termination of any stock options, RSUs or other equity grants (with respect to which payment, if any, also shall be made upon such vesting) issued by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58" w:name="page59"/>
    <w:bookmarkEnd w:id="58"/>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to Employee, provided that the accelerated vesting will only accelerate payment under clause (iv) where permitted by Section 409A (as defined below).</w:t>
      </w:r>
    </w:p>
    <w:p>
      <w:pPr>
        <w:spacing w:after="0" w:line="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Termination by Employee</w:t>
      </w:r>
      <w:r>
        <w:rPr>
          <w:rFonts w:ascii="Arial" w:cs="Arial" w:eastAsia="Arial" w:hAnsi="Arial"/>
          <w:sz w:val="19"/>
          <w:szCs w:val="19"/>
          <w:color w:val="auto"/>
        </w:rPr>
        <w:t>.</w:t>
      </w:r>
    </w:p>
    <w:p>
      <w:pPr>
        <w:spacing w:after="0" w:line="1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4.4.1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terms shall have the respective meanings set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94" w:lineRule="exact"/>
        <w:rPr>
          <w:sz w:val="20"/>
          <w:szCs w:val="20"/>
          <w:color w:val="auto"/>
        </w:rPr>
      </w:pPr>
    </w:p>
    <w:p>
      <w:pPr>
        <w:jc w:val="both"/>
        <w:ind w:firstLine="1952"/>
        <w:spacing w:after="0" w:line="260" w:lineRule="auto"/>
        <w:tabs>
          <w:tab w:leader="none" w:pos="2643" w:val="left"/>
        </w:tabs>
        <w:numPr>
          <w:ilvl w:val="0"/>
          <w:numId w:val="4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Acceleration Payment</w:t>
      </w:r>
      <w:r>
        <w:rPr>
          <w:rFonts w:ascii="Arial" w:cs="Arial" w:eastAsia="Arial" w:hAnsi="Arial"/>
          <w:sz w:val="21"/>
          <w:szCs w:val="21"/>
          <w:color w:val="auto"/>
        </w:rPr>
        <w:t>” means an amount in cash equal to the value of (i) any Base Salary accrued but unpaid prior to the date of termination, (ii) any Bonus relating to the prior fiscal year which, as of the date of termination, had been determined by Company pursuant to Section 3.2 but not yet paid prior to the date of termination and (iii) any vacation accrued but unused prior to the date of termination. The Acceleration Payment due under (i) shall be payable in a lump sum immediately upon Employee’s termination, and the Acceleration Payment due under (ii) and (iii) (the “Contingent AP Amounts”) shall be payable in a lump sum within sixty (60) days of the date of Employee’s termination, subject, in the case of the contingent AP Amounts only, to Sections 11 and 20. The Acceleration Payment due under (i) is not “deferred compensation” within the meaning of Section 409A (as defined below) and the Contingent AP Amounts are intended to, and shall be construed to, fit within the short-term deferral exception in Section 409A.</w:t>
      </w:r>
    </w:p>
    <w:p>
      <w:pPr>
        <w:spacing w:after="0" w:line="89" w:lineRule="exact"/>
        <w:rPr>
          <w:rFonts w:ascii="Arial" w:cs="Arial" w:eastAsia="Arial" w:hAnsi="Arial"/>
          <w:sz w:val="21"/>
          <w:szCs w:val="21"/>
          <w:color w:val="auto"/>
        </w:rPr>
      </w:pPr>
    </w:p>
    <w:p>
      <w:pPr>
        <w:jc w:val="both"/>
        <w:ind w:firstLine="1952"/>
        <w:spacing w:after="0" w:line="248" w:lineRule="auto"/>
        <w:tabs>
          <w:tab w:leader="none" w:pos="2587"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 the occurrence of one or more of the following conditions: the assignment to Employee of any duties inconsistent with his status as Executive Vice President of the Company, a material adverse alteration in the nature or status of his responsibilities from those provided herein or the transfer of a significant portion of such responsibilities to one or more third persons, a material diminution in Employee’s base compensation, or a material change in the geographic location at which the employee must perform services for the Company; provided that Employee has given Company notice within ninety (90) days of the initial existence of the condition, Company has not remedied the condition within thirty (30) days after receiving such notice and Employee actually terminates within one hundred eighty (180) days of the initial existence of such condition.</w:t>
      </w:r>
    </w:p>
    <w:p>
      <w:pPr>
        <w:spacing w:after="0" w:line="82" w:lineRule="exact"/>
        <w:rPr>
          <w:rFonts w:ascii="Arial" w:cs="Arial" w:eastAsia="Arial" w:hAnsi="Arial"/>
          <w:sz w:val="22"/>
          <w:szCs w:val="22"/>
          <w:color w:val="auto"/>
        </w:rPr>
      </w:pPr>
    </w:p>
    <w:p>
      <w:pPr>
        <w:jc w:val="both"/>
        <w:ind w:firstLine="1952"/>
        <w:spacing w:after="0" w:line="290" w:lineRule="auto"/>
        <w:tabs>
          <w:tab w:leader="none" w:pos="2643" w:val="left"/>
        </w:tabs>
        <w:numPr>
          <w:ilvl w:val="0"/>
          <w:numId w:val="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Severance</w:t>
      </w:r>
      <w:r>
        <w:rPr>
          <w:rFonts w:ascii="Arial" w:cs="Arial" w:eastAsia="Arial" w:hAnsi="Arial"/>
          <w:sz w:val="19"/>
          <w:szCs w:val="19"/>
          <w:color w:val="auto"/>
        </w:rPr>
        <w:t>” means the sum of: (i) one (1) times the highest Base Salary that was paid to Employee at any time prior to termination by Employee for Good Reason or prior to when Employee’s employment is terminated by Company other than for “Cause” or by reason of Death or Disability; and (ii) one (1) times Employee’s target annual cash incentive compensation opportunity under the Company’s Non-Equity Incentive Plan (or such successor plan as may be in effect from time to time) for the fiscal year in which termination occurs. Severance due under (i) shall be paid bi-weekly in accordance with Company payroll procedures, commencing within sixty (60) days of Employee’s termination, and Severance due under (ii) shall be paid in a lump sum within sixty (60) days of the date of Employee’s termination, in all cases subject to Section 11 and, to the extent applicable, Section 20, and less applicable Employee payroll deductions. Severance payable under clause (i) is intended to, and shall be construed to, fit within the short-term deferral and separation pay exceptions to Section 409A to the maximum permissible extent and each installment payment thereof shall be treated as a separate payment. Severance payable under clause (ii) is intended to, and shall be construed to, fit within the short-term deferral exception to Section 409A.</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952"/>
        <w:spacing w:after="0" w:line="249" w:lineRule="auto"/>
        <w:tabs>
          <w:tab w:leader="none" w:pos="2587"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Benefits</w:t>
      </w:r>
      <w:r>
        <w:rPr>
          <w:rFonts w:ascii="Arial" w:cs="Arial" w:eastAsia="Arial" w:hAnsi="Arial"/>
          <w:sz w:val="22"/>
          <w:szCs w:val="22"/>
          <w:color w:val="auto"/>
        </w:rPr>
        <w:t>” means should Employee be eligible for and elect to receive continued group medical and dental insurance through COBRA, the Company and Employee shall each continue to pay their respective portions of the premiums for such benefits as would be applicable to active and similarly situated employees of the Company. The Severance Benefits are intended to, and shall be construed to, fit within the short-term deferral and separation pay exceptions to Section 409A to the maximum permissible extent and each installment thereof shall be treated as a separate payment for purposes of Section 409A.</w:t>
      </w:r>
    </w:p>
    <w:p>
      <w:pPr>
        <w:spacing w:after="0" w:line="85" w:lineRule="exact"/>
        <w:rPr>
          <w:rFonts w:ascii="Arial" w:cs="Arial" w:eastAsia="Arial" w:hAnsi="Arial"/>
          <w:sz w:val="22"/>
          <w:szCs w:val="22"/>
          <w:color w:val="auto"/>
        </w:rPr>
      </w:pPr>
    </w:p>
    <w:p>
      <w:pPr>
        <w:jc w:val="both"/>
        <w:ind w:firstLine="1952"/>
        <w:spacing w:after="0" w:line="251" w:lineRule="auto"/>
        <w:tabs>
          <w:tab w:leader="none" w:pos="2589"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Benefit Term</w:t>
      </w:r>
      <w:r>
        <w:rPr>
          <w:rFonts w:ascii="Arial" w:cs="Arial" w:eastAsia="Arial" w:hAnsi="Arial"/>
          <w:sz w:val="22"/>
          <w:szCs w:val="22"/>
          <w:color w:val="auto"/>
        </w:rPr>
        <w:t>” means one (1) year from the date Employee terminates his employment for Good Reason, or Employee’s employment is terminated by Company other than for Cause or by reason of Disability; provided however that Company’s obligation to provide Severance Benefits (i) shall terminate upon Employee becoming eligible for coverage under the medical benefits program of a subsequent employer and (ii) shall not be construed to extend any period of continuation coverage (e.g. COBRA) required by U.S. federal law.</w:t>
      </w:r>
    </w:p>
    <w:p>
      <w:pPr>
        <w:spacing w:after="0" w:line="81" w:lineRule="exact"/>
        <w:rPr>
          <w:rFonts w:ascii="Arial" w:cs="Arial" w:eastAsia="Arial" w:hAnsi="Arial"/>
          <w:sz w:val="22"/>
          <w:szCs w:val="22"/>
          <w:color w:val="auto"/>
        </w:rPr>
      </w:pPr>
    </w:p>
    <w:p>
      <w:pPr>
        <w:ind w:firstLine="1952"/>
        <w:spacing w:after="0" w:line="263" w:lineRule="auto"/>
        <w:tabs>
          <w:tab w:leader="none" w:pos="2592"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Internal Revenue Code of 1986, and the regulations issued thereunder, as each may be amended from time to time.</w:t>
      </w:r>
    </w:p>
    <w:p>
      <w:pPr>
        <w:spacing w:after="0" w:line="6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color w:val="auto"/>
        </w:rPr>
        <w:t xml:space="preserve">4.4.2 </w:t>
      </w:r>
      <w:r>
        <w:rPr>
          <w:rFonts w:ascii="Arial" w:cs="Arial" w:eastAsia="Arial" w:hAnsi="Arial"/>
          <w:sz w:val="19"/>
          <w:szCs w:val="19"/>
          <w:u w:val="single" w:color="auto"/>
          <w:color w:val="auto"/>
        </w:rPr>
        <w:t>Termination by Employee for Good Reason</w:t>
      </w:r>
      <w:r>
        <w:rPr>
          <w:rFonts w:ascii="Arial" w:cs="Arial" w:eastAsia="Arial" w:hAnsi="Arial"/>
          <w:sz w:val="19"/>
          <w:szCs w:val="19"/>
          <w:color w:val="auto"/>
        </w:rPr>
        <w:t xml:space="preserve">. At the election of Employee, Employee may terminate his employment for Good Reason immediately upon written notice to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Employee must make such election to terminate his employment for Good Reason within ninety (90) days of his becoming aware of the occurrence of such event that qualifies as Good Reason under Section 4.4.1(b) of this Agreement. If during the Agreement Term Employee’s employment is terminated by Employee for Good Reason, Employee shall be entitled to receive from Company (i) Severance, payable as described in Section 4.4.1(c), (ii) the Acceleration Payment, payable as described in Section 4.4.1(a), (iii) Severance Benefits for the Severance Benefit Term and (iv) the accelerated vesting at the time of termination of any stock options or other equity grants (such as RSUs, with respect to which payment also shall be made upon such vesting) issued by Company to Employee, provided that the accelerated vesting will only accelerate payment under clause (iv) where permitted by Section 409A.</w:t>
      </w:r>
    </w:p>
    <w:p>
      <w:pPr>
        <w:spacing w:after="0" w:line="4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4.4.3 </w:t>
      </w:r>
      <w:r>
        <w:rPr>
          <w:rFonts w:ascii="Arial" w:cs="Arial" w:eastAsia="Arial" w:hAnsi="Arial"/>
          <w:sz w:val="22"/>
          <w:szCs w:val="22"/>
          <w:u w:val="single" w:color="auto"/>
          <w:color w:val="auto"/>
        </w:rPr>
        <w:t>Termination by Employee for other than Good Reason</w:t>
      </w:r>
      <w:r>
        <w:rPr>
          <w:rFonts w:ascii="Arial" w:cs="Arial" w:eastAsia="Arial" w:hAnsi="Arial"/>
          <w:sz w:val="22"/>
          <w:szCs w:val="22"/>
          <w:color w:val="auto"/>
        </w:rPr>
        <w:t>. Upon forty five (45) days’ prior written notice, Employee may terminate his employment with Company other than for Good Reason. If Employee voluntarily terminates his employment with Company other than for Good Reason, no further payment shall be due Employee pursuant to Sections 3 or 4 (other than payments for accrued and unpaid Base Salary and expenses incurred but not previously paid to Employee, in each case prior to such termination), however the indemnification provisions pursuant to Section 10 hereof shall survive any termination of employment of Employee hereunder.</w:t>
      </w:r>
    </w:p>
    <w:p>
      <w:pPr>
        <w:spacing w:after="0" w:line="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Effect of Termination on Certain Obligations</w:t>
      </w:r>
      <w:r>
        <w:rPr>
          <w:rFonts w:ascii="Arial" w:cs="Arial" w:eastAsia="Arial" w:hAnsi="Arial"/>
          <w:sz w:val="22"/>
          <w:szCs w:val="22"/>
          <w:color w:val="auto"/>
        </w:rPr>
        <w:t>. No termination of the employment of Employee by either Company or Employee, whether for Good Reason or without Cause or for Cause, shall terminate, affect or impair any of the obligations or rights of the parties set forth in Sections 4, 5, 6, 7, 8, 10 and 21 of this Agreement, all of which obligations and rights shall survive any termination of employment of Employee hereunder.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8"/>
        <w:spacing w:after="0" w:line="288" w:lineRule="auto"/>
        <w:tabs>
          <w:tab w:leader="none" w:pos="648"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Covenant Not to Disclose Confidential Information</w:t>
      </w:r>
      <w:r>
        <w:rPr>
          <w:rFonts w:ascii="Arial" w:cs="Arial" w:eastAsia="Arial" w:hAnsi="Arial"/>
          <w:sz w:val="19"/>
          <w:szCs w:val="19"/>
          <w:color w:val="auto"/>
        </w:rPr>
        <w:t>. During the Agreement Term, and for a period of two (2) years thereafter, Employee acknowledges that during the course of his affiliation with Company he has or will have access to and knowledge of certain information and data which Company considers confidential and/or proprietary and the release of such information or data to unauthorized persons would be extremely detrimental to Company. As a consequence, Employee hereby agrees and acknowledges that he owes a duty to Company not to disclose, and agrees that without the prior written consent of Company, at any time, either during or after his employment with Company, he will not communicate, publish or disclose, to any person anywhere, or use, any Confidential Information (as hereinafter defined), except as may be necessary or appropriate to conduct his duties hereunder, provided Employee is acting in good faith and in the best interest of Company. Employee will use all reasonable efforts at all times to hold in confidence and to safeguard any Confidential Information from falling into the hands of any unauthorized person and, in particular, will not permit any Confidential Information to be read, duplicated or copied. Employee will return to Company all Confidential Information in Employee’s possession or under Employee’s control when the duties of Employee no longer require Employee’s possession thereof, or whenever Company shall so request, and in any event will promptly return all such Confidential Information if Employee’s employment with Company is terminated for any or no reason and will not retain any copies thereof. For purposes hereof, the term “Confidential Information” shall mean any information or data used by or belonging or relating to Company whether communication is verbal or in writing that is not known generally to the industry in which Company is or may be engaged, including without limitation, any and all trade secrets, proprietary data and information relating to Company’s business and products, intellectual property, patents, or copyrightable works, price list, customer lists, processes, procedures or standards, know-how, manuals, business strategies, records, drawings, specifications, designs, financial information, whether or not reduced to writing, or information or data which Company advises Employee should be treated as Confidential Information.</w:t>
      </w:r>
    </w:p>
    <w:p>
      <w:pPr>
        <w:spacing w:after="0" w:line="310" w:lineRule="exact"/>
        <w:rPr>
          <w:rFonts w:ascii="Arial" w:cs="Arial" w:eastAsia="Arial" w:hAnsi="Arial"/>
          <w:sz w:val="19"/>
          <w:szCs w:val="19"/>
          <w:color w:val="auto"/>
        </w:rPr>
      </w:pPr>
    </w:p>
    <w:p>
      <w:pPr>
        <w:jc w:val="both"/>
        <w:ind w:firstLine="8"/>
        <w:spacing w:after="0" w:line="294" w:lineRule="auto"/>
        <w:tabs>
          <w:tab w:leader="none" w:pos="648"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Covenant Not to Compete and Non-Solicitation and Non-Disparagement</w:t>
      </w:r>
      <w:r>
        <w:rPr>
          <w:rFonts w:ascii="Arial" w:cs="Arial" w:eastAsia="Arial" w:hAnsi="Arial"/>
          <w:sz w:val="19"/>
          <w:szCs w:val="19"/>
          <w:color w:val="auto"/>
        </w:rPr>
        <w:t>. Employee acknowledges that he, at the expense of Company, has been and will be specially trained in the business of Company, has established and will continue to establish favorable relations with the customers, clients and accounts of Company and will have access to trade secrets of Company. Therefore, in consideration of the compensation paid Employee hereunder, and of such training and relations and to further protect trade secrets, directly or indirectly, of Company, Employee agrees that during the term of his employment by Company, and for a period of one (1) year from and after the voluntary or involuntary termination of such employment for any or no reason, he will not, directly or indirectly, without the express written consent of Company:</w:t>
      </w:r>
    </w:p>
    <w:p>
      <w:pPr>
        <w:spacing w:after="0" w:line="43" w:lineRule="exact"/>
        <w:rPr>
          <w:rFonts w:ascii="Arial" w:cs="Arial" w:eastAsia="Arial" w:hAnsi="Arial"/>
          <w:sz w:val="19"/>
          <w:szCs w:val="19"/>
          <w:color w:val="auto"/>
        </w:rPr>
      </w:pPr>
    </w:p>
    <w:p>
      <w:pPr>
        <w:jc w:val="both"/>
        <w:ind w:firstLine="1952"/>
        <w:spacing w:after="0" w:line="292" w:lineRule="auto"/>
        <w:tabs>
          <w:tab w:leader="none" w:pos="2589" w:val="left"/>
        </w:tabs>
        <w:numPr>
          <w:ilvl w:val="1"/>
          <w:numId w:val="49"/>
        </w:numPr>
        <w:rPr>
          <w:rFonts w:ascii="Arial" w:cs="Arial" w:eastAsia="Arial" w:hAnsi="Arial"/>
          <w:sz w:val="19"/>
          <w:szCs w:val="19"/>
          <w:color w:val="auto"/>
        </w:rPr>
      </w:pPr>
      <w:r>
        <w:rPr>
          <w:rFonts w:ascii="Arial" w:cs="Arial" w:eastAsia="Arial" w:hAnsi="Arial"/>
          <w:sz w:val="19"/>
          <w:szCs w:val="19"/>
          <w:color w:val="auto"/>
        </w:rPr>
        <w:t>own or have any interest in or act as an officer, director, partner, principal, employee, agent, representative, consultant or independent contractor of, or in any way assist in, any business located in or doing business in the United States of America or Canada in any area within one hundred (100) miles of any facility of Company during the term of Employee’s employment, by Company, which is engaged, directly or indirectly, in (i) the solid waste processing, disposal and management business, (ii) the utilization of recyclable materials business or (iii) any other business Company is engaged in or proposes to engage in on the date this Agreement, or subsequently, at the date of termination of this Agreement, including, without limitation, businesses in the nature of, or relating to, sustainability programs pertaining to waste management and recycling, waste reduction, the creation of power or fuels out of waste, landfill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61" w:name="page62"/>
    <w:bookmarkEnd w:id="61"/>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gas to energy or gasification businesses, waste water treatment facilities (the businesses described in clauses (a)(i), (ii) and (iii) are collectively referred to as the “</w:t>
      </w:r>
      <w:r>
        <w:rPr>
          <w:rFonts w:ascii="Arial" w:cs="Arial" w:eastAsia="Arial" w:hAnsi="Arial"/>
          <w:sz w:val="19"/>
          <w:szCs w:val="19"/>
          <w:u w:val="single" w:color="auto"/>
          <w:color w:val="auto"/>
        </w:rPr>
        <w:t>Competitive Businesses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above, Employee may own, directly or indirectly, solely as an investment, securities of any such person which are traded on any national securities exchange or NASDAQ if Employee (A) is not a controlling person of, or a member of a group which controls, such person and</w:t>
      </w:r>
    </w:p>
    <w:p>
      <w:pPr>
        <w:spacing w:after="0" w:line="1"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does not, directly or indirectly, own 5% or more of any class of securities of such person;</w:t>
      </w:r>
    </w:p>
    <w:p>
      <w:pPr>
        <w:spacing w:after="0" w:line="93" w:lineRule="exact"/>
        <w:rPr>
          <w:rFonts w:ascii="Arial" w:cs="Arial" w:eastAsia="Arial" w:hAnsi="Arial"/>
          <w:sz w:val="22"/>
          <w:szCs w:val="22"/>
          <w:color w:val="auto"/>
        </w:rPr>
      </w:pPr>
    </w:p>
    <w:p>
      <w:pPr>
        <w:jc w:val="both"/>
        <w:ind w:firstLine="1952"/>
        <w:spacing w:after="0" w:line="253" w:lineRule="auto"/>
        <w:tabs>
          <w:tab w:leader="none" w:pos="2587" w:val="left"/>
        </w:tabs>
        <w:numPr>
          <w:ilvl w:val="1"/>
          <w:numId w:val="50"/>
        </w:numPr>
        <w:rPr>
          <w:rFonts w:ascii="Arial" w:cs="Arial" w:eastAsia="Arial" w:hAnsi="Arial"/>
          <w:sz w:val="22"/>
          <w:szCs w:val="22"/>
          <w:color w:val="auto"/>
        </w:rPr>
      </w:pPr>
      <w:r>
        <w:rPr>
          <w:rFonts w:ascii="Arial" w:cs="Arial" w:eastAsia="Arial" w:hAnsi="Arial"/>
          <w:sz w:val="22"/>
          <w:szCs w:val="22"/>
          <w:color w:val="auto"/>
        </w:rPr>
        <w:t>solicit clients, customers (who are or were customers of Company, or were prospects to be customers of Company, within the twelve (12) months prior to termination) or accounts of Company for, on behalf of or otherwise related to any such Competitive Businesses or any products related thereto; or</w:t>
      </w:r>
    </w:p>
    <w:p>
      <w:pPr>
        <w:spacing w:after="0" w:line="90" w:lineRule="exact"/>
        <w:rPr>
          <w:rFonts w:ascii="Arial" w:cs="Arial" w:eastAsia="Arial" w:hAnsi="Arial"/>
          <w:sz w:val="22"/>
          <w:szCs w:val="22"/>
          <w:color w:val="auto"/>
        </w:rPr>
      </w:pPr>
    </w:p>
    <w:p>
      <w:pPr>
        <w:ind w:firstLine="1952"/>
        <w:spacing w:after="0" w:line="263" w:lineRule="auto"/>
        <w:tabs>
          <w:tab w:leader="none" w:pos="2589" w:val="left"/>
        </w:tabs>
        <w:numPr>
          <w:ilvl w:val="1"/>
          <w:numId w:val="50"/>
        </w:numPr>
        <w:rPr>
          <w:rFonts w:ascii="Arial" w:cs="Arial" w:eastAsia="Arial" w:hAnsi="Arial"/>
          <w:sz w:val="22"/>
          <w:szCs w:val="22"/>
          <w:color w:val="auto"/>
        </w:rPr>
      </w:pPr>
      <w:r>
        <w:rPr>
          <w:rFonts w:ascii="Arial" w:cs="Arial" w:eastAsia="Arial" w:hAnsi="Arial"/>
          <w:sz w:val="22"/>
          <w:szCs w:val="22"/>
          <w:color w:val="auto"/>
        </w:rPr>
        <w:t>solicit, employ or in any manner influence or encourage any person who is or shall be in the employ or service of Company to leave such employ or service.</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Furthermore, the terms of this covenant not to compete shall be enforceable against Employee only to the extent that after termination of Employee’s employment, Company continues to pay Employee any and all Severance Benefits, Severance and the Acceleration Payment as required under Section 4 of this Agreement. Furthermore, if any court determines that the covenant not to compete, or any part thereof, is unenforceable because of the duration of such provision or the geographic area or scope covered thereby, such court shall have the power to reduce the duration, area or scope of such provisions and, in its reduced form, such provision shall then be enforceable and shall be enforced.</w:t>
      </w:r>
    </w:p>
    <w:p>
      <w:pPr>
        <w:spacing w:after="0" w:line="67" w:lineRule="exact"/>
        <w:rPr>
          <w:sz w:val="20"/>
          <w:szCs w:val="20"/>
          <w:color w:val="auto"/>
        </w:rPr>
      </w:pPr>
    </w:p>
    <w:p>
      <w:pPr>
        <w:jc w:val="both"/>
        <w:ind w:firstLine="8"/>
        <w:spacing w:after="0" w:line="266" w:lineRule="auto"/>
        <w:tabs>
          <w:tab w:leader="none" w:pos="648"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Assignment of Inventions and Work</w:t>
      </w:r>
      <w:r>
        <w:rPr>
          <w:rFonts w:ascii="Arial" w:cs="Arial" w:eastAsia="Arial" w:hAnsi="Arial"/>
          <w:sz w:val="21"/>
          <w:szCs w:val="21"/>
          <w:color w:val="auto"/>
        </w:rPr>
        <w:t>. Employee hereby agrees to disclose in writing to Company any Inventions or copyrightable Works, which are conceived, made, discovered, written or created by Employee, alone and/or in combination with others, during Employee’s employment with Company, and that Employee will, voluntarily and without additional consideration, assign Employee’s rights and title to such Inventions or Works to Company. This assignment of Inventions or Works relates only to Inventions or Works which are directly related to the businesses of Company.</w:t>
      </w:r>
    </w:p>
    <w:p>
      <w:pPr>
        <w:spacing w:after="0" w:line="65" w:lineRule="exact"/>
        <w:rPr>
          <w:rFonts w:ascii="Arial" w:cs="Arial" w:eastAsia="Arial" w:hAnsi="Arial"/>
          <w:sz w:val="21"/>
          <w:szCs w:val="21"/>
          <w:color w:val="auto"/>
        </w:rPr>
      </w:pPr>
    </w:p>
    <w:p>
      <w:pPr>
        <w:jc w:val="both"/>
        <w:ind w:firstLine="8"/>
        <w:spacing w:after="0" w:line="248" w:lineRule="auto"/>
        <w:tabs>
          <w:tab w:leader="none" w:pos="64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r>
        <w:rPr>
          <w:rFonts w:ascii="Arial" w:cs="Arial" w:eastAsia="Arial" w:hAnsi="Arial"/>
          <w:sz w:val="22"/>
          <w:szCs w:val="22"/>
          <w:color w:val="auto"/>
        </w:rPr>
        <w:t>. Recognizing that irreparable damage will result to Company in the event of the breach or threatened breach of any of the foregoing covenants and assurances by Employee contained in Sections 5, 6 or 7 hereof, and that Company’s remedies at law for any such breach or threatened breach will be inadequate, Company and its successors and assigns, in addition to such other remedies which may be available to them, shall be entitled to an injunction, including a mandatory injunction, to be issued by any court of competent jurisdiction ordering compliance with this Agreement or enjoining and restraining Employee, and each and every person, firm or company acting in concert or participation with him, from the continuation of such breach.</w:t>
      </w:r>
    </w:p>
    <w:p>
      <w:pPr>
        <w:spacing w:after="0" w:line="87" w:lineRule="exact"/>
        <w:rPr>
          <w:rFonts w:ascii="Arial" w:cs="Arial" w:eastAsia="Arial" w:hAnsi="Arial"/>
          <w:sz w:val="22"/>
          <w:szCs w:val="22"/>
          <w:color w:val="auto"/>
        </w:rPr>
      </w:pPr>
    </w:p>
    <w:p>
      <w:pPr>
        <w:jc w:val="both"/>
        <w:ind w:firstLine="8"/>
        <w:spacing w:after="0" w:line="254" w:lineRule="auto"/>
        <w:tabs>
          <w:tab w:leader="none" w:pos="64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Potential Unenforceability of Any Provision</w:t>
      </w:r>
      <w:r>
        <w:rPr>
          <w:rFonts w:ascii="Arial" w:cs="Arial" w:eastAsia="Arial" w:hAnsi="Arial"/>
          <w:sz w:val="22"/>
          <w:szCs w:val="22"/>
          <w:color w:val="auto"/>
        </w:rPr>
        <w:t>. Employee acknowledges and agrees that he has had an opportunity to seek advice of counsel in connection with this Agreement. If a final judicial determination is made that any provision of this Agreement is an unenforceable restriction against Employee or Company, the provisions hereof shall be rendered void only to the extent that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such judicial determination finds such provisions unenforceable, and such unenforceable provisions shall automatically be reconstituted and became a part of this Agreement, effective as of the date first written above, to the maximum extent in favor of Company (in the case of an Employee breach) or Employee (in the case of a Company breach) that is lawfully enforceable. A judicial determination that any provision of this Agreement is unenforceable shall in no instance render the entire Agreement unenforceable, but rather the Agreement will continue in full force and effect absent any unenforceable provision to the maximum extent permitted by law.</w:t>
      </w:r>
    </w:p>
    <w:p>
      <w:pPr>
        <w:spacing w:after="0" w:line="86" w:lineRule="exact"/>
        <w:rPr>
          <w:sz w:val="20"/>
          <w:szCs w:val="20"/>
          <w:color w:val="auto"/>
        </w:rPr>
      </w:pPr>
    </w:p>
    <w:p>
      <w:pPr>
        <w:jc w:val="both"/>
        <w:ind w:firstLine="8"/>
        <w:spacing w:after="0" w:line="287" w:lineRule="auto"/>
        <w:tabs>
          <w:tab w:leader="none" w:pos="648"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Company agrees that, except as limited by Company’s Certificate of Incorporation or By-Laws (as either or both may be amended from time to time), or applicable law, Company shall indemnify Employee (and promptly advance expenses as may be required) to the fullest extent permitted by applicable law in effect on the date hereof and to such greater extent as applicable law may thereafter from time to time permit. Employee shall be entitled to this indemnification if by reason of his employment or by any reason of anything done or not done by Employee in any such capacity he is or is threatened to be made, a party to any threatened, pending, or completed Proceeding (as defined herein). Employee will be indemnified to the full extent permitted by applicable law against expenses, judgments, penalties, fines and amounts paid in settlement including all interest assessments and other charges paid or payable in connection with or in respect of such expenses, judgments, fines, penalties or amounts paid in settlement) actually and reasonably incurred by him or on his behalf in connection with such Proceeding or any claim, issue or matter therein, if he acted in good faith and in a manner he reasonably believed to be in or not opposed to the best interests of Company, and, with respect to any criminal Proceeding, had no reasonable cause to believe his conduct was unlawful. “Proceeding” includes any threatened, pending, or completed claim, action, suit, arbitration, alternate dispute resolution mechanism, administrative hearing, appeal, inquiry or investigation, whether civil, criminal, administrative, arbitrative, investigative, or other (whether instituted by Company or any other party), or any inquiry or investigation that Employee in good faith believes might lead to the institution of any such action, suit or proceeding whether civil, criminal, administrative, investigative, or other, including any action, suit arbitration, alternate dispute resolution mechanism, administrative hearing, appeal, or any inquiry or investigation pending on or prior to the date hereof or initiated by Employee to enforce his rights under this indemnification section of this Agreement. This indemnification and the advancement of expenses shall include attorney’s fees and other reasonable expenses incurred by Employee pursuant to this clause. In the event that there is a potential conflict of interest between Employee and Company, Employee may select his own counsel (and still be entitled to the benefit of this indemnification). Employee must submit written requests for payment pursuant to the Section 10 within one hundred twenty (120) days after Employee incurs any expenses or other amounts under this Section 10. Payment or reimbursement shall be governed by Section 20. This indemnification clause shall survive the termination of this Agreement.</w:t>
      </w:r>
    </w:p>
    <w:p>
      <w:pPr>
        <w:spacing w:after="0" w:line="313" w:lineRule="exact"/>
        <w:rPr>
          <w:rFonts w:ascii="Arial" w:cs="Arial" w:eastAsia="Arial" w:hAnsi="Arial"/>
          <w:sz w:val="19"/>
          <w:szCs w:val="19"/>
          <w:color w:val="auto"/>
        </w:rPr>
      </w:pPr>
    </w:p>
    <w:p>
      <w:pPr>
        <w:jc w:val="both"/>
        <w:ind w:firstLine="8"/>
        <w:spacing w:after="0" w:line="264" w:lineRule="auto"/>
        <w:tabs>
          <w:tab w:leader="none" w:pos="64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General Release</w:t>
      </w:r>
      <w:r>
        <w:rPr>
          <w:rFonts w:ascii="Arial" w:cs="Arial" w:eastAsia="Arial" w:hAnsi="Arial"/>
          <w:sz w:val="21"/>
          <w:szCs w:val="21"/>
          <w:color w:val="auto"/>
        </w:rPr>
        <w:t>. Employee recognizes, understands and agrees that the provision of this Agreement by Company, and its terms of employment, as well as its terms of Severance, Severance Benefits and Contingent AP Amounts are generous and extraordinary, and that in consideration thereof, Employee agrees in this Agreement that in advance of and as a condition to the receipt of such Severance Benefits, Severance and Contingent AP Amount, if any, Employee will execute a General Release in a form mutually satisfactory to Company and Employee, but in any case, including appropriate releases for all claims or demands Employee may have against Company,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including, without limitation, claims or demands for violation of any laws, rules, regulations, orders or decrees established to protect the rights of employees pursuant to anti-discrimination laws and including all protections required by law to be afforded to Employee relative to the execution and revocation of such a General Release. Employee understands and agrees that no Severance Benefits, Severance or Contingent AP Amounts will be made to Employee unless, and until Employee and Company execute such a General Release, and Employee’s rights to revoke such General Release have expired or have been extinguished as a matter of law. Such General Release must be executed and submitted to Company within sixty (60) days following termination of employment. Payment of amounts exempt from Section 409A shall be made (or shall begin, as the case may be) immediately upon the expiration of the revocation period, as shall the payment of any amounts that constitute “deferred compensation” within the meaning of Section 409A (subject to any delay under Section 20 and also provided that if the sixty (60) day period ends in the calendar year subsequent to the year containing the termination of employment, the payment of deferred compensation shall not be made or being earlier than the first business day in that subsequent year).</w:t>
      </w:r>
    </w:p>
    <w:p>
      <w:pPr>
        <w:spacing w:after="0" w:line="52" w:lineRule="exact"/>
        <w:rPr>
          <w:sz w:val="20"/>
          <w:szCs w:val="20"/>
          <w:color w:val="auto"/>
        </w:rPr>
      </w:pPr>
    </w:p>
    <w:p>
      <w:pPr>
        <w:jc w:val="both"/>
        <w:ind w:firstLine="8"/>
        <w:spacing w:after="0" w:line="249" w:lineRule="auto"/>
        <w:tabs>
          <w:tab w:leader="none" w:pos="648"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Corporate Authority</w:t>
      </w:r>
      <w:r>
        <w:rPr>
          <w:rFonts w:ascii="Arial" w:cs="Arial" w:eastAsia="Arial" w:hAnsi="Arial"/>
          <w:sz w:val="22"/>
          <w:szCs w:val="22"/>
          <w:color w:val="auto"/>
        </w:rPr>
        <w:t>. Company represents and warrants to Employee that (a) Company has all necessary power and authority to enter into, and be bound by the terms of, this Agreement, (b) the execution, delivery, and performance of the undertakings contemplated by the Agreement have been duly authorized by Company, and (c) this Agreement shall be a legal, valid and binding obligation of Company, enforceable against Company in accordance with its terms, except as such enforceability may be limited by applicable bankruptcy, insolvency, moratorium, reorganization or similar laws affecting the enforcement of creditors rights generally.</w:t>
      </w:r>
    </w:p>
    <w:p>
      <w:pPr>
        <w:spacing w:after="0" w:line="85" w:lineRule="exact"/>
        <w:rPr>
          <w:rFonts w:ascii="Arial" w:cs="Arial" w:eastAsia="Arial" w:hAnsi="Arial"/>
          <w:sz w:val="22"/>
          <w:szCs w:val="22"/>
          <w:color w:val="auto"/>
        </w:rPr>
      </w:pPr>
    </w:p>
    <w:p>
      <w:pPr>
        <w:ind w:firstLine="8"/>
        <w:spacing w:after="0" w:line="263" w:lineRule="auto"/>
        <w:tabs>
          <w:tab w:leader="none" w:pos="648"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or other communication hereunder shall be in writing and shall be mailed or delivered to the respective parties hereto as follows:</w:t>
      </w:r>
    </w:p>
    <w:p>
      <w:pPr>
        <w:spacing w:after="0" w:line="80" w:lineRule="exact"/>
        <w:rPr>
          <w:rFonts w:ascii="Arial" w:cs="Arial" w:eastAsia="Arial" w:hAnsi="Arial"/>
          <w:sz w:val="22"/>
          <w:szCs w:val="22"/>
          <w:color w:val="auto"/>
        </w:rPr>
      </w:pPr>
    </w:p>
    <w:p>
      <w:pPr>
        <w:ind w:left="2600" w:hanging="648"/>
        <w:spacing w:after="0"/>
        <w:tabs>
          <w:tab w:leader="none" w:pos="26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If to Company:</w:t>
      </w:r>
    </w:p>
    <w:p>
      <w:pPr>
        <w:spacing w:after="0" w:line="111"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Casella Waste Systems, Inc.</w:t>
      </w:r>
    </w:p>
    <w:p>
      <w:pPr>
        <w:spacing w:after="0" w:line="21" w:lineRule="exact"/>
        <w:rPr>
          <w:rFonts w:ascii="Arial" w:cs="Arial" w:eastAsia="Arial" w:hAnsi="Arial"/>
          <w:sz w:val="22"/>
          <w:szCs w:val="22"/>
          <w:color w:val="auto"/>
        </w:rPr>
      </w:pPr>
    </w:p>
    <w:p>
      <w:pPr>
        <w:ind w:left="2600" w:right="6880"/>
        <w:spacing w:after="0" w:line="302" w:lineRule="auto"/>
        <w:rPr>
          <w:rFonts w:ascii="Arial" w:cs="Arial" w:eastAsia="Arial" w:hAnsi="Arial"/>
          <w:sz w:val="22"/>
          <w:szCs w:val="22"/>
          <w:color w:val="auto"/>
        </w:rPr>
      </w:pPr>
      <w:r>
        <w:rPr>
          <w:rFonts w:ascii="Arial" w:cs="Arial" w:eastAsia="Arial" w:hAnsi="Arial"/>
          <w:sz w:val="19"/>
          <w:szCs w:val="19"/>
          <w:color w:val="auto"/>
        </w:rPr>
        <w:t>25 Greens Hill Lane Rutland, VT 05701 Attention: President</w:t>
      </w:r>
    </w:p>
    <w:p>
      <w:pPr>
        <w:spacing w:after="0" w:line="48" w:lineRule="exact"/>
        <w:rPr>
          <w:rFonts w:ascii="Arial" w:cs="Arial" w:eastAsia="Arial" w:hAnsi="Arial"/>
          <w:sz w:val="22"/>
          <w:szCs w:val="22"/>
          <w:color w:val="auto"/>
        </w:rPr>
      </w:pPr>
    </w:p>
    <w:p>
      <w:pPr>
        <w:ind w:left="2600" w:hanging="648"/>
        <w:spacing w:after="0"/>
        <w:tabs>
          <w:tab w:leader="none" w:pos="26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If to Employee:</w:t>
      </w:r>
    </w:p>
    <w:p>
      <w:pPr>
        <w:spacing w:after="0" w:line="111" w:lineRule="exact"/>
        <w:rPr>
          <w:rFonts w:ascii="Arial" w:cs="Arial" w:eastAsia="Arial" w:hAnsi="Arial"/>
          <w:sz w:val="22"/>
          <w:szCs w:val="22"/>
          <w:color w:val="auto"/>
        </w:rPr>
      </w:pPr>
    </w:p>
    <w:p>
      <w:pPr>
        <w:ind w:left="2600" w:right="5120"/>
        <w:spacing w:after="0" w:line="287" w:lineRule="auto"/>
        <w:rPr>
          <w:rFonts w:ascii="Arial" w:cs="Arial" w:eastAsia="Arial" w:hAnsi="Arial"/>
          <w:sz w:val="22"/>
          <w:szCs w:val="22"/>
          <w:color w:val="auto"/>
        </w:rPr>
      </w:pPr>
      <w:r>
        <w:rPr>
          <w:rFonts w:ascii="Arial" w:cs="Arial" w:eastAsia="Arial" w:hAnsi="Arial"/>
          <w:sz w:val="21"/>
          <w:szCs w:val="21"/>
          <w:color w:val="auto"/>
        </w:rPr>
        <w:t>Bradford J. Helgeson Basking Ridge, NJ helgeson.brad@gmail.com</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The addresses of either party hereto above may be changed by written notice to the other party.</w:t>
      </w:r>
    </w:p>
    <w:p>
      <w:pPr>
        <w:spacing w:after="0" w:line="112" w:lineRule="exact"/>
        <w:rPr>
          <w:sz w:val="20"/>
          <w:szCs w:val="20"/>
          <w:color w:val="auto"/>
        </w:rPr>
      </w:pPr>
    </w:p>
    <w:p>
      <w:pPr>
        <w:jc w:val="both"/>
        <w:ind w:firstLine="8"/>
        <w:spacing w:after="0" w:line="307" w:lineRule="auto"/>
        <w:tabs>
          <w:tab w:leader="none" w:pos="648"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Amendment; Waiver</w:t>
      </w:r>
      <w:r>
        <w:rPr>
          <w:rFonts w:ascii="Arial" w:cs="Arial" w:eastAsia="Arial" w:hAnsi="Arial"/>
          <w:sz w:val="19"/>
          <w:szCs w:val="19"/>
          <w:color w:val="auto"/>
        </w:rPr>
        <w:t>. This Agreement may be amended, modified, superseded, cancelled, renewed or extended and the terms of covenants hereof may be waived, only by written instrument executed by the party against whom such modification or waiver is sought to be enforced. The failure of either party at any time or times to require performance of any provision hereof shall in no manner affect the right at a later time to enforce the same. No waiver by either party of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breach of any term or covenant contained in this Agreement, whether by conduct or otherwise, in anyone or more instances, shall be deemed to be, or construed as, a further or continuing waiver of any such breach, or a waiver of the breach of any other term or covenant in this Agreement.</w:t>
      </w:r>
    </w:p>
    <w:p>
      <w:pPr>
        <w:spacing w:after="0" w:line="91" w:lineRule="exact"/>
        <w:rPr>
          <w:sz w:val="20"/>
          <w:szCs w:val="20"/>
          <w:color w:val="auto"/>
        </w:rPr>
      </w:pPr>
    </w:p>
    <w:p>
      <w:pPr>
        <w:jc w:val="both"/>
        <w:ind w:firstLine="8"/>
        <w:spacing w:after="0" w:line="297" w:lineRule="auto"/>
        <w:tabs>
          <w:tab w:leader="none" w:pos="648"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Benefit and Binding Effect</w:t>
      </w:r>
      <w:r>
        <w:rPr>
          <w:rFonts w:ascii="Arial" w:cs="Arial" w:eastAsia="Arial" w:hAnsi="Arial"/>
          <w:sz w:val="19"/>
          <w:szCs w:val="19"/>
          <w:color w:val="auto"/>
        </w:rPr>
        <w:t xml:space="preserve">. This Agreement shall inure to the benefit of and be binding upon the successors and assigns of Company, but shall be personal to and not assignable by Employee. The obligations of Company hereunder are personal to Employee or where applicable to his spouse or estate, and shall be continued only so long as Employee shall be personally discharging her duties hereunder. Company may assign its rights, together with its obligations, to any corporation which is a direct or indirect wholly-owned subsidiary of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Company shall not be released from its obligations hereunder without the prior written consent of Employee, which consent shall not be unreasonably withheld.</w:t>
      </w:r>
    </w:p>
    <w:p>
      <w:pPr>
        <w:spacing w:after="0" w:line="38" w:lineRule="exact"/>
        <w:rPr>
          <w:rFonts w:ascii="Arial" w:cs="Arial" w:eastAsia="Arial" w:hAnsi="Arial"/>
          <w:sz w:val="19"/>
          <w:szCs w:val="19"/>
          <w:color w:val="auto"/>
        </w:rPr>
      </w:pPr>
    </w:p>
    <w:p>
      <w:pPr>
        <w:ind w:firstLine="8"/>
        <w:spacing w:after="0" w:line="341" w:lineRule="auto"/>
        <w:tabs>
          <w:tab w:leader="none" w:pos="648"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LAWS OF THE STATE OF VERMONT REGARDLESS OF THE LAWS THAT MIGHT BE APPLICABLE UNDER PRINCIPLES OF CONFLICTS OF LAW.</w:t>
      </w:r>
    </w:p>
    <w:p>
      <w:pPr>
        <w:jc w:val="both"/>
        <w:ind w:firstLine="8"/>
        <w:spacing w:after="0" w:line="271" w:lineRule="auto"/>
        <w:tabs>
          <w:tab w:leader="none" w:pos="648"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by the parties hereto in separate counterparts, each of which when so executed and delivered shall be an original but all such counterparts together shall constitute one and the same instrument. Each counterpart may consist of two copies hereof each signed by one of the parties hereto.</w:t>
      </w:r>
    </w:p>
    <w:p>
      <w:pPr>
        <w:spacing w:after="0" w:line="72" w:lineRule="exact"/>
        <w:rPr>
          <w:rFonts w:ascii="Arial" w:cs="Arial" w:eastAsia="Arial" w:hAnsi="Arial"/>
          <w:sz w:val="21"/>
          <w:szCs w:val="21"/>
          <w:color w:val="auto"/>
        </w:rPr>
      </w:pPr>
    </w:p>
    <w:p>
      <w:pPr>
        <w:ind w:left="660" w:hanging="652"/>
        <w:spacing w:after="0"/>
        <w:tabs>
          <w:tab w:leader="none" w:pos="66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Agreement are for reference only and shall not affect the interpretation of this Agreement.</w:t>
      </w:r>
    </w:p>
    <w:p>
      <w:pPr>
        <w:spacing w:after="0" w:line="146" w:lineRule="exact"/>
        <w:rPr>
          <w:rFonts w:ascii="Arial" w:cs="Arial" w:eastAsia="Arial" w:hAnsi="Arial"/>
          <w:sz w:val="19"/>
          <w:szCs w:val="19"/>
          <w:color w:val="auto"/>
        </w:rPr>
      </w:pPr>
    </w:p>
    <w:p>
      <w:pPr>
        <w:jc w:val="both"/>
        <w:ind w:firstLine="8"/>
        <w:spacing w:after="0" w:line="253" w:lineRule="auto"/>
        <w:tabs>
          <w:tab w:leader="none" w:pos="648"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understanding between the parties with respect to the subject matter hereof, superseding all negotiations, prior discussions and preliminary agreements. No subsequent modifications may be made to this Agreement except by signed writing of the parties.</w:t>
      </w:r>
    </w:p>
    <w:p>
      <w:pPr>
        <w:spacing w:after="0" w:line="77" w:lineRule="exact"/>
        <w:rPr>
          <w:rFonts w:ascii="Arial" w:cs="Arial" w:eastAsia="Arial" w:hAnsi="Arial"/>
          <w:sz w:val="22"/>
          <w:szCs w:val="22"/>
          <w:color w:val="auto"/>
        </w:rPr>
      </w:pPr>
    </w:p>
    <w:p>
      <w:pPr>
        <w:ind w:left="660" w:hanging="652"/>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Payments and benefits under this Agreement are intended to be exempt from Section 409A to the maximum possible extent and, to the extent not exempt, are intended to comply with the requirements of Section 409A. The provisions of this Agreement shall be construed in a manner consistent with such intent.</w:t>
      </w:r>
    </w:p>
    <w:p>
      <w:pPr>
        <w:spacing w:after="0" w:line="77" w:lineRule="exact"/>
        <w:rPr>
          <w:rFonts w:ascii="Arial" w:cs="Arial" w:eastAsia="Arial" w:hAnsi="Arial"/>
          <w:sz w:val="22"/>
          <w:szCs w:val="22"/>
          <w:color w:val="auto"/>
        </w:rPr>
      </w:pPr>
    </w:p>
    <w:p>
      <w:pPr>
        <w:jc w:val="both"/>
        <w:ind w:left="660"/>
        <w:spacing w:after="0" w:line="297" w:lineRule="auto"/>
        <w:rPr>
          <w:rFonts w:ascii="Arial" w:cs="Arial" w:eastAsia="Arial" w:hAnsi="Arial"/>
          <w:sz w:val="22"/>
          <w:szCs w:val="22"/>
          <w:color w:val="auto"/>
        </w:rPr>
      </w:pPr>
      <w:r>
        <w:rPr>
          <w:rFonts w:ascii="Arial" w:cs="Arial" w:eastAsia="Arial" w:hAnsi="Arial"/>
          <w:sz w:val="19"/>
          <w:szCs w:val="19"/>
          <w:color w:val="auto"/>
        </w:rPr>
        <w:t>With respect to any “deferred compensation” within the meaning of Section 409A that is payable or commences to be payable under this Agreement solely by reason of Employee’s termination of employment, such amount shall be payable or commence to be payable as soon as, and no later than, Employee experiences a “separation from service” as defined in Section 409A, subject to Section 11 of the Agreement and subject to the six-month delay described below, if applicable. In addition, nothing in the Agreement shall require Company to, and Company shall not, accelerate the payment of any amount that constitutes “deferred compensation” except to the extent permitted under Section 409A.</w:t>
      </w:r>
    </w:p>
    <w:p>
      <w:pPr>
        <w:spacing w:after="0" w:line="38" w:lineRule="exact"/>
        <w:rPr>
          <w:rFonts w:ascii="Arial" w:cs="Arial" w:eastAsia="Arial" w:hAnsi="Arial"/>
          <w:sz w:val="22"/>
          <w:szCs w:val="22"/>
          <w:color w:val="auto"/>
        </w:rPr>
      </w:pPr>
    </w:p>
    <w:p>
      <w:pPr>
        <w:ind w:left="660" w:right="20"/>
        <w:spacing w:after="0" w:line="263" w:lineRule="auto"/>
        <w:rPr>
          <w:rFonts w:ascii="Arial" w:cs="Arial" w:eastAsia="Arial" w:hAnsi="Arial"/>
          <w:sz w:val="22"/>
          <w:szCs w:val="22"/>
          <w:color w:val="auto"/>
        </w:rPr>
      </w:pPr>
      <w:r>
        <w:rPr>
          <w:rFonts w:ascii="Arial" w:cs="Arial" w:eastAsia="Arial" w:hAnsi="Arial"/>
          <w:sz w:val="22"/>
          <w:szCs w:val="22"/>
          <w:color w:val="auto"/>
        </w:rPr>
        <w:t>If Employee is a “Specified Employee” within the meaning of Section 409A at the time his employment terminates and any amount payable to Employee by virtue of his separation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from service constitutes “deferred compensation” within the meaning of Section 409A, any such amounts that otherwise would be payable during the first six months following separation from service shall be delayed and accumulated for a period of six months and paid in a lump sum on the first day of the seventh month. Amounts exempt from Section 409A shall not be so delayed. The Severance and Severance Benefits described in Section 4.4.1 of the Agreement are intended to, and shall be construed to, fit within the short-term deferral and separation pay exceptions to Section 409A to the maximum permissible extent and each installment thereof shall be treated as a separate payment for such purposes.</w:t>
      </w:r>
    </w:p>
    <w:p>
      <w:pPr>
        <w:spacing w:after="0" w:line="38"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Any reimbursements or in-kind benefits provided to Employee shall be administered in accordance with Section 409A, such that: (a) the amount of expenses eligible for reimbursement, or in-kind benefits provided, during one year shall not affect the expenses eligible for reimbursement or the in-kind benefits provided in any other year; (b) reimbursement of eligible expenses shall be made on or before December 31 of the year following the year in which the expense was incurred; and (c) the right to reimbursement or in-kind benefits shall not be subject to liquidation or to exchange for another benefit.</w:t>
      </w:r>
    </w:p>
    <w:p>
      <w:pPr>
        <w:spacing w:after="0" w:line="86"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AGREEMENT TO ARBITRATE</w:t>
      </w:r>
      <w:r>
        <w:rPr>
          <w:rFonts w:ascii="Arial" w:cs="Arial" w:eastAsia="Arial" w:hAnsi="Arial"/>
          <w:sz w:val="22"/>
          <w:szCs w:val="22"/>
          <w:color w:val="auto"/>
        </w:rPr>
        <w:t>.</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The undersigned parties agree that any disputes that may arise between them (including but not limited to any controversies or claims arising out of or relating to this Agreement or any alleged breach thereof, and any dispute over the interpretation or scope of this arbitration clause) shall be settled by arbitration by a single arbitrator agreed to by the parties, or if one cannot be agreed to by the parties, then by a three (3) person arbitration panel which is selected by the party of the first party, the second member chosen by the party of the second party, and the third member being selected by the first two arbitrators as previously selected by the parties. The arbitrator(s) shall administer the arbitration in accordance with the American Arbitration Association, Commercial Arbitration Rules, and judgment on the award rendered by the arbitrator(s) may be entered in any court having jurisdiction thereof. No party shall be entitled to punitive, consequential or treble damages. The arbitrator(s) selection process shall be concluded by the parties within sixty (60) days of a party’s Notice of Arbitration.</w:t>
      </w:r>
    </w:p>
    <w:p>
      <w:pPr>
        <w:spacing w:after="0" w:line="4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ACKNOWLEDGMENT OF ARBITRATION PURSUANT TO 12 V.S.A. § 5651 et seq. THE PARTIES HERETO ACKNOWLEDGE THAT THIS DOCUMENT CONTAINS AN AGREEMENT TO ARBITRATE. AFTER SIGNING THIS DOCUMENT EACH PARTY UNDERSTANDS THAT HE WILL NOT BE ABLE TO BRING A LAWSUIT CONCERNING ANY DISPUTE THAT MAY ARISE WHICH IS COVERED BY THIS ARBITRATION AGREEMENT EXCEPT AS PROVIDED IN THIS PARAGRAPH OR UNLESS IT INVOLVES A QUESTION OF CONSTITUTIONAL LAW OR CIVIL RIGHTS. INSTEAD EACH PARTY HAS AGREED TO SUBMIT ANY SUCH DISPUTE TO AN IMPARTIAL ARBITRATOR.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all parties have set their hand and seal to this Agreement and Acknowledgement of Arbitration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00" w:type="dxa"/>
            <w:vAlign w:val="bottom"/>
          </w:tcPr>
          <w:p>
            <w:pPr>
              <w:spacing w:after="0"/>
              <w:rPr>
                <w:sz w:val="20"/>
                <w:szCs w:val="20"/>
                <w:color w:val="auto"/>
              </w:rPr>
            </w:pPr>
            <w:r>
              <w:rPr>
                <w:rFonts w:ascii="Arial" w:cs="Arial" w:eastAsia="Arial" w:hAnsi="Arial"/>
                <w:sz w:val="22"/>
                <w:szCs w:val="22"/>
                <w:color w:val="auto"/>
              </w:rPr>
              <w:t>pursuant</w:t>
            </w:r>
          </w:p>
        </w:tc>
        <w:tc>
          <w:tcPr>
            <w:tcW w:w="700" w:type="dxa"/>
            <w:vAlign w:val="bottom"/>
          </w:tcPr>
          <w:p>
            <w:pPr>
              <w:ind w:left="240"/>
              <w:spacing w:after="0"/>
              <w:rPr>
                <w:sz w:val="20"/>
                <w:szCs w:val="20"/>
                <w:color w:val="auto"/>
              </w:rPr>
            </w:pPr>
            <w:r>
              <w:rPr>
                <w:rFonts w:ascii="Arial" w:cs="Arial" w:eastAsia="Arial" w:hAnsi="Arial"/>
                <w:sz w:val="22"/>
                <w:szCs w:val="22"/>
                <w:color w:val="auto"/>
              </w:rPr>
              <w:t>to</w:t>
            </w:r>
          </w:p>
        </w:tc>
        <w:tc>
          <w:tcPr>
            <w:tcW w:w="760" w:type="dxa"/>
            <w:vAlign w:val="bottom"/>
          </w:tcPr>
          <w:p>
            <w:pPr>
              <w:jc w:val="right"/>
              <w:ind w:right="252"/>
              <w:spacing w:after="0"/>
              <w:rPr>
                <w:sz w:val="20"/>
                <w:szCs w:val="20"/>
                <w:color w:val="auto"/>
              </w:rPr>
            </w:pPr>
            <w:r>
              <w:rPr>
                <w:rFonts w:ascii="Arial" w:cs="Arial" w:eastAsia="Arial" w:hAnsi="Arial"/>
                <w:sz w:val="22"/>
                <w:szCs w:val="22"/>
                <w:color w:val="auto"/>
              </w:rPr>
              <w:t>12</w:t>
            </w:r>
          </w:p>
        </w:tc>
        <w:tc>
          <w:tcPr>
            <w:tcW w:w="920" w:type="dxa"/>
            <w:vAlign w:val="bottom"/>
          </w:tcPr>
          <w:p>
            <w:pPr>
              <w:ind w:left="120"/>
              <w:spacing w:after="0"/>
              <w:rPr>
                <w:sz w:val="20"/>
                <w:szCs w:val="20"/>
                <w:color w:val="auto"/>
              </w:rPr>
            </w:pPr>
            <w:r>
              <w:rPr>
                <w:rFonts w:ascii="Arial" w:cs="Arial" w:eastAsia="Arial" w:hAnsi="Arial"/>
                <w:sz w:val="22"/>
                <w:szCs w:val="22"/>
                <w:color w:val="auto"/>
              </w:rPr>
              <w:t>V.S.A.</w:t>
            </w:r>
          </w:p>
        </w:tc>
        <w:tc>
          <w:tcPr>
            <w:tcW w:w="58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5651</w:t>
            </w:r>
          </w:p>
        </w:tc>
        <w:tc>
          <w:tcPr>
            <w:tcW w:w="420" w:type="dxa"/>
            <w:vAlign w:val="bottom"/>
          </w:tcPr>
          <w:p>
            <w:pPr>
              <w:ind w:left="240"/>
              <w:spacing w:after="0"/>
              <w:rPr>
                <w:sz w:val="20"/>
                <w:szCs w:val="20"/>
                <w:color w:val="auto"/>
              </w:rPr>
            </w:pPr>
            <w:r>
              <w:rPr>
                <w:rFonts w:ascii="Arial" w:cs="Arial" w:eastAsia="Arial" w:hAnsi="Arial"/>
                <w:sz w:val="22"/>
                <w:szCs w:val="22"/>
                <w:color w:val="auto"/>
                <w:w w:val="86"/>
              </w:rPr>
              <w:t>et</w:t>
            </w:r>
          </w:p>
        </w:tc>
        <w:tc>
          <w:tcPr>
            <w:tcW w:w="1040" w:type="dxa"/>
            <w:vAlign w:val="bottom"/>
          </w:tcPr>
          <w:p>
            <w:pPr>
              <w:ind w:left="440"/>
              <w:spacing w:after="0"/>
              <w:rPr>
                <w:sz w:val="20"/>
                <w:szCs w:val="20"/>
                <w:color w:val="auto"/>
              </w:rPr>
            </w:pPr>
            <w:r>
              <w:rPr>
                <w:rFonts w:ascii="Arial" w:cs="Arial" w:eastAsia="Arial" w:hAnsi="Arial"/>
                <w:sz w:val="22"/>
                <w:szCs w:val="22"/>
                <w:color w:val="auto"/>
              </w:rPr>
              <w:t>seq.</w:t>
            </w:r>
          </w:p>
        </w:tc>
        <w:tc>
          <w:tcPr>
            <w:tcW w:w="660" w:type="dxa"/>
            <w:vAlign w:val="bottom"/>
          </w:tcPr>
          <w:p>
            <w:pPr>
              <w:ind w:left="220"/>
              <w:spacing w:after="0"/>
              <w:rPr>
                <w:sz w:val="20"/>
                <w:szCs w:val="20"/>
                <w:color w:val="auto"/>
              </w:rPr>
            </w:pPr>
            <w:r>
              <w:rPr>
                <w:rFonts w:ascii="Arial" w:cs="Arial" w:eastAsia="Arial" w:hAnsi="Arial"/>
                <w:sz w:val="22"/>
                <w:szCs w:val="22"/>
                <w:color w:val="auto"/>
              </w:rPr>
              <w:t>as</w:t>
            </w:r>
          </w:p>
        </w:tc>
        <w:tc>
          <w:tcPr>
            <w:tcW w:w="720" w:type="dxa"/>
            <w:vAlign w:val="bottom"/>
          </w:tcPr>
          <w:p>
            <w:pPr>
              <w:ind w:left="220"/>
              <w:spacing w:after="0"/>
              <w:rPr>
                <w:sz w:val="20"/>
                <w:szCs w:val="20"/>
                <w:color w:val="auto"/>
              </w:rPr>
            </w:pPr>
            <w:r>
              <w:rPr>
                <w:rFonts w:ascii="Arial" w:cs="Arial" w:eastAsia="Arial" w:hAnsi="Arial"/>
                <w:sz w:val="22"/>
                <w:szCs w:val="22"/>
                <w:color w:val="auto"/>
              </w:rPr>
              <w:t>of</w:t>
            </w:r>
          </w:p>
        </w:tc>
        <w:tc>
          <w:tcPr>
            <w:tcW w:w="680" w:type="dxa"/>
            <w:vAlign w:val="bottom"/>
          </w:tcPr>
          <w:p>
            <w:pPr>
              <w:ind w:left="160"/>
              <w:spacing w:after="0"/>
              <w:rPr>
                <w:sz w:val="20"/>
                <w:szCs w:val="20"/>
                <w:color w:val="auto"/>
              </w:rPr>
            </w:pPr>
            <w:r>
              <w:rPr>
                <w:rFonts w:ascii="Arial" w:cs="Arial" w:eastAsia="Arial" w:hAnsi="Arial"/>
                <w:sz w:val="22"/>
                <w:szCs w:val="22"/>
                <w:color w:val="auto"/>
              </w:rPr>
              <w:t>the</w:t>
            </w:r>
          </w:p>
        </w:tc>
        <w:tc>
          <w:tcPr>
            <w:tcW w:w="960" w:type="dxa"/>
            <w:vAlign w:val="bottom"/>
          </w:tcPr>
          <w:p>
            <w:pPr>
              <w:ind w:left="220"/>
              <w:spacing w:after="0"/>
              <w:rPr>
                <w:sz w:val="20"/>
                <w:szCs w:val="20"/>
                <w:color w:val="auto"/>
              </w:rPr>
            </w:pPr>
            <w:r>
              <w:rPr>
                <w:rFonts w:ascii="Arial" w:cs="Arial" w:eastAsia="Arial" w:hAnsi="Arial"/>
                <w:sz w:val="22"/>
                <w:szCs w:val="22"/>
                <w:color w:val="auto"/>
              </w:rPr>
              <w:t>dates</w:t>
            </w:r>
          </w:p>
        </w:tc>
        <w:tc>
          <w:tcPr>
            <w:tcW w:w="1040" w:type="dxa"/>
            <w:vAlign w:val="bottom"/>
          </w:tcPr>
          <w:p>
            <w:pPr>
              <w:ind w:left="200"/>
              <w:spacing w:after="0"/>
              <w:rPr>
                <w:sz w:val="20"/>
                <w:szCs w:val="20"/>
                <w:color w:val="auto"/>
              </w:rPr>
            </w:pPr>
            <w:r>
              <w:rPr>
                <w:rFonts w:ascii="Arial" w:cs="Arial" w:eastAsia="Arial" w:hAnsi="Arial"/>
                <w:sz w:val="22"/>
                <w:szCs w:val="22"/>
                <w:color w:val="auto"/>
              </w:rPr>
              <w:t>written</w:t>
            </w:r>
          </w:p>
        </w:tc>
        <w:tc>
          <w:tcPr>
            <w:tcW w:w="840" w:type="dxa"/>
            <w:vAlign w:val="bottom"/>
          </w:tcPr>
          <w:p>
            <w:pPr>
              <w:ind w:left="240"/>
              <w:spacing w:after="0"/>
              <w:rPr>
                <w:sz w:val="20"/>
                <w:szCs w:val="20"/>
                <w:color w:val="auto"/>
              </w:rPr>
            </w:pPr>
            <w:r>
              <w:rPr>
                <w:rFonts w:ascii="Arial" w:cs="Arial" w:eastAsia="Arial" w:hAnsi="Arial"/>
                <w:sz w:val="22"/>
                <w:szCs w:val="22"/>
                <w:color w:val="auto"/>
                <w:w w:val="91"/>
              </w:rPr>
              <w:t>below:</w:t>
            </w:r>
          </w:p>
        </w:tc>
      </w:tr>
      <w:tr>
        <w:trPr>
          <w:trHeight w:val="280"/>
        </w:trPr>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gridSpan w:val="5"/>
          </w:tcPr>
          <w:p>
            <w:pPr>
              <w:ind w:left="380"/>
              <w:spacing w:after="0"/>
              <w:rPr>
                <w:sz w:val="20"/>
                <w:szCs w:val="20"/>
                <w:color w:val="auto"/>
              </w:rPr>
            </w:pPr>
            <w:r>
              <w:rPr>
                <w:rFonts w:ascii="Arial" w:cs="Arial" w:eastAsia="Arial" w:hAnsi="Arial"/>
                <w:sz w:val="22"/>
                <w:szCs w:val="22"/>
                <w:b w:val="1"/>
                <w:bCs w:val="1"/>
                <w:color w:val="auto"/>
              </w:rPr>
              <w:t>BRADFORD J. HELGESON</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2460" w:type="dxa"/>
            <w:vAlign w:val="bottom"/>
            <w:gridSpan w:val="3"/>
          </w:tcPr>
          <w:p>
            <w:pPr>
              <w:ind w:left="20"/>
              <w:spacing w:after="0"/>
              <w:rPr>
                <w:sz w:val="20"/>
                <w:szCs w:val="20"/>
                <w:color w:val="auto"/>
              </w:rPr>
            </w:pPr>
            <w:r>
              <w:rPr>
                <w:rFonts w:ascii="Arial" w:cs="Arial" w:eastAsia="Arial" w:hAnsi="Arial"/>
                <w:sz w:val="22"/>
                <w:szCs w:val="22"/>
                <w:color w:val="auto"/>
                <w:w w:val="93"/>
              </w:rPr>
              <w:t>Witness: /s/ Angela C. Lee</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22"/>
                <w:szCs w:val="22"/>
                <w:color w:val="auto"/>
              </w:rPr>
              <w:t>/s/ Bradford J. Helgeson</w:t>
            </w: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1700" w:type="dxa"/>
            <w:vAlign w:val="bottom"/>
            <w:gridSpan w:val="2"/>
          </w:tcPr>
          <w:p>
            <w:pPr>
              <w:ind w:left="20"/>
              <w:spacing w:after="0"/>
              <w:rPr>
                <w:sz w:val="20"/>
                <w:szCs w:val="20"/>
                <w:color w:val="auto"/>
              </w:rPr>
            </w:pPr>
            <w:r>
              <w:rPr>
                <w:rFonts w:ascii="Arial" w:cs="Arial" w:eastAsia="Arial" w:hAnsi="Arial"/>
                <w:sz w:val="22"/>
                <w:szCs w:val="22"/>
                <w:color w:val="auto"/>
                <w:w w:val="98"/>
              </w:rPr>
              <w:t>Date: 10/31/2023</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20" w:type="dxa"/>
            <w:vAlign w:val="bottom"/>
            <w:gridSpan w:val="3"/>
          </w:tcPr>
          <w:p>
            <w:pPr>
              <w:ind w:left="380"/>
              <w:spacing w:after="0"/>
              <w:rPr>
                <w:sz w:val="20"/>
                <w:szCs w:val="20"/>
                <w:color w:val="auto"/>
              </w:rPr>
            </w:pPr>
            <w:r>
              <w:rPr>
                <w:rFonts w:ascii="Arial" w:cs="Arial" w:eastAsia="Arial" w:hAnsi="Arial"/>
                <w:sz w:val="22"/>
                <w:szCs w:val="22"/>
                <w:color w:val="auto"/>
              </w:rPr>
              <w:t>Date: 10/31/2023</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80" w:type="dxa"/>
            <w:vAlign w:val="bottom"/>
            <w:gridSpan w:val="6"/>
          </w:tcPr>
          <w:p>
            <w:pPr>
              <w:ind w:left="380"/>
              <w:spacing w:after="0"/>
              <w:rPr>
                <w:sz w:val="20"/>
                <w:szCs w:val="20"/>
                <w:color w:val="auto"/>
              </w:rPr>
            </w:pPr>
            <w:r>
              <w:rPr>
                <w:rFonts w:ascii="Arial" w:cs="Arial" w:eastAsia="Arial" w:hAnsi="Arial"/>
                <w:sz w:val="22"/>
                <w:szCs w:val="22"/>
                <w:b w:val="1"/>
                <w:bCs w:val="1"/>
                <w:color w:val="auto"/>
              </w:rPr>
              <w:t>CASELLA WASTE SYSTEMS, INC.</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2460" w:type="dxa"/>
            <w:vAlign w:val="bottom"/>
            <w:gridSpan w:val="3"/>
          </w:tcPr>
          <w:p>
            <w:pPr>
              <w:ind w:left="20"/>
              <w:spacing w:after="0"/>
              <w:rPr>
                <w:sz w:val="20"/>
                <w:szCs w:val="20"/>
                <w:color w:val="auto"/>
              </w:rPr>
            </w:pPr>
            <w:r>
              <w:rPr>
                <w:rFonts w:ascii="Arial" w:cs="Arial" w:eastAsia="Arial" w:hAnsi="Arial"/>
                <w:sz w:val="22"/>
                <w:szCs w:val="22"/>
                <w:color w:val="auto"/>
                <w:w w:val="99"/>
              </w:rPr>
              <w:t>Witness: /s/ Jacob Jones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4"/>
          </w:tcPr>
          <w:p>
            <w:pPr>
              <w:ind w:left="380"/>
              <w:spacing w:after="0"/>
              <w:rPr>
                <w:sz w:val="20"/>
                <w:szCs w:val="20"/>
                <w:color w:val="auto"/>
              </w:rPr>
            </w:pPr>
            <w:r>
              <w:rPr>
                <w:rFonts w:ascii="Arial" w:cs="Arial" w:eastAsia="Arial" w:hAnsi="Arial"/>
                <w:sz w:val="22"/>
                <w:szCs w:val="22"/>
                <w:color w:val="auto"/>
                <w:w w:val="96"/>
              </w:rPr>
              <w:t>By: /s/ Edmond R. Coletta</w:t>
            </w: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1700" w:type="dxa"/>
            <w:vAlign w:val="bottom"/>
            <w:gridSpan w:val="2"/>
          </w:tcPr>
          <w:p>
            <w:pPr>
              <w:ind w:left="20"/>
              <w:spacing w:after="0"/>
              <w:rPr>
                <w:sz w:val="20"/>
                <w:szCs w:val="20"/>
                <w:color w:val="auto"/>
              </w:rPr>
            </w:pPr>
            <w:r>
              <w:rPr>
                <w:rFonts w:ascii="Arial" w:cs="Arial" w:eastAsia="Arial" w:hAnsi="Arial"/>
                <w:sz w:val="22"/>
                <w:szCs w:val="22"/>
                <w:color w:val="auto"/>
                <w:w w:val="98"/>
              </w:rPr>
              <w:t>Date: 10/31/2023</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80" w:type="dxa"/>
            <w:vAlign w:val="bottom"/>
            <w:gridSpan w:val="6"/>
          </w:tcPr>
          <w:p>
            <w:pPr>
              <w:ind w:left="380"/>
              <w:spacing w:after="0"/>
              <w:rPr>
                <w:sz w:val="20"/>
                <w:szCs w:val="20"/>
                <w:color w:val="auto"/>
              </w:rPr>
            </w:pPr>
            <w:r>
              <w:rPr>
                <w:rFonts w:ascii="Arial" w:cs="Arial" w:eastAsia="Arial" w:hAnsi="Arial"/>
                <w:sz w:val="22"/>
                <w:szCs w:val="22"/>
                <w:color w:val="auto"/>
                <w:w w:val="93"/>
              </w:rPr>
              <w:t>Name: Edmond R. Coletta, President &amp; CFO</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20" w:type="dxa"/>
            <w:vAlign w:val="bottom"/>
            <w:gridSpan w:val="3"/>
          </w:tcPr>
          <w:p>
            <w:pPr>
              <w:ind w:left="380"/>
              <w:spacing w:after="0"/>
              <w:rPr>
                <w:sz w:val="20"/>
                <w:szCs w:val="20"/>
                <w:color w:val="auto"/>
              </w:rPr>
            </w:pPr>
            <w:r>
              <w:rPr>
                <w:rFonts w:ascii="Arial" w:cs="Arial" w:eastAsia="Arial" w:hAnsi="Arial"/>
                <w:sz w:val="22"/>
                <w:szCs w:val="22"/>
                <w:color w:val="auto"/>
              </w:rPr>
              <w:t>Date: 10/31/2023</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67" w:name="page68"/>
    <w:bookmarkEnd w:id="67"/>
    <w:p>
      <w:pPr>
        <w:jc w:val="right"/>
        <w:ind w:right="20"/>
        <w:spacing w:after="0"/>
        <w:rPr>
          <w:sz w:val="20"/>
          <w:szCs w:val="20"/>
          <w:color w:val="auto"/>
        </w:rPr>
      </w:pPr>
      <w:r>
        <w:rPr>
          <w:rFonts w:ascii="Arial" w:cs="Arial" w:eastAsia="Arial" w:hAnsi="Arial"/>
          <w:sz w:val="14"/>
          <w:szCs w:val="14"/>
          <w:b w:val="1"/>
          <w:bCs w:val="1"/>
          <w:color w:val="00497F"/>
        </w:rPr>
        <w:drawing>
          <wp:anchor simplePos="0" relativeHeight="251657728" behindDoc="1" locked="0" layoutInCell="0" allowOverlap="1">
            <wp:simplePos x="0" y="0"/>
            <wp:positionH relativeFrom="page">
              <wp:posOffset>208280</wp:posOffset>
            </wp:positionH>
            <wp:positionV relativeFrom="page">
              <wp:posOffset>243205</wp:posOffset>
            </wp:positionV>
            <wp:extent cx="1619885" cy="4546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619885" cy="454660"/>
                    </a:xfrm>
                    <a:prstGeom prst="rect">
                      <a:avLst/>
                    </a:prstGeom>
                    <a:noFill/>
                  </pic:spPr>
                </pic:pic>
              </a:graphicData>
            </a:graphic>
          </wp:anchor>
        </w:drawing>
        <w:t>25 Greens Hill Lane</w:t>
      </w:r>
      <w:r>
        <w:rPr>
          <w:rFonts w:ascii="Arial" w:cs="Arial" w:eastAsia="Arial" w:hAnsi="Arial"/>
          <w:sz w:val="14"/>
          <w:szCs w:val="14"/>
          <w:b w:val="1"/>
          <w:bCs w:val="1"/>
          <w:color w:val="000000"/>
        </w:rPr>
        <w:t xml:space="preserve"> </w:t>
      </w:r>
      <w:r>
        <w:rPr>
          <w:rFonts w:ascii="Arial" w:cs="Arial" w:eastAsia="Arial" w:hAnsi="Arial"/>
          <w:sz w:val="14"/>
          <w:szCs w:val="14"/>
          <w:b w:val="1"/>
          <w:bCs w:val="1"/>
          <w:color w:val="76BC21"/>
        </w:rPr>
        <w:t>•</w:t>
      </w:r>
      <w:r>
        <w:rPr>
          <w:rFonts w:ascii="Arial" w:cs="Arial" w:eastAsia="Arial" w:hAnsi="Arial"/>
          <w:sz w:val="14"/>
          <w:szCs w:val="14"/>
          <w:b w:val="1"/>
          <w:bCs w:val="1"/>
          <w:color w:val="00497F"/>
        </w:rPr>
        <w:t xml:space="preserve"> Rutland, VT 05701 </w:t>
      </w:r>
      <w:r>
        <w:rPr>
          <w:rFonts w:ascii="Arial" w:cs="Arial" w:eastAsia="Arial" w:hAnsi="Arial"/>
          <w:sz w:val="14"/>
          <w:szCs w:val="14"/>
          <w:b w:val="1"/>
          <w:bCs w:val="1"/>
          <w:color w:val="76BC21"/>
        </w:rPr>
        <w:t>p.</w:t>
      </w:r>
      <w:r>
        <w:rPr>
          <w:rFonts w:ascii="Arial" w:cs="Arial" w:eastAsia="Arial" w:hAnsi="Arial"/>
          <w:sz w:val="14"/>
          <w:szCs w:val="14"/>
          <w:b w:val="1"/>
          <w:bCs w:val="1"/>
          <w:color w:val="00497F"/>
        </w:rPr>
        <w:t xml:space="preserve"> 802-775-0325 </w:t>
      </w:r>
      <w:r>
        <w:rPr>
          <w:rFonts w:ascii="Arial" w:cs="Arial" w:eastAsia="Arial" w:hAnsi="Arial"/>
          <w:sz w:val="14"/>
          <w:szCs w:val="14"/>
          <w:b w:val="1"/>
          <w:bCs w:val="1"/>
          <w:color w:val="76BC21"/>
        </w:rPr>
        <w:t>• f.</w:t>
      </w:r>
      <w:r>
        <w:rPr>
          <w:rFonts w:ascii="Arial" w:cs="Arial" w:eastAsia="Arial" w:hAnsi="Arial"/>
          <w:sz w:val="14"/>
          <w:szCs w:val="14"/>
          <w:b w:val="1"/>
          <w:bCs w:val="1"/>
          <w:color w:val="00497F"/>
        </w:rPr>
        <w:t xml:space="preserve"> 802-775-3290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10.3</w:t>
      </w:r>
    </w:p>
    <w:p>
      <w:pPr>
        <w:spacing w:after="0" w:line="216" w:lineRule="auto"/>
        <w:rPr>
          <w:sz w:val="20"/>
          <w:szCs w:val="20"/>
          <w:color w:val="auto"/>
        </w:rPr>
      </w:pPr>
      <w:r>
        <w:rPr>
          <w:rFonts w:ascii="Arial" w:cs="Arial" w:eastAsia="Arial" w:hAnsi="Arial"/>
          <w:sz w:val="20"/>
          <w:szCs w:val="20"/>
          <w:color w:val="auto"/>
        </w:rPr>
        <w:t>October 31, 2023</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Bradford J. Helgeson</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Basking Ridge, NJ</w:t>
      </w:r>
    </w:p>
    <w:p>
      <w:pPr>
        <w:spacing w:after="0"/>
        <w:rPr>
          <w:sz w:val="20"/>
          <w:szCs w:val="20"/>
          <w:color w:val="auto"/>
        </w:rPr>
      </w:pPr>
      <w:r>
        <w:rPr>
          <w:rFonts w:ascii="Arial" w:cs="Arial" w:eastAsia="Arial" w:hAnsi="Arial"/>
          <w:sz w:val="20"/>
          <w:szCs w:val="20"/>
          <w:u w:val="single" w:color="auto"/>
          <w:color w:val="0094FF"/>
        </w:rPr>
        <w:t>helgeson.brad@gmail.com</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Dear Brad:</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We are pleased to extend you an ofer of employment as our Executve Vice President and Chief Financial Ofcer with Casella Waste Systems, Inc. (Casella) beginning on or about November 6, 2023. In this positon you will report directly to myself. We expect you to spend approximately four (4) days per week at Casella’s home ofce in Rutland or at other Casella sites.</w:t>
      </w:r>
    </w:p>
    <w:p>
      <w:pPr>
        <w:spacing w:after="0" w:line="71" w:lineRule="exact"/>
        <w:rPr>
          <w:sz w:val="20"/>
          <w:szCs w:val="20"/>
          <w:color w:val="auto"/>
        </w:rPr>
      </w:pPr>
    </w:p>
    <w:p>
      <w:pPr>
        <w:ind w:left="660" w:right="60" w:hanging="328"/>
        <w:spacing w:after="0" w:line="255" w:lineRule="auto"/>
        <w:tabs>
          <w:tab w:leader="none" w:pos="648"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Base Pay</w:t>
      </w:r>
      <w:r>
        <w:rPr>
          <w:rFonts w:ascii="Arial" w:cs="Arial" w:eastAsia="Arial" w:hAnsi="Arial"/>
          <w:sz w:val="20"/>
          <w:szCs w:val="20"/>
          <w:color w:val="auto"/>
        </w:rPr>
        <w:t>. Your base pay will be eighteen thousand seven hundred ffy dollars ($18,750) payable on a semi-monthly basis. Your</w:t>
      </w:r>
      <w:r>
        <w:rPr>
          <w:rFonts w:ascii="Arial" w:cs="Arial" w:eastAsia="Arial" w:hAnsi="Arial"/>
          <w:sz w:val="20"/>
          <w:szCs w:val="20"/>
          <w:b w:val="1"/>
          <w:bCs w:val="1"/>
          <w:color w:val="auto"/>
        </w:rPr>
        <w:t xml:space="preserve"> </w:t>
      </w:r>
      <w:r>
        <w:rPr>
          <w:rFonts w:ascii="Arial" w:cs="Arial" w:eastAsia="Arial" w:hAnsi="Arial"/>
          <w:sz w:val="20"/>
          <w:szCs w:val="20"/>
          <w:color w:val="auto"/>
        </w:rPr>
        <w:t>semi-monthly pay amounts to an annual base salary of four hundred ffy thousand dollars ($450,000). Standard taxes and withholding as required by law will be deducted from your paycheck each pay period. You will have a review of your performance on the department’s common anniversary of April 1st and based on your performance and results achieved, you may be eligible for an additonal increase at that tme.</w:t>
      </w:r>
    </w:p>
    <w:p>
      <w:pPr>
        <w:spacing w:after="0" w:line="74" w:lineRule="exact"/>
        <w:rPr>
          <w:rFonts w:ascii="Arial" w:cs="Arial" w:eastAsia="Arial" w:hAnsi="Arial"/>
          <w:sz w:val="20"/>
          <w:szCs w:val="20"/>
          <w:color w:val="auto"/>
        </w:rPr>
      </w:pPr>
    </w:p>
    <w:p>
      <w:pPr>
        <w:ind w:left="660" w:right="40" w:hanging="328"/>
        <w:spacing w:after="0" w:line="256" w:lineRule="auto"/>
        <w:tabs>
          <w:tab w:leader="none" w:pos="648"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Bonus</w:t>
      </w:r>
      <w:r>
        <w:rPr>
          <w:rFonts w:ascii="Arial" w:cs="Arial" w:eastAsia="Arial" w:hAnsi="Arial"/>
          <w:sz w:val="20"/>
          <w:szCs w:val="20"/>
          <w:color w:val="auto"/>
        </w:rPr>
        <w:t>. You will be eligible to partcipate in our annual incentve plan with a bonus target of eighty fve percent (85%) of your annual</w:t>
      </w:r>
      <w:r>
        <w:rPr>
          <w:rFonts w:ascii="Arial" w:cs="Arial" w:eastAsia="Arial" w:hAnsi="Arial"/>
          <w:sz w:val="20"/>
          <w:szCs w:val="20"/>
          <w:b w:val="1"/>
          <w:bCs w:val="1"/>
          <w:color w:val="auto"/>
        </w:rPr>
        <w:t xml:space="preserve"> </w:t>
      </w:r>
      <w:r>
        <w:rPr>
          <w:rFonts w:ascii="Arial" w:cs="Arial" w:eastAsia="Arial" w:hAnsi="Arial"/>
          <w:sz w:val="20"/>
          <w:szCs w:val="20"/>
          <w:color w:val="auto"/>
        </w:rPr>
        <w:t>base salary. The actual amount of any bonus will be based on overall company performance and your performance relatve to the annual goals established for your positon in accordance with the Company Incentve Compensaton Plan. The bonus criteria will be outlined the beginning of each calendar year.</w:t>
      </w:r>
    </w:p>
    <w:p>
      <w:pPr>
        <w:spacing w:after="0" w:line="85" w:lineRule="exact"/>
        <w:rPr>
          <w:rFonts w:ascii="Arial" w:cs="Arial" w:eastAsia="Arial" w:hAnsi="Arial"/>
          <w:sz w:val="20"/>
          <w:szCs w:val="20"/>
          <w:color w:val="auto"/>
        </w:rPr>
      </w:pPr>
    </w:p>
    <w:p>
      <w:pPr>
        <w:ind w:left="660" w:right="180" w:hanging="328"/>
        <w:spacing w:after="0" w:line="257" w:lineRule="auto"/>
        <w:tabs>
          <w:tab w:leader="none" w:pos="648"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 xml:space="preserve">Stock. </w:t>
      </w:r>
      <w:r>
        <w:rPr>
          <w:rFonts w:ascii="Arial" w:cs="Arial" w:eastAsia="Arial" w:hAnsi="Arial"/>
          <w:sz w:val="20"/>
          <w:szCs w:val="20"/>
          <w:color w:val="auto"/>
        </w:rPr>
        <w:t>This positon will be eligible to partcipate in the annual Restricted Stock program administered annually by the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Your partcipaton will be at levels comparable to similar roles within Casella and will be ultmately defned by the Board of Directors during their annual stock compensaton grant review.</w:t>
      </w:r>
    </w:p>
    <w:p>
      <w:pPr>
        <w:spacing w:after="0" w:line="71" w:lineRule="exact"/>
        <w:rPr>
          <w:rFonts w:ascii="Arial" w:cs="Arial" w:eastAsia="Arial" w:hAnsi="Arial"/>
          <w:sz w:val="20"/>
          <w:szCs w:val="20"/>
          <w:color w:val="auto"/>
        </w:rPr>
      </w:pPr>
    </w:p>
    <w:p>
      <w:pPr>
        <w:ind w:left="660" w:right="340"/>
        <w:spacing w:after="0" w:line="268" w:lineRule="auto"/>
        <w:rPr>
          <w:rFonts w:ascii="Arial" w:cs="Arial" w:eastAsia="Arial" w:hAnsi="Arial"/>
          <w:sz w:val="20"/>
          <w:szCs w:val="20"/>
          <w:color w:val="auto"/>
        </w:rPr>
      </w:pPr>
      <w:r>
        <w:rPr>
          <w:rFonts w:ascii="Arial" w:cs="Arial" w:eastAsia="Arial" w:hAnsi="Arial"/>
          <w:sz w:val="19"/>
          <w:szCs w:val="19"/>
          <w:color w:val="auto"/>
        </w:rPr>
        <w:t>We antcipate you to receive an annual grant of one hundred seventy-fve thousand dollars ($175,000) of Restricted Stock Units (RSUs) and fve hundred twenty-fve thousand dollars ($525,000) of Performance Stock Units (PSUs) each year during the typical frst quarter grant period. These RSUs will vest in three (3) equal installments, with the frst one-third vestng on the frst anniversary, the second one-third vestng on the second anniversary, and the last one-third vestng on the third anniversary. The PSUs will have company-wide performance targets set at the tme of the grant, and based upon the achievement of such performance targets, the PSUs will vest afer the completon of the third year.</w:t>
      </w:r>
    </w:p>
    <w:p>
      <w:pPr>
        <w:spacing w:after="0" w:line="75" w:lineRule="exact"/>
        <w:rPr>
          <w:rFonts w:ascii="Arial" w:cs="Arial" w:eastAsia="Arial" w:hAnsi="Arial"/>
          <w:sz w:val="20"/>
          <w:szCs w:val="20"/>
          <w:color w:val="auto"/>
        </w:rPr>
      </w:pPr>
    </w:p>
    <w:p>
      <w:pPr>
        <w:ind w:left="660"/>
        <w:spacing w:after="0" w:line="251" w:lineRule="auto"/>
        <w:rPr>
          <w:rFonts w:ascii="Arial" w:cs="Arial" w:eastAsia="Arial" w:hAnsi="Arial"/>
          <w:sz w:val="20"/>
          <w:szCs w:val="20"/>
          <w:color w:val="auto"/>
        </w:rPr>
      </w:pPr>
      <w:r>
        <w:rPr>
          <w:rFonts w:ascii="Arial" w:cs="Arial" w:eastAsia="Arial" w:hAnsi="Arial"/>
          <w:sz w:val="20"/>
          <w:szCs w:val="20"/>
          <w:color w:val="auto"/>
        </w:rPr>
        <w:t>In additon, we would like to ofer you a one-tme grant of one hundred ffy thousand dollars ($150,000) of Restricted Stock Units (RSUs) on your frst day. The number of RSUs will be determined as such: one hundred ffy thousand dollars ($150,000) grant divided by the closing market price of CWST on your startng day. These RSUs will vest in three (3) equal installments, with the frst one-third vestng on the frst anniversary, the second one-third vestng on your second anniversary, and the last one-third vestng on your third anniversary.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707390</wp:posOffset>
            </wp:positionV>
            <wp:extent cx="714057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057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10000" w:val="left"/>
        </w:tabs>
        <w:rPr>
          <w:sz w:val="20"/>
          <w:szCs w:val="20"/>
          <w:color w:val="auto"/>
        </w:rPr>
      </w:pPr>
      <w:r>
        <w:rPr>
          <w:rFonts w:ascii="Arial" w:cs="Arial" w:eastAsia="Arial" w:hAnsi="Arial"/>
          <w:sz w:val="13"/>
          <w:szCs w:val="13"/>
          <w:b w:val="1"/>
          <w:bCs w:val="1"/>
          <w:color w:val="00497F"/>
        </w:rPr>
        <w:t xml:space="preserve">CASELLA </w:t>
      </w:r>
      <w:r>
        <w:rPr>
          <w:rFonts w:ascii="Arial" w:cs="Arial" w:eastAsia="Arial" w:hAnsi="Arial"/>
          <w:sz w:val="13"/>
          <w:szCs w:val="13"/>
          <w:b w:val="1"/>
          <w:bCs w:val="1"/>
          <w:color w:val="76BC21"/>
        </w:rPr>
        <w:t>RESOURCE SOLUTIONS</w:t>
      </w:r>
      <w:r>
        <w:rPr>
          <w:rFonts w:ascii="Arial" w:cs="Arial" w:eastAsia="Arial" w:hAnsi="Arial"/>
          <w:sz w:val="13"/>
          <w:szCs w:val="13"/>
          <w:b w:val="1"/>
          <w:bCs w:val="1"/>
          <w:color w:val="00497F"/>
        </w:rPr>
        <w:t xml:space="preserve"> ZERO-SORT® RECYCLING</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76BC21"/>
        </w:rPr>
        <w:t>•</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00497F"/>
        </w:rPr>
        <w:t xml:space="preserve">COLLECTION </w:t>
      </w:r>
      <w:r>
        <w:rPr>
          <w:rFonts w:ascii="Arial" w:cs="Arial" w:eastAsia="Arial" w:hAnsi="Arial"/>
          <w:sz w:val="13"/>
          <w:szCs w:val="13"/>
          <w:b w:val="1"/>
          <w:bCs w:val="1"/>
          <w:color w:val="76BC21"/>
        </w:rPr>
        <w:t>•</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00497F"/>
        </w:rPr>
        <w:t>ORGANICS</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76BC21"/>
        </w:rPr>
        <w:t>•</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00497F"/>
        </w:rPr>
        <w:t>ENERGY</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76BC21"/>
        </w:rPr>
        <w:t>•</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00497F"/>
        </w:rPr>
        <w:t>LANDFILLS</w:t>
      </w:r>
      <w:r>
        <w:rPr>
          <w:sz w:val="20"/>
          <w:szCs w:val="20"/>
          <w:color w:val="auto"/>
        </w:rPr>
        <w:tab/>
      </w:r>
      <w:r>
        <w:rPr>
          <w:rFonts w:ascii="Arial" w:cs="Arial" w:eastAsia="Arial" w:hAnsi="Arial"/>
          <w:sz w:val="14"/>
          <w:szCs w:val="14"/>
          <w:b w:val="1"/>
          <w:bCs w:val="1"/>
          <w:color w:val="60C265"/>
        </w:rPr>
        <w:t>casella.com</w:t>
      </w:r>
    </w:p>
    <w:p>
      <w:pPr>
        <w:sectPr>
          <w:pgSz w:w="11900" w:h="16838" w:orient="portrait"/>
          <w:cols w:equalWidth="0" w:num="1">
            <w:col w:w="11240"/>
          </w:cols>
          <w:pgMar w:left="320" w:top="1233" w:right="339" w:bottom="1440" w:gutter="0" w:footer="0" w:header="0"/>
        </w:sectPr>
      </w:pPr>
    </w:p>
    <w:bookmarkStart w:id="68" w:name="page69"/>
    <w:bookmarkEnd w:id="68"/>
    <w:p>
      <w:pPr>
        <w:ind w:left="6220"/>
        <w:spacing w:after="0"/>
        <w:rPr>
          <w:sz w:val="20"/>
          <w:szCs w:val="20"/>
          <w:color w:val="auto"/>
        </w:rPr>
      </w:pPr>
      <w:r>
        <w:rPr>
          <w:rFonts w:ascii="Arial" w:cs="Arial" w:eastAsia="Arial" w:hAnsi="Arial"/>
          <w:sz w:val="14"/>
          <w:szCs w:val="14"/>
          <w:b w:val="1"/>
          <w:bCs w:val="1"/>
          <w:color w:val="00497F"/>
        </w:rPr>
        <w:drawing>
          <wp:anchor simplePos="0" relativeHeight="251657728" behindDoc="1" locked="0" layoutInCell="0" allowOverlap="1">
            <wp:simplePos x="0" y="0"/>
            <wp:positionH relativeFrom="page">
              <wp:posOffset>208280</wp:posOffset>
            </wp:positionH>
            <wp:positionV relativeFrom="page">
              <wp:posOffset>243205</wp:posOffset>
            </wp:positionV>
            <wp:extent cx="1619885" cy="454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619885" cy="454660"/>
                    </a:xfrm>
                    <a:prstGeom prst="rect">
                      <a:avLst/>
                    </a:prstGeom>
                    <a:noFill/>
                  </pic:spPr>
                </pic:pic>
              </a:graphicData>
            </a:graphic>
          </wp:anchor>
        </w:drawing>
        <w:t>25 Greens Hill Lane</w:t>
      </w:r>
      <w:r>
        <w:rPr>
          <w:rFonts w:ascii="Arial" w:cs="Arial" w:eastAsia="Arial" w:hAnsi="Arial"/>
          <w:sz w:val="14"/>
          <w:szCs w:val="14"/>
          <w:b w:val="1"/>
          <w:bCs w:val="1"/>
          <w:color w:val="000000"/>
        </w:rPr>
        <w:t xml:space="preserve"> </w:t>
      </w:r>
      <w:r>
        <w:rPr>
          <w:rFonts w:ascii="Arial" w:cs="Arial" w:eastAsia="Arial" w:hAnsi="Arial"/>
          <w:sz w:val="14"/>
          <w:szCs w:val="14"/>
          <w:b w:val="1"/>
          <w:bCs w:val="1"/>
          <w:color w:val="76BC21"/>
        </w:rPr>
        <w:t>•</w:t>
      </w:r>
      <w:r>
        <w:rPr>
          <w:rFonts w:ascii="Arial" w:cs="Arial" w:eastAsia="Arial" w:hAnsi="Arial"/>
          <w:sz w:val="14"/>
          <w:szCs w:val="14"/>
          <w:b w:val="1"/>
          <w:bCs w:val="1"/>
          <w:color w:val="00497F"/>
        </w:rPr>
        <w:t xml:space="preserve"> Rutland, VT 05701 </w:t>
      </w:r>
      <w:r>
        <w:rPr>
          <w:rFonts w:ascii="Arial" w:cs="Arial" w:eastAsia="Arial" w:hAnsi="Arial"/>
          <w:sz w:val="14"/>
          <w:szCs w:val="14"/>
          <w:b w:val="1"/>
          <w:bCs w:val="1"/>
          <w:color w:val="76BC21"/>
        </w:rPr>
        <w:t>p.</w:t>
      </w:r>
      <w:r>
        <w:rPr>
          <w:rFonts w:ascii="Arial" w:cs="Arial" w:eastAsia="Arial" w:hAnsi="Arial"/>
          <w:sz w:val="14"/>
          <w:szCs w:val="14"/>
          <w:b w:val="1"/>
          <w:bCs w:val="1"/>
          <w:color w:val="00497F"/>
        </w:rPr>
        <w:t xml:space="preserve"> 802-775-0325 </w:t>
      </w:r>
      <w:r>
        <w:rPr>
          <w:rFonts w:ascii="Arial" w:cs="Arial" w:eastAsia="Arial" w:hAnsi="Arial"/>
          <w:sz w:val="14"/>
          <w:szCs w:val="14"/>
          <w:b w:val="1"/>
          <w:bCs w:val="1"/>
          <w:color w:val="76BC21"/>
        </w:rPr>
        <w:t>• f.</w:t>
      </w:r>
      <w:r>
        <w:rPr>
          <w:rFonts w:ascii="Arial" w:cs="Arial" w:eastAsia="Arial" w:hAnsi="Arial"/>
          <w:sz w:val="14"/>
          <w:szCs w:val="14"/>
          <w:b w:val="1"/>
          <w:bCs w:val="1"/>
          <w:color w:val="00497F"/>
        </w:rPr>
        <w:t xml:space="preserve"> 802-775-3290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We would also like to ofer you a one-tme grant of seventeen thousand fve hundred (17,500) Stock Optons (Optons) on your frst day, with the split between Incentve Stock Optons (ISO) and Nonqualifed Stock Optons (NQ) to be determined based on the stock value, the strike price will be set to the closing price as of your frst day, and the optons will have a ten (10) year term. These Optons will vest in fve</w:t>
      </w:r>
    </w:p>
    <w:p>
      <w:pPr>
        <w:spacing w:after="0" w:line="1" w:lineRule="exact"/>
        <w:rPr>
          <w:sz w:val="20"/>
          <w:szCs w:val="20"/>
          <w:color w:val="auto"/>
        </w:rPr>
      </w:pPr>
    </w:p>
    <w:p>
      <w:pPr>
        <w:ind w:right="200" w:firstLine="8"/>
        <w:spacing w:after="0" w:line="253" w:lineRule="auto"/>
        <w:tabs>
          <w:tab w:leader="none" w:pos="265" w:val="left"/>
        </w:tabs>
        <w:numPr>
          <w:ilvl w:val="0"/>
          <w:numId w:val="58"/>
        </w:numPr>
        <w:rPr>
          <w:rFonts w:ascii="Arial" w:cs="Arial" w:eastAsia="Arial" w:hAnsi="Arial"/>
          <w:sz w:val="20"/>
          <w:szCs w:val="20"/>
          <w:color w:val="auto"/>
        </w:rPr>
      </w:pPr>
      <w:r>
        <w:rPr>
          <w:rFonts w:ascii="Arial" w:cs="Arial" w:eastAsia="Arial" w:hAnsi="Arial"/>
          <w:sz w:val="20"/>
          <w:szCs w:val="20"/>
          <w:color w:val="auto"/>
        </w:rPr>
        <w:t>equal installments, with the frst one-ffh vestng on the frst anniversary, the second one-ffh vestng on your second anniversary, the third one-ffh vestng on your third anniversary, the fourth one-ffh vestng on your fourth anniversary, and the fnal one-ffh vestng on your ffh anniversary.</w:t>
      </w:r>
    </w:p>
    <w:p>
      <w:pPr>
        <w:spacing w:after="0" w:line="88" w:lineRule="exact"/>
        <w:rPr>
          <w:rFonts w:ascii="Arial" w:cs="Arial" w:eastAsia="Arial" w:hAnsi="Arial"/>
          <w:sz w:val="20"/>
          <w:szCs w:val="20"/>
          <w:color w:val="auto"/>
        </w:rPr>
      </w:pPr>
    </w:p>
    <w:p>
      <w:pPr>
        <w:ind w:left="660" w:right="80" w:hanging="328"/>
        <w:spacing w:after="0" w:line="277" w:lineRule="auto"/>
        <w:tabs>
          <w:tab w:leader="none" w:pos="648" w:val="left"/>
        </w:tabs>
        <w:numPr>
          <w:ilvl w:val="1"/>
          <w:numId w:val="58"/>
        </w:numPr>
        <w:rPr>
          <w:rFonts w:ascii="Arial" w:cs="Arial" w:eastAsia="Arial" w:hAnsi="Arial"/>
          <w:sz w:val="19"/>
          <w:szCs w:val="19"/>
          <w:color w:val="auto"/>
        </w:rPr>
      </w:pPr>
      <w:r>
        <w:rPr>
          <w:rFonts w:ascii="Arial" w:cs="Arial" w:eastAsia="Arial" w:hAnsi="Arial"/>
          <w:sz w:val="19"/>
          <w:szCs w:val="19"/>
          <w:b w:val="1"/>
          <w:bCs w:val="1"/>
          <w:color w:val="auto"/>
        </w:rPr>
        <w:t>Benefts</w:t>
      </w:r>
      <w:r>
        <w:rPr>
          <w:rFonts w:ascii="Arial" w:cs="Arial" w:eastAsia="Arial" w:hAnsi="Arial"/>
          <w:sz w:val="19"/>
          <w:szCs w:val="19"/>
          <w:color w:val="auto"/>
        </w:rPr>
        <w:t>. In excepton to our standard policy, you will be eligible to receive four (4) weeks paid tme of (combinaton of vacaton</w:t>
      </w:r>
      <w:r>
        <w:rPr>
          <w:rFonts w:ascii="Arial" w:cs="Arial" w:eastAsia="Arial" w:hAnsi="Arial"/>
          <w:sz w:val="19"/>
          <w:szCs w:val="19"/>
          <w:b w:val="1"/>
          <w:bCs w:val="1"/>
          <w:color w:val="auto"/>
        </w:rPr>
        <w:t xml:space="preserve"> </w:t>
      </w:r>
      <w:r>
        <w:rPr>
          <w:rFonts w:ascii="Arial" w:cs="Arial" w:eastAsia="Arial" w:hAnsi="Arial"/>
          <w:sz w:val="19"/>
          <w:szCs w:val="19"/>
          <w:color w:val="auto"/>
        </w:rPr>
        <w:t>and personal tme) during your frst through ninth (9th) year with your inital year pro-rated to your start date, afer which tme you will receive additonal paid tme of in accordance with Company policy. In additon, you will receive six (6) paid holidays.</w:t>
      </w:r>
    </w:p>
    <w:p>
      <w:pPr>
        <w:spacing w:after="0" w:line="66" w:lineRule="exact"/>
        <w:rPr>
          <w:rFonts w:ascii="Arial" w:cs="Arial" w:eastAsia="Arial" w:hAnsi="Arial"/>
          <w:sz w:val="19"/>
          <w:szCs w:val="19"/>
          <w:color w:val="auto"/>
        </w:rPr>
      </w:pPr>
    </w:p>
    <w:p>
      <w:pPr>
        <w:ind w:left="660" w:right="220"/>
        <w:spacing w:after="0" w:line="257" w:lineRule="auto"/>
        <w:rPr>
          <w:rFonts w:ascii="Arial" w:cs="Arial" w:eastAsia="Arial" w:hAnsi="Arial"/>
          <w:sz w:val="19"/>
          <w:szCs w:val="19"/>
          <w:color w:val="auto"/>
        </w:rPr>
      </w:pPr>
      <w:r>
        <w:rPr>
          <w:rFonts w:ascii="Arial" w:cs="Arial" w:eastAsia="Arial" w:hAnsi="Arial"/>
          <w:sz w:val="20"/>
          <w:szCs w:val="20"/>
          <w:color w:val="auto"/>
        </w:rPr>
        <w:t>You will become eligible for our medical benefts on the frst of the month following sixty (60) consecutve days of employment. A Beneft Enrollment Guide will be sent to you within your frst month of employment. The Company will reimburse you for your COBRA costs untl you become eligible for your Casella sponsored benefts.</w:t>
      </w:r>
    </w:p>
    <w:p>
      <w:pPr>
        <w:spacing w:after="0" w:line="71" w:lineRule="exact"/>
        <w:rPr>
          <w:rFonts w:ascii="Arial" w:cs="Arial" w:eastAsia="Arial" w:hAnsi="Arial"/>
          <w:sz w:val="19"/>
          <w:szCs w:val="19"/>
          <w:color w:val="auto"/>
        </w:rPr>
      </w:pPr>
    </w:p>
    <w:p>
      <w:pPr>
        <w:ind w:left="660" w:right="180"/>
        <w:spacing w:after="0" w:line="274" w:lineRule="auto"/>
        <w:rPr>
          <w:rFonts w:ascii="Arial" w:cs="Arial" w:eastAsia="Arial" w:hAnsi="Arial"/>
          <w:sz w:val="19"/>
          <w:szCs w:val="19"/>
          <w:color w:val="auto"/>
        </w:rPr>
      </w:pPr>
      <w:r>
        <w:rPr>
          <w:rFonts w:ascii="Arial" w:cs="Arial" w:eastAsia="Arial" w:hAnsi="Arial"/>
          <w:sz w:val="20"/>
          <w:szCs w:val="20"/>
          <w:color w:val="auto"/>
        </w:rPr>
        <w:t>Similarly, you will be eligible to partcipate in the 401(k) as a salaried employee with a ffy percent (50%) match up to two percent (2%) of your annual income, or one thousand fve hundred dollars ($1,500), whichever is greater.</w:t>
      </w:r>
    </w:p>
    <w:p>
      <w:pPr>
        <w:spacing w:after="0" w:line="68" w:lineRule="exact"/>
        <w:rPr>
          <w:rFonts w:ascii="Arial" w:cs="Arial" w:eastAsia="Arial" w:hAnsi="Arial"/>
          <w:sz w:val="19"/>
          <w:szCs w:val="19"/>
          <w:color w:val="auto"/>
        </w:rPr>
      </w:pPr>
    </w:p>
    <w:p>
      <w:pPr>
        <w:ind w:left="660" w:right="100" w:hanging="328"/>
        <w:spacing w:after="0" w:line="265" w:lineRule="auto"/>
        <w:tabs>
          <w:tab w:leader="none" w:pos="648" w:val="left"/>
        </w:tabs>
        <w:numPr>
          <w:ilvl w:val="1"/>
          <w:numId w:val="5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Relocaton: </w:t>
      </w:r>
      <w:r>
        <w:rPr>
          <w:rFonts w:ascii="Arial" w:cs="Arial" w:eastAsia="Arial" w:hAnsi="Arial"/>
          <w:sz w:val="19"/>
          <w:szCs w:val="19"/>
          <w:color w:val="auto"/>
        </w:rPr>
        <w:t>You will be eligible to receive a one-tme, taxable relocaton allowance to be mutually determined ahead of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relocaton to assist you with your relocaton to the greater Rutland, VT area. This payment is intended to cover cost of this relocaton and related costs. By signing this ofer leter, you agree to pay this amount back to Casella on a pro-rata basis should you voluntarily leave the company within twenty-four (24) months of employment following the payment date or if terminated for cause within twelve (12) months of the payment date. Casella does not accept any responsibility for damage, thef, or loss of your household or personal belongings as a result of this payment for relocaton expenses. This payment is considered wages by the IRS unless you can account for these expenses when you complete your taxes.</w:t>
      </w:r>
    </w:p>
    <w:p>
      <w:pPr>
        <w:spacing w:after="0" w:line="79" w:lineRule="exact"/>
        <w:rPr>
          <w:rFonts w:ascii="Arial" w:cs="Arial" w:eastAsia="Arial" w:hAnsi="Arial"/>
          <w:sz w:val="19"/>
          <w:szCs w:val="19"/>
          <w:color w:val="auto"/>
        </w:rPr>
      </w:pPr>
    </w:p>
    <w:p>
      <w:pPr>
        <w:ind w:left="660"/>
        <w:spacing w:after="0" w:line="257" w:lineRule="auto"/>
        <w:rPr>
          <w:rFonts w:ascii="Arial" w:cs="Arial" w:eastAsia="Arial" w:hAnsi="Arial"/>
          <w:sz w:val="19"/>
          <w:szCs w:val="19"/>
          <w:color w:val="auto"/>
        </w:rPr>
      </w:pPr>
      <w:r>
        <w:rPr>
          <w:rFonts w:ascii="Arial" w:cs="Arial" w:eastAsia="Arial" w:hAnsi="Arial"/>
          <w:sz w:val="20"/>
          <w:szCs w:val="20"/>
          <w:color w:val="auto"/>
        </w:rPr>
        <w:t>Additonally, you will be eligible for reimbursement of temporary, transitonal housing expenses for up to a period of two (2) months to assist you while you secure housing in the greater Rutland, VT area. This beneft can be extended at the discreton of the Company.</w:t>
      </w:r>
    </w:p>
    <w:p>
      <w:pPr>
        <w:spacing w:after="0" w:line="84" w:lineRule="exact"/>
        <w:rPr>
          <w:rFonts w:ascii="Arial" w:cs="Arial" w:eastAsia="Arial" w:hAnsi="Arial"/>
          <w:sz w:val="19"/>
          <w:szCs w:val="19"/>
          <w:color w:val="auto"/>
        </w:rPr>
      </w:pPr>
    </w:p>
    <w:p>
      <w:pPr>
        <w:ind w:left="660" w:right="20" w:hanging="328"/>
        <w:spacing w:after="0" w:line="277" w:lineRule="auto"/>
        <w:tabs>
          <w:tab w:leader="none" w:pos="648" w:val="left"/>
        </w:tabs>
        <w:numPr>
          <w:ilvl w:val="1"/>
          <w:numId w:val="5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Business Travel. </w:t>
      </w:r>
      <w:r>
        <w:rPr>
          <w:rFonts w:ascii="Arial" w:cs="Arial" w:eastAsia="Arial" w:hAnsi="Arial"/>
          <w:sz w:val="19"/>
          <w:szCs w:val="19"/>
          <w:color w:val="auto"/>
        </w:rPr>
        <w:t>This positon will require you to travel and therefore, expenses directly related to business travel – airfare, hotels,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meals, etc. – will be reimbursed to you using the company expense reimbursement program. Business travel will be done using your personal vehicle, and you shall receive a $600 monthly vehicle allowance and a company fuel card.</w:t>
      </w:r>
    </w:p>
    <w:p>
      <w:pPr>
        <w:spacing w:after="0" w:line="53" w:lineRule="exact"/>
        <w:rPr>
          <w:rFonts w:ascii="Arial" w:cs="Arial" w:eastAsia="Arial" w:hAnsi="Arial"/>
          <w:sz w:val="19"/>
          <w:szCs w:val="19"/>
          <w:color w:val="auto"/>
        </w:rPr>
      </w:pPr>
    </w:p>
    <w:p>
      <w:pPr>
        <w:ind w:left="660" w:right="80" w:hanging="328"/>
        <w:spacing w:after="0" w:line="264" w:lineRule="auto"/>
        <w:tabs>
          <w:tab w:leader="none" w:pos="648" w:val="left"/>
        </w:tabs>
        <w:numPr>
          <w:ilvl w:val="1"/>
          <w:numId w:val="58"/>
        </w:numPr>
        <w:rPr>
          <w:rFonts w:ascii="Arial" w:cs="Arial" w:eastAsia="Arial" w:hAnsi="Arial"/>
          <w:sz w:val="20"/>
          <w:szCs w:val="20"/>
          <w:color w:val="auto"/>
        </w:rPr>
      </w:pPr>
      <w:r>
        <w:rPr>
          <w:rFonts w:ascii="Arial" w:cs="Arial" w:eastAsia="Arial" w:hAnsi="Arial"/>
          <w:sz w:val="20"/>
          <w:szCs w:val="20"/>
          <w:b w:val="1"/>
          <w:bCs w:val="1"/>
          <w:i w:val="1"/>
          <w:iCs w:val="1"/>
          <w:color w:val="auto"/>
        </w:rPr>
        <w:t>Contnuous Improvement &amp; Professional Development</w:t>
      </w:r>
      <w:r>
        <w:rPr>
          <w:rFonts w:ascii="Arial" w:cs="Arial" w:eastAsia="Arial" w:hAnsi="Arial"/>
          <w:sz w:val="20"/>
          <w:szCs w:val="20"/>
          <w:color w:val="auto"/>
        </w:rPr>
        <w:t>. As a member of the Casella team, you will have access to tools, training,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other technical assistance to aid in your personal and professional development to ensure you thrive within your feld and with the Company.</w:t>
      </w:r>
    </w:p>
    <w:p>
      <w:pPr>
        <w:spacing w:after="0" w:line="64" w:lineRule="exact"/>
        <w:rPr>
          <w:rFonts w:ascii="Arial" w:cs="Arial" w:eastAsia="Arial" w:hAnsi="Arial"/>
          <w:sz w:val="20"/>
          <w:szCs w:val="20"/>
          <w:color w:val="auto"/>
        </w:rPr>
      </w:pPr>
    </w:p>
    <w:p>
      <w:pPr>
        <w:ind w:left="660" w:right="340" w:hanging="328"/>
        <w:spacing w:after="0" w:line="257" w:lineRule="auto"/>
        <w:tabs>
          <w:tab w:leader="none" w:pos="648" w:val="left"/>
        </w:tabs>
        <w:numPr>
          <w:ilvl w:val="1"/>
          <w:numId w:val="58"/>
        </w:numPr>
        <w:rPr>
          <w:rFonts w:ascii="Arial" w:cs="Arial" w:eastAsia="Arial" w:hAnsi="Arial"/>
          <w:sz w:val="20"/>
          <w:szCs w:val="20"/>
          <w:color w:val="auto"/>
        </w:rPr>
      </w:pPr>
      <w:r>
        <w:rPr>
          <w:rFonts w:ascii="Arial" w:cs="Arial" w:eastAsia="Arial" w:hAnsi="Arial"/>
          <w:sz w:val="20"/>
          <w:szCs w:val="20"/>
          <w:b w:val="1"/>
          <w:bCs w:val="1"/>
          <w:i w:val="1"/>
          <w:iCs w:val="1"/>
          <w:color w:val="auto"/>
        </w:rPr>
        <w:t>Company Policies and Employee Handbook</w:t>
      </w:r>
      <w:r>
        <w:rPr>
          <w:rFonts w:ascii="Arial" w:cs="Arial" w:eastAsia="Arial" w:hAnsi="Arial"/>
          <w:sz w:val="20"/>
          <w:szCs w:val="20"/>
          <w:color w:val="auto"/>
        </w:rPr>
        <w:t>. You will be guided by the policies, practces, and procedures set forth in the Casella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Handbook and eligible for the benefts conferred upon employees as described in the Employee Benefts Enrollment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924560</wp:posOffset>
            </wp:positionV>
            <wp:extent cx="714057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057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10000" w:val="left"/>
        </w:tabs>
        <w:rPr>
          <w:sz w:val="20"/>
          <w:szCs w:val="20"/>
          <w:color w:val="auto"/>
        </w:rPr>
      </w:pPr>
      <w:r>
        <w:rPr>
          <w:rFonts w:ascii="Arial" w:cs="Arial" w:eastAsia="Arial" w:hAnsi="Arial"/>
          <w:sz w:val="13"/>
          <w:szCs w:val="13"/>
          <w:b w:val="1"/>
          <w:bCs w:val="1"/>
          <w:color w:val="00497F"/>
        </w:rPr>
        <w:t xml:space="preserve">CASELLA </w:t>
      </w:r>
      <w:r>
        <w:rPr>
          <w:rFonts w:ascii="Arial" w:cs="Arial" w:eastAsia="Arial" w:hAnsi="Arial"/>
          <w:sz w:val="13"/>
          <w:szCs w:val="13"/>
          <w:b w:val="1"/>
          <w:bCs w:val="1"/>
          <w:color w:val="76BC21"/>
        </w:rPr>
        <w:t>RESOURCE SOLUTIONS</w:t>
      </w:r>
      <w:r>
        <w:rPr>
          <w:rFonts w:ascii="Arial" w:cs="Arial" w:eastAsia="Arial" w:hAnsi="Arial"/>
          <w:sz w:val="13"/>
          <w:szCs w:val="13"/>
          <w:b w:val="1"/>
          <w:bCs w:val="1"/>
          <w:color w:val="00497F"/>
        </w:rPr>
        <w:t xml:space="preserve"> ZERO-SORT® RECYCLING</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76BC21"/>
        </w:rPr>
        <w:t>•</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00497F"/>
        </w:rPr>
        <w:t xml:space="preserve">COLLECTION </w:t>
      </w:r>
      <w:r>
        <w:rPr>
          <w:rFonts w:ascii="Arial" w:cs="Arial" w:eastAsia="Arial" w:hAnsi="Arial"/>
          <w:sz w:val="13"/>
          <w:szCs w:val="13"/>
          <w:b w:val="1"/>
          <w:bCs w:val="1"/>
          <w:color w:val="76BC21"/>
        </w:rPr>
        <w:t>•</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00497F"/>
        </w:rPr>
        <w:t>ORGANICS</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76BC21"/>
        </w:rPr>
        <w:t>•</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00497F"/>
        </w:rPr>
        <w:t>ENERGY</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76BC21"/>
        </w:rPr>
        <w:t>•</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00497F"/>
        </w:rPr>
        <w:t>LANDFILLS</w:t>
      </w:r>
      <w:r>
        <w:rPr>
          <w:sz w:val="20"/>
          <w:szCs w:val="20"/>
          <w:color w:val="auto"/>
        </w:rPr>
        <w:tab/>
      </w:r>
      <w:r>
        <w:rPr>
          <w:rFonts w:ascii="Arial" w:cs="Arial" w:eastAsia="Arial" w:hAnsi="Arial"/>
          <w:sz w:val="14"/>
          <w:szCs w:val="14"/>
          <w:b w:val="1"/>
          <w:bCs w:val="1"/>
          <w:color w:val="60C265"/>
        </w:rPr>
        <w:t>casella.com</w:t>
      </w:r>
    </w:p>
    <w:p>
      <w:pPr>
        <w:sectPr>
          <w:pgSz w:w="11900" w:h="16838" w:orient="portrait"/>
          <w:cols w:equalWidth="0" w:num="1">
            <w:col w:w="11240"/>
          </w:cols>
          <w:pgMar w:left="320" w:top="1233"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00497F"/>
        </w:rPr>
        <w:drawing>
          <wp:anchor simplePos="0" relativeHeight="251657728" behindDoc="1" locked="0" layoutInCell="0" allowOverlap="1">
            <wp:simplePos x="0" y="0"/>
            <wp:positionH relativeFrom="page">
              <wp:posOffset>208280</wp:posOffset>
            </wp:positionH>
            <wp:positionV relativeFrom="page">
              <wp:posOffset>243205</wp:posOffset>
            </wp:positionV>
            <wp:extent cx="1619885" cy="4546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619885" cy="454660"/>
                    </a:xfrm>
                    <a:prstGeom prst="rect">
                      <a:avLst/>
                    </a:prstGeom>
                    <a:noFill/>
                  </pic:spPr>
                </pic:pic>
              </a:graphicData>
            </a:graphic>
          </wp:anchor>
        </w:drawing>
        <w:t>25 Greens Hill Lane</w:t>
      </w:r>
      <w:r>
        <w:rPr>
          <w:rFonts w:ascii="Arial" w:cs="Arial" w:eastAsia="Arial" w:hAnsi="Arial"/>
          <w:sz w:val="14"/>
          <w:szCs w:val="14"/>
          <w:b w:val="1"/>
          <w:bCs w:val="1"/>
          <w:color w:val="000000"/>
        </w:rPr>
        <w:t xml:space="preserve"> </w:t>
      </w:r>
      <w:r>
        <w:rPr>
          <w:rFonts w:ascii="Arial" w:cs="Arial" w:eastAsia="Arial" w:hAnsi="Arial"/>
          <w:sz w:val="14"/>
          <w:szCs w:val="14"/>
          <w:b w:val="1"/>
          <w:bCs w:val="1"/>
          <w:color w:val="76BC21"/>
        </w:rPr>
        <w:t>•</w:t>
      </w:r>
      <w:r>
        <w:rPr>
          <w:rFonts w:ascii="Arial" w:cs="Arial" w:eastAsia="Arial" w:hAnsi="Arial"/>
          <w:sz w:val="14"/>
          <w:szCs w:val="14"/>
          <w:b w:val="1"/>
          <w:bCs w:val="1"/>
          <w:color w:val="00497F"/>
        </w:rPr>
        <w:t xml:space="preserve"> Rutland, VT 05701 </w:t>
      </w:r>
      <w:r>
        <w:rPr>
          <w:rFonts w:ascii="Arial" w:cs="Arial" w:eastAsia="Arial" w:hAnsi="Arial"/>
          <w:sz w:val="14"/>
          <w:szCs w:val="14"/>
          <w:b w:val="1"/>
          <w:bCs w:val="1"/>
          <w:color w:val="76BC21"/>
        </w:rPr>
        <w:t>p.</w:t>
      </w:r>
      <w:r>
        <w:rPr>
          <w:rFonts w:ascii="Arial" w:cs="Arial" w:eastAsia="Arial" w:hAnsi="Arial"/>
          <w:sz w:val="14"/>
          <w:szCs w:val="14"/>
          <w:b w:val="1"/>
          <w:bCs w:val="1"/>
          <w:color w:val="00497F"/>
        </w:rPr>
        <w:t xml:space="preserve"> 802-775-0325 </w:t>
      </w:r>
      <w:r>
        <w:rPr>
          <w:rFonts w:ascii="Arial" w:cs="Arial" w:eastAsia="Arial" w:hAnsi="Arial"/>
          <w:sz w:val="14"/>
          <w:szCs w:val="14"/>
          <w:b w:val="1"/>
          <w:bCs w:val="1"/>
          <w:color w:val="76BC21"/>
        </w:rPr>
        <w:t>• f.</w:t>
      </w:r>
      <w:r>
        <w:rPr>
          <w:rFonts w:ascii="Arial" w:cs="Arial" w:eastAsia="Arial" w:hAnsi="Arial"/>
          <w:sz w:val="14"/>
          <w:szCs w:val="14"/>
          <w:b w:val="1"/>
          <w:bCs w:val="1"/>
          <w:color w:val="00497F"/>
        </w:rPr>
        <w:t xml:space="preserve"> 802-775-3290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right="1020" w:hanging="328"/>
        <w:spacing w:after="0" w:line="274" w:lineRule="auto"/>
        <w:tabs>
          <w:tab w:leader="none" w:pos="648" w:val="left"/>
        </w:tabs>
        <w:numPr>
          <w:ilvl w:val="0"/>
          <w:numId w:val="59"/>
        </w:numPr>
        <w:rPr>
          <w:rFonts w:ascii="Arial" w:cs="Arial" w:eastAsia="Arial" w:hAnsi="Arial"/>
          <w:sz w:val="20"/>
          <w:szCs w:val="20"/>
          <w:i w:val="1"/>
          <w:iCs w:val="1"/>
          <w:color w:val="auto"/>
        </w:rPr>
      </w:pPr>
      <w:r>
        <w:rPr>
          <w:rFonts w:ascii="Arial" w:cs="Arial" w:eastAsia="Arial" w:hAnsi="Arial"/>
          <w:sz w:val="20"/>
          <w:szCs w:val="20"/>
          <w:b w:val="1"/>
          <w:bCs w:val="1"/>
          <w:i w:val="1"/>
          <w:iCs w:val="1"/>
          <w:color w:val="auto"/>
        </w:rPr>
        <w:t>Nondisclosure &amp; Noncompetton Agreement</w:t>
      </w:r>
      <w:r>
        <w:rPr>
          <w:rFonts w:ascii="Arial" w:cs="Arial" w:eastAsia="Arial" w:hAnsi="Arial"/>
          <w:sz w:val="20"/>
          <w:szCs w:val="20"/>
          <w:color w:val="auto"/>
        </w:rPr>
        <w:t>. As an employee of Casella Waste Systems, Inc. you are required to sign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Nondisclosure and Noncompetton Agreement (enclosed).</w:t>
      </w:r>
    </w:p>
    <w:p>
      <w:pPr>
        <w:spacing w:after="0" w:line="55" w:lineRule="exact"/>
        <w:rPr>
          <w:rFonts w:ascii="Arial" w:cs="Arial" w:eastAsia="Arial" w:hAnsi="Arial"/>
          <w:sz w:val="20"/>
          <w:szCs w:val="20"/>
          <w:i w:val="1"/>
          <w:iCs w:val="1"/>
          <w:color w:val="auto"/>
        </w:rPr>
      </w:pPr>
    </w:p>
    <w:p>
      <w:pPr>
        <w:ind w:left="660" w:right="120" w:hanging="328"/>
        <w:spacing w:after="0" w:line="264" w:lineRule="auto"/>
        <w:tabs>
          <w:tab w:leader="none" w:pos="654" w:val="left"/>
        </w:tabs>
        <w:numPr>
          <w:ilvl w:val="0"/>
          <w:numId w:val="5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Contngencies. </w:t>
      </w:r>
      <w:r>
        <w:rPr>
          <w:rFonts w:ascii="Arial" w:cs="Arial" w:eastAsia="Arial" w:hAnsi="Arial"/>
          <w:sz w:val="20"/>
          <w:szCs w:val="20"/>
          <w:color w:val="auto"/>
        </w:rPr>
        <w:t>The employment ofer above is contngent on a satsfactory background check and completon of reference checks.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ofer is also contngent upon Board approval of your appointment as the Chief Financial Ofcer and the Compensaton and Human Capital Commitee approval of your up-front stock grants.</w:t>
      </w:r>
    </w:p>
    <w:p>
      <w:pPr>
        <w:spacing w:after="0" w:line="65" w:lineRule="exact"/>
        <w:rPr>
          <w:sz w:val="20"/>
          <w:szCs w:val="20"/>
          <w:color w:val="auto"/>
        </w:rPr>
      </w:pPr>
    </w:p>
    <w:p>
      <w:pPr>
        <w:jc w:val="both"/>
        <w:ind w:right="200"/>
        <w:spacing w:after="0" w:line="277" w:lineRule="auto"/>
        <w:rPr>
          <w:sz w:val="20"/>
          <w:szCs w:val="20"/>
          <w:color w:val="auto"/>
        </w:rPr>
      </w:pPr>
      <w:r>
        <w:rPr>
          <w:rFonts w:ascii="Arial" w:cs="Arial" w:eastAsia="Arial" w:hAnsi="Arial"/>
          <w:sz w:val="19"/>
          <w:szCs w:val="19"/>
          <w:color w:val="auto"/>
        </w:rPr>
        <w:t>We are very excited about the opportunity for you to join our team and help build shareholder value. We believe your knowledge, energy and experience will help us achieve the goals we have established for our Company. We look forward to you joining our team, and would appreciate it if, upon receipt and review of this leter, you would confrm your acceptance of our ofer.</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CASELLA WASTE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/s/ Edmond R. Coleta</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Ned Coleta</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President &amp; Chief Financial Ofcer</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Understood, Accepted and Agreed: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/s/Bradford J. Helgeson 10/31/2023</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Name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714057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057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10000" w:val="left"/>
        </w:tabs>
        <w:rPr>
          <w:sz w:val="20"/>
          <w:szCs w:val="20"/>
          <w:color w:val="auto"/>
        </w:rPr>
      </w:pPr>
      <w:r>
        <w:rPr>
          <w:rFonts w:ascii="Arial" w:cs="Arial" w:eastAsia="Arial" w:hAnsi="Arial"/>
          <w:sz w:val="13"/>
          <w:szCs w:val="13"/>
          <w:b w:val="1"/>
          <w:bCs w:val="1"/>
          <w:color w:val="00497F"/>
        </w:rPr>
        <w:t xml:space="preserve">CASELLA </w:t>
      </w:r>
      <w:r>
        <w:rPr>
          <w:rFonts w:ascii="Arial" w:cs="Arial" w:eastAsia="Arial" w:hAnsi="Arial"/>
          <w:sz w:val="13"/>
          <w:szCs w:val="13"/>
          <w:b w:val="1"/>
          <w:bCs w:val="1"/>
          <w:color w:val="76BC21"/>
        </w:rPr>
        <w:t>RESOURCE SOLUTIONS</w:t>
      </w:r>
      <w:r>
        <w:rPr>
          <w:rFonts w:ascii="Arial" w:cs="Arial" w:eastAsia="Arial" w:hAnsi="Arial"/>
          <w:sz w:val="13"/>
          <w:szCs w:val="13"/>
          <w:b w:val="1"/>
          <w:bCs w:val="1"/>
          <w:color w:val="00497F"/>
        </w:rPr>
        <w:t xml:space="preserve"> ZERO-SORT® RECYCLING</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76BC21"/>
        </w:rPr>
        <w:t>•</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00497F"/>
        </w:rPr>
        <w:t xml:space="preserve">COLLECTION </w:t>
      </w:r>
      <w:r>
        <w:rPr>
          <w:rFonts w:ascii="Arial" w:cs="Arial" w:eastAsia="Arial" w:hAnsi="Arial"/>
          <w:sz w:val="13"/>
          <w:szCs w:val="13"/>
          <w:b w:val="1"/>
          <w:bCs w:val="1"/>
          <w:color w:val="76BC21"/>
        </w:rPr>
        <w:t>•</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00497F"/>
        </w:rPr>
        <w:t>ORGANICS</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76BC21"/>
        </w:rPr>
        <w:t>•</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00497F"/>
        </w:rPr>
        <w:t>ENERGY</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76BC21"/>
        </w:rPr>
        <w:t>•</w:t>
      </w:r>
      <w:r>
        <w:rPr>
          <w:rFonts w:ascii="Arial" w:cs="Arial" w:eastAsia="Arial" w:hAnsi="Arial"/>
          <w:sz w:val="13"/>
          <w:szCs w:val="13"/>
          <w:b w:val="1"/>
          <w:bCs w:val="1"/>
          <w:color w:val="000000"/>
        </w:rPr>
        <w:t xml:space="preserve"> </w:t>
      </w:r>
      <w:r>
        <w:rPr>
          <w:rFonts w:ascii="Arial" w:cs="Arial" w:eastAsia="Arial" w:hAnsi="Arial"/>
          <w:sz w:val="13"/>
          <w:szCs w:val="13"/>
          <w:b w:val="1"/>
          <w:bCs w:val="1"/>
          <w:color w:val="00497F"/>
        </w:rPr>
        <w:t>LANDFILLS</w:t>
      </w:r>
      <w:r>
        <w:rPr>
          <w:sz w:val="20"/>
          <w:szCs w:val="20"/>
          <w:color w:val="auto"/>
        </w:rPr>
        <w:tab/>
      </w:r>
      <w:r>
        <w:rPr>
          <w:rFonts w:ascii="Arial" w:cs="Arial" w:eastAsia="Arial" w:hAnsi="Arial"/>
          <w:sz w:val="14"/>
          <w:szCs w:val="14"/>
          <w:b w:val="1"/>
          <w:bCs w:val="1"/>
          <w:color w:val="60C265"/>
        </w:rPr>
        <w:t>casella.com</w:t>
      </w:r>
    </w:p>
    <w:p>
      <w:pPr>
        <w:sectPr>
          <w:pgSz w:w="11900" w:h="16838" w:orient="portrait"/>
          <w:cols w:equalWidth="0" w:num="1">
            <w:col w:w="11220"/>
          </w:cols>
          <w:pgMar w:left="320" w:top="1233" w:right="3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November 2, 2023</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229"/>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230"/>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November 2, 2023</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30"/>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Financial Officer</w:t>
            </w:r>
          </w:p>
        </w:tc>
      </w:tr>
      <w:tr>
        <w:trPr>
          <w:trHeight w:val="230"/>
        </w:trPr>
        <w:tc>
          <w:tcPr>
            <w:tcW w:w="43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September 30, 2023 as filed with the Securities and Exchange Commission on the date hereof (“Report”), the undersigned, John W. Casella, Chairman and Chief Executive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November 2, 2023</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6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6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September 30, 2023 as filed with the Securities and Exchange Commission on the date hereof (“Report”), the undersigned, Edmond R. Coletta, President and Chief Financial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 November 2, 2023</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52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524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emdash "/>
      <w:numFmt w:val="bullet"/>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1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lowerRoman"/>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2"/>
    </w:lvl>
  </w:abstractNum>
  <w:abstractNum w:abstractNumId="45">
    <w:nsid w:val="4F4EF005"/>
    <w:multiLevelType w:val="hybridMultilevel"/>
    <w:lvl w:ilvl="0">
      <w:lvlJc w:val="left"/>
      <w:lvlText w:val="%1."/>
      <w:numFmt w:val="decimal"/>
      <w:start w:val="4"/>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lowerLetter"/>
      <w:start w:val="4"/>
    </w:lvl>
  </w:abstractNum>
  <w:abstractNum w:abstractNumId="48">
    <w:nsid w:val="275AC794"/>
    <w:multiLevelType w:val="hybridMultilevel"/>
    <w:lvl w:ilvl="0">
      <w:lvlJc w:val="left"/>
      <w:lvlText w:val="%1."/>
      <w:numFmt w:val="decimal"/>
      <w:start w:val="5"/>
    </w:lvl>
    <w:lvl w:ilvl="1">
      <w:lvlJc w:val="left"/>
      <w:lvlText w:val="(%2)"/>
      <w:numFmt w:val="lowerLetter"/>
      <w:start w:val="1"/>
    </w:lvl>
  </w:abstractNum>
  <w:abstractNum w:abstractNumId="49">
    <w:nsid w:val="39386575"/>
    <w:multiLevelType w:val="hybridMultilevel"/>
    <w:lvl w:ilvl="0">
      <w:lvlJc w:val="left"/>
      <w:lvlText w:val="(%1)"/>
      <w:numFmt w:val="upperLetter"/>
      <w:start w:val="2"/>
    </w:lvl>
    <w:lvl w:ilvl="1">
      <w:lvlJc w:val="left"/>
      <w:lvlText w:val="(%2)"/>
      <w:numFmt w:val="lowerLetter"/>
      <w:start w:val="2"/>
    </w:lvl>
  </w:abstractNum>
  <w:abstractNum w:abstractNumId="50">
    <w:nsid w:val="1CF10FD8"/>
    <w:multiLevelType w:val="hybridMultilevel"/>
    <w:lvl w:ilvl="0">
      <w:lvlJc w:val="left"/>
      <w:lvlText w:val="%1."/>
      <w:numFmt w:val="decimal"/>
      <w:start w:val="7"/>
    </w:lvl>
  </w:abstractNum>
  <w:abstractNum w:abstractNumId="51">
    <w:nsid w:val="180115BE"/>
    <w:multiLevelType w:val="hybridMultilevel"/>
    <w:lvl w:ilvl="0">
      <w:lvlJc w:val="left"/>
      <w:lvlText w:val="%1."/>
      <w:numFmt w:val="decimal"/>
      <w:start w:val="10"/>
    </w:lvl>
  </w:abstractNum>
  <w:abstractNum w:abstractNumId="52">
    <w:nsid w:val="235BA861"/>
    <w:multiLevelType w:val="hybridMultilevel"/>
    <w:lvl w:ilvl="0">
      <w:lvlJc w:val="left"/>
      <w:lvlText w:val="%1."/>
      <w:numFmt w:val="decimal"/>
      <w:start w:val="12"/>
    </w:lvl>
    <w:lvl w:ilvl="1">
      <w:lvlJc w:val="left"/>
      <w:lvlText w:val="(%2)"/>
      <w:numFmt w:val="lowerLetter"/>
      <w:start w:val="1"/>
    </w:lvl>
  </w:abstractNum>
  <w:abstractNum w:abstractNumId="53">
    <w:nsid w:val="47398C89"/>
    <w:multiLevelType w:val="hybridMultilevel"/>
    <w:lvl w:ilvl="0">
      <w:lvlJc w:val="left"/>
      <w:lvlText w:val="%1."/>
      <w:numFmt w:val="decimal"/>
      <w:start w:val="14"/>
    </w:lvl>
  </w:abstractNum>
  <w:abstractNum w:abstractNumId="54">
    <w:nsid w:val="354FE9F9"/>
    <w:multiLevelType w:val="hybridMultilevel"/>
    <w:lvl w:ilvl="0">
      <w:lvlJc w:val="left"/>
      <w:lvlText w:val="%1."/>
      <w:numFmt w:val="decimal"/>
      <w:start w:val="15"/>
    </w:lvl>
  </w:abstractNum>
  <w:abstractNum w:abstractNumId="55">
    <w:nsid w:val="15B5AF5C"/>
    <w:multiLevelType w:val="hybridMultilevel"/>
    <w:lvl w:ilvl="0">
      <w:lvlJc w:val="left"/>
      <w:lvlText w:val="%1."/>
      <w:numFmt w:val="decimal"/>
      <w:start w:val="2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5"/>
    </w:lvl>
    <w:lvl w:ilvl="1">
      <w:lvlJc w:val="left"/>
      <w:lvlText w:val="%2."/>
      <w:numFmt w:val="decimal"/>
      <w:start w:val="4"/>
    </w:lvl>
  </w:abstractNum>
  <w:abstractNum w:abstractNumId="58">
    <w:nsid w:val="10233C99"/>
    <w:multiLevelType w:val="hybridMultilevel"/>
    <w:lvl w:ilvl="0">
      <w:lvlJc w:val="left"/>
      <w:lvlText w:val="%1."/>
      <w:numFmt w:val="decimal"/>
      <w:start w:val="9"/>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83" Type="http://schemas.openxmlformats.org/officeDocument/2006/relationships/hyperlink" Target="https://www.sec.gov/Archives/edgar/data/911177/000091117723000129/exhibit42guaranty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2023-11-02T16:25:00Z</dcterms:created>
  <dcterms:modified xsi:type="dcterms:W3CDTF">2023-11-02T16:25:00Z</dcterms:modified>
</cp:coreProperties>
</file>