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righ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60"/>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000-23211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CASELLA WASTE SYSTEMS,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54" w:type="dxa"/>
        <w:jc w:val="center"/>
        <w:tblInd w:w="0" w:type="dxa"/>
        <w:tblLayout w:type="fixed"/>
        <w:tblCellMar>
          <w:top w:w="28" w:type="dxa"/>
          <w:left w:w="28" w:type="dxa"/>
          <w:bottom w:w="28" w:type="dxa"/>
          <w:right w:w="28" w:type="dxa"/>
        </w:tblCellMar>
      </w:tblPr>
      <w:tblGrid>
        <w:gridCol w:w="859"/>
        <w:gridCol w:w="753"/>
        <w:gridCol w:w="758"/>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03-0338873</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3850" w:type="dxa"/>
        <w:jc w:val="center"/>
        <w:tblInd w:w="0" w:type="dxa"/>
        <w:tblLayout w:type="fixed"/>
        <w:tblCellMar>
          <w:top w:w="28" w:type="dxa"/>
          <w:left w:w="28" w:type="dxa"/>
          <w:bottom w:w="28" w:type="dxa"/>
          <w:right w:w="28" w:type="dxa"/>
        </w:tblCellMar>
      </w:tblPr>
      <w:tblGrid>
        <w:gridCol w:w="541"/>
        <w:gridCol w:w="476"/>
        <w:gridCol w:w="476"/>
        <w:gridCol w:w="476"/>
        <w:gridCol w:w="476"/>
        <w:gridCol w:w="476"/>
        <w:gridCol w:w="272"/>
        <w:gridCol w:w="272"/>
        <w:gridCol w:w="385"/>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25 Greens Hill Lane,</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Rutland,</w:t>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Vermont</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05701</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(802) 775-0325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7342" w:type="dxa"/>
        <w:jc w:val="left"/>
        <w:tblInd w:w="0" w:type="dxa"/>
        <w:tblLayout w:type="fixed"/>
        <w:tblCellMar>
          <w:top w:w="28" w:type="dxa"/>
          <w:left w:w="28" w:type="dxa"/>
          <w:bottom w:w="28" w:type="dxa"/>
          <w:right w:w="28" w:type="dxa"/>
        </w:tblCellMar>
      </w:tblPr>
      <w:tblGrid>
        <w:gridCol w:w="1285"/>
        <w:gridCol w:w="1127"/>
        <w:gridCol w:w="1142"/>
        <w:gridCol w:w="109"/>
        <w:gridCol w:w="109"/>
        <w:gridCol w:w="109"/>
        <w:gridCol w:w="274"/>
        <w:gridCol w:w="274"/>
        <w:gridCol w:w="276"/>
        <w:gridCol w:w="109"/>
        <w:gridCol w:w="109"/>
        <w:gridCol w:w="109"/>
        <w:gridCol w:w="676"/>
        <w:gridCol w:w="676"/>
        <w:gridCol w:w="958"/>
      </w:tblGrid>
      <w:tr>
        <w:trPr/>
        <w:tc>
          <w:tcPr>
            <w:tcW w:w="128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CWST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60" w:after="283"/>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362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420"/>
        <w:gridCol w:w="420"/>
        <w:gridCol w:w="421"/>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tbl>
      <w:tblPr>
        <w:tblW w:w="4314" w:type="dxa"/>
        <w:jc w:val="center"/>
        <w:tblInd w:w="0" w:type="dxa"/>
        <w:tblLayout w:type="fixed"/>
        <w:tblCellMar>
          <w:top w:w="28" w:type="dxa"/>
          <w:left w:w="28" w:type="dxa"/>
          <w:bottom w:w="28" w:type="dxa"/>
          <w:right w:w="28" w:type="dxa"/>
        </w:tblCellMar>
      </w:tblPr>
      <w:tblGrid>
        <w:gridCol w:w="576"/>
        <w:gridCol w:w="505"/>
        <w:gridCol w:w="508"/>
        <w:gridCol w:w="109"/>
        <w:gridCol w:w="109"/>
        <w:gridCol w:w="109"/>
        <w:gridCol w:w="675"/>
        <w:gridCol w:w="675"/>
        <w:gridCol w:w="676"/>
        <w:gridCol w:w="109"/>
        <w:gridCol w:w="109"/>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bl>
    <w:tbl>
      <w:tblPr>
        <w:tblW w:w="308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79"/>
        <w:gridCol w:w="679"/>
        <w:gridCol w:w="6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bl>
    <w:p>
      <w:pPr>
        <w:pStyle w:val="TextBody"/>
        <w:bidi w:val="0"/>
        <w:spacing w:lineRule="auto" w:line="288" w:before="6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The number of shares outstanding of each of the registrant’s classes of common stock, as of October 15, 2025:</w:t>
      </w:r>
    </w:p>
    <w:tbl>
      <w:tblPr>
        <w:tblW w:w="5131" w:type="dxa"/>
        <w:jc w:val="left"/>
        <w:tblInd w:w="0" w:type="dxa"/>
        <w:tblLayout w:type="fixed"/>
        <w:tblCellMar>
          <w:top w:w="28" w:type="dxa"/>
          <w:left w:w="28" w:type="dxa"/>
          <w:bottom w:w="28" w:type="dxa"/>
          <w:right w:w="28" w:type="dxa"/>
        </w:tblCellMar>
      </w:tblPr>
      <w:tblGrid>
        <w:gridCol w:w="1333"/>
        <w:gridCol w:w="1173"/>
        <w:gridCol w:w="1183"/>
        <w:gridCol w:w="480"/>
        <w:gridCol w:w="481"/>
        <w:gridCol w:w="109"/>
        <w:gridCol w:w="109"/>
        <w:gridCol w:w="109"/>
        <w:gridCol w:w="154"/>
      </w:tblGrid>
      <w:tr>
        <w:trPr/>
        <w:tc>
          <w:tcPr>
            <w:tcW w:w="133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$0.01 par value per share:</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62,505,316 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B common stock, $0.01 par value per share:</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642"/>
        <w:gridCol w:w="2295"/>
        <w:gridCol w:w="2303"/>
        <w:gridCol w:w="211"/>
        <w:gridCol w:w="976"/>
        <w:gridCol w:w="109"/>
        <w:gridCol w:w="109"/>
        <w:gridCol w:w="109"/>
        <w:gridCol w:w="109"/>
        <w:gridCol w:w="211"/>
        <w:gridCol w:w="976"/>
        <w:gridCol w:w="155"/>
      </w:tblGrid>
      <w:tr>
        <w:trPr/>
        <w:tc>
          <w:tcPr>
            <w:tcW w:w="2642"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$6,734 and $8,515,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Refundable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613,305 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 and amortization of $1,446,292 and $1,302,324,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1,164,815 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1,002,266 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method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3,230,068 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for share and per share data)</w:t>
      </w:r>
    </w:p>
    <w:tbl>
      <w:tblPr>
        <w:tblW w:w="10205" w:type="dxa"/>
        <w:jc w:val="center"/>
        <w:tblInd w:w="0" w:type="dxa"/>
        <w:tblLayout w:type="fixed"/>
        <w:tblCellMar>
          <w:top w:w="28" w:type="dxa"/>
          <w:left w:w="28" w:type="dxa"/>
          <w:bottom w:w="28" w:type="dxa"/>
          <w:right w:w="28" w:type="dxa"/>
        </w:tblCellMar>
      </w:tblPr>
      <w:tblGrid>
        <w:gridCol w:w="2611"/>
        <w:gridCol w:w="2086"/>
        <w:gridCol w:w="2099"/>
        <w:gridCol w:w="242"/>
        <w:gridCol w:w="1122"/>
        <w:gridCol w:w="124"/>
        <w:gridCol w:w="124"/>
        <w:gridCol w:w="124"/>
        <w:gridCol w:w="124"/>
        <w:gridCol w:w="242"/>
        <w:gridCol w:w="1122"/>
        <w:gridCol w:w="185"/>
      </w:tblGrid>
      <w:tr>
        <w:trPr/>
        <w:tc>
          <w:tcPr>
            <w:tcW w:w="261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6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6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debt</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111,087 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expenses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accrued final capping, closure and post-closure costs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54,666 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296,505 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307,317 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less current portion</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1,122,523 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1,090,632 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less current portion</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final capping, closure and post-closure costs, less current portion</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169,006 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$0.01 par value per share; 100,000,000 shares authorized; 62,505,000 and 62,370,000 shares issued and outstanding, respectively</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$0.01 par value per share; 1,000,000 shares authorized; 988,000 shares issued and outstanding, respectively; 10 votes per share</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1,692,958 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1,679,878 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(122,603)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(132,985)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 net of tax</w:t>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6796"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r>
      <w:tr>
        <w:trPr/>
        <w:tc>
          <w:tcPr>
            <w:tcW w:w="6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1,567,364 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1,550,839 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3,285,292 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3,230,068 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for per share data)</w:t>
      </w:r>
    </w:p>
    <w:tbl>
      <w:tblPr>
        <w:tblW w:w="10205" w:type="dxa"/>
        <w:jc w:val="center"/>
        <w:tblInd w:w="0" w:type="dxa"/>
        <w:tblLayout w:type="fixed"/>
        <w:tblCellMar>
          <w:top w:w="28" w:type="dxa"/>
          <w:left w:w="28" w:type="dxa"/>
          <w:bottom w:w="28" w:type="dxa"/>
          <w:right w:w="28" w:type="dxa"/>
        </w:tblCellMar>
      </w:tblPr>
      <w:tblGrid>
        <w:gridCol w:w="1600"/>
        <w:gridCol w:w="1348"/>
        <w:gridCol w:w="1346"/>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60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1,129,797 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 from acquisition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Southbridge Landfill closure charge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1,075,565 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per share attributable to common stockholders: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per share attributable to common stockholders: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COMPREHENSIVE INCOME (LOSS)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913"/>
        <w:gridCol w:w="1669"/>
        <w:gridCol w:w="1684"/>
        <w:gridCol w:w="211"/>
        <w:gridCol w:w="616"/>
        <w:gridCol w:w="109"/>
        <w:gridCol w:w="109"/>
        <w:gridCol w:w="109"/>
        <w:gridCol w:w="109"/>
        <w:gridCol w:w="211"/>
        <w:gridCol w:w="677"/>
        <w:gridCol w:w="109"/>
        <w:gridCol w:w="109"/>
        <w:gridCol w:w="109"/>
        <w:gridCol w:w="109"/>
        <w:gridCol w:w="211"/>
        <w:gridCol w:w="721"/>
        <w:gridCol w:w="109"/>
        <w:gridCol w:w="109"/>
        <w:gridCol w:w="109"/>
        <w:gridCol w:w="109"/>
        <w:gridCol w:w="211"/>
        <w:gridCol w:w="616"/>
        <w:gridCol w:w="157"/>
      </w:tblGrid>
      <w:tr>
        <w:trPr/>
        <w:tc>
          <w:tcPr>
            <w:tcW w:w="191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52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tax:</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Hedging activity: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settlements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 amounts reclassified into 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resulting from changes in fair value of derivative instruments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tax</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related to items of 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52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10953" w:type="dxa"/>
        <w:jc w:val="center"/>
        <w:tblInd w:w="0" w:type="dxa"/>
        <w:tblLayout w:type="fixed"/>
        <w:tblCellMar>
          <w:top w:w="28" w:type="dxa"/>
          <w:left w:w="28" w:type="dxa"/>
          <w:bottom w:w="28" w:type="dxa"/>
          <w:right w:w="28" w:type="dxa"/>
        </w:tblCellMar>
      </w:tblPr>
      <w:tblGrid>
        <w:gridCol w:w="750"/>
        <w:gridCol w:w="225"/>
        <w:gridCol w:w="226"/>
        <w:gridCol w:w="196"/>
        <w:gridCol w:w="871"/>
        <w:gridCol w:w="109"/>
        <w:gridCol w:w="109"/>
        <w:gridCol w:w="109"/>
        <w:gridCol w:w="109"/>
        <w:gridCol w:w="323"/>
        <w:gridCol w:w="323"/>
        <w:gridCol w:w="171"/>
        <w:gridCol w:w="109"/>
        <w:gridCol w:w="109"/>
        <w:gridCol w:w="109"/>
        <w:gridCol w:w="196"/>
        <w:gridCol w:w="421"/>
        <w:gridCol w:w="109"/>
        <w:gridCol w:w="109"/>
        <w:gridCol w:w="109"/>
        <w:gridCol w:w="109"/>
        <w:gridCol w:w="210"/>
        <w:gridCol w:w="211"/>
        <w:gridCol w:w="171"/>
        <w:gridCol w:w="109"/>
        <w:gridCol w:w="109"/>
        <w:gridCol w:w="109"/>
        <w:gridCol w:w="196"/>
        <w:gridCol w:w="331"/>
        <w:gridCol w:w="109"/>
        <w:gridCol w:w="109"/>
        <w:gridCol w:w="109"/>
        <w:gridCol w:w="109"/>
        <w:gridCol w:w="196"/>
        <w:gridCol w:w="871"/>
        <w:gridCol w:w="109"/>
        <w:gridCol w:w="109"/>
        <w:gridCol w:w="109"/>
        <w:gridCol w:w="109"/>
        <w:gridCol w:w="196"/>
        <w:gridCol w:w="751"/>
        <w:gridCol w:w="109"/>
        <w:gridCol w:w="109"/>
        <w:gridCol w:w="109"/>
        <w:gridCol w:w="109"/>
        <w:gridCol w:w="228"/>
        <w:gridCol w:w="665"/>
        <w:gridCol w:w="128"/>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Casella Waste Systems, Inc.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Accumulated Other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Comprehensive (Loss)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62,370 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1,679,878 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Class A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Comprehensive loss: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Hedging activity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2025</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62,475 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1,684,788 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(137,795)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Class A common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Hedging activity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2025</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Class A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Hedging activity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September 30, 2025</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1,567,364 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1,692,958 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(3,626)</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12043" w:type="dxa"/>
        <w:jc w:val="center"/>
        <w:tblInd w:w="0" w:type="dxa"/>
        <w:tblLayout w:type="fixed"/>
        <w:tblCellMar>
          <w:top w:w="28" w:type="dxa"/>
          <w:left w:w="28" w:type="dxa"/>
          <w:bottom w:w="28" w:type="dxa"/>
          <w:right w:w="28" w:type="dxa"/>
        </w:tblCellMar>
      </w:tblPr>
      <w:tblGrid>
        <w:gridCol w:w="750"/>
        <w:gridCol w:w="225"/>
        <w:gridCol w:w="226"/>
        <w:gridCol w:w="196"/>
        <w:gridCol w:w="871"/>
        <w:gridCol w:w="109"/>
        <w:gridCol w:w="109"/>
        <w:gridCol w:w="109"/>
        <w:gridCol w:w="109"/>
        <w:gridCol w:w="323"/>
        <w:gridCol w:w="323"/>
        <w:gridCol w:w="171"/>
        <w:gridCol w:w="109"/>
        <w:gridCol w:w="109"/>
        <w:gridCol w:w="109"/>
        <w:gridCol w:w="196"/>
        <w:gridCol w:w="421"/>
        <w:gridCol w:w="109"/>
        <w:gridCol w:w="109"/>
        <w:gridCol w:w="109"/>
        <w:gridCol w:w="109"/>
        <w:gridCol w:w="210"/>
        <w:gridCol w:w="211"/>
        <w:gridCol w:w="171"/>
        <w:gridCol w:w="109"/>
        <w:gridCol w:w="109"/>
        <w:gridCol w:w="109"/>
        <w:gridCol w:w="196"/>
        <w:gridCol w:w="331"/>
        <w:gridCol w:w="109"/>
        <w:gridCol w:w="109"/>
        <w:gridCol w:w="109"/>
        <w:gridCol w:w="109"/>
        <w:gridCol w:w="196"/>
        <w:gridCol w:w="871"/>
        <w:gridCol w:w="109"/>
        <w:gridCol w:w="109"/>
        <w:gridCol w:w="109"/>
        <w:gridCol w:w="109"/>
        <w:gridCol w:w="196"/>
        <w:gridCol w:w="751"/>
        <w:gridCol w:w="109"/>
        <w:gridCol w:w="109"/>
        <w:gridCol w:w="109"/>
        <w:gridCol w:w="109"/>
        <w:gridCol w:w="228"/>
        <w:gridCol w:w="665"/>
        <w:gridCol w:w="128"/>
        <w:gridCol w:w="109"/>
        <w:gridCol w:w="109"/>
        <w:gridCol w:w="109"/>
        <w:gridCol w:w="109"/>
        <w:gridCol w:w="109"/>
        <w:gridCol w:w="109"/>
        <w:gridCol w:w="109"/>
        <w:gridCol w:w="109"/>
        <w:gridCol w:w="109"/>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Casella Waste Systems, Inc.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w:t>
              <w:b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Accumulated Other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Comprehensive (Loss)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57,007 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(146,521)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Class A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Hedging activity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2024</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57,120 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Class A common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Hedging activity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2024</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57,145 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 stock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Class A common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Comprehensive loss: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Hedging activity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September 30, 2024</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1,531,530 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62,325 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1,673,442 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(4,684)</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8605" w:type="dxa"/>
        <w:jc w:val="center"/>
        <w:tblInd w:w="0" w:type="dxa"/>
        <w:tblLayout w:type="fixed"/>
        <w:tblCellMar>
          <w:top w:w="28" w:type="dxa"/>
          <w:left w:w="28" w:type="dxa"/>
          <w:bottom w:w="28" w:type="dxa"/>
          <w:right w:w="28" w:type="dxa"/>
        </w:tblCellMar>
      </w:tblPr>
      <w:tblGrid>
        <w:gridCol w:w="2071"/>
        <w:gridCol w:w="1819"/>
        <w:gridCol w:w="1825"/>
        <w:gridCol w:w="196"/>
        <w:gridCol w:w="736"/>
        <w:gridCol w:w="109"/>
        <w:gridCol w:w="109"/>
        <w:gridCol w:w="109"/>
        <w:gridCol w:w="109"/>
        <w:gridCol w:w="196"/>
        <w:gridCol w:w="736"/>
        <w:gridCol w:w="109"/>
        <w:gridCol w:w="109"/>
        <w:gridCol w:w="109"/>
        <w:gridCol w:w="109"/>
        <w:gridCol w:w="154"/>
      </w:tblGrid>
      <w:tr>
        <w:trPr/>
        <w:tc>
          <w:tcPr>
            <w:tcW w:w="2071"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accretion on landfill and environmental remediation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items and charges,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 net of effects of acquisitions and divestitures: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Landfill operating lease contract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inventories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contract liabilities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Additions to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Additions to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property insurance settlement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(404,723)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(384,629)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debt 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public offering of Class A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increase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(190,650)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Cash Flow Information:</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interest payments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income tax payments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Supplemental Disclosure of Non-Cash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Right-of-use assets obtained in exchange for finance lease obligations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obtained in exchange for operating lease obligations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CASELLA WASTE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Casella Waste Systems, Inc. (“Parent”) and its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provide integrated solid waste services in ten states: Vermont, New Hampshire, New York, Massachusetts, Connecticut, Maine, Pennsylvania, New Jersey, Delaware and Maryland, with our headquarters located in Rutland, Vermont. We manage our solid waste operations on a geographic basis through three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pStyle w:val="TextBody"/>
        <w:bidi w:val="0"/>
        <w:spacing w:lineRule="auto" w:line="288" w:before="120" w:after="120"/>
        <w:jc w:val="left"/>
        <w:rPr/>
      </w:pPr>
      <w:r>
        <w:rPr>
          <w:rFonts w:ascii="Times New Roman;serif" w:hAnsi="Times New Roman;serif"/>
          <w:b w:val="false"/>
          <w:color w:val="000000"/>
          <w:sz w:val="20"/>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w:t>
      </w:r>
      <w:r>
        <w:rPr>
          <w:rFonts w:ascii="Times New Roman;serif" w:hAnsi="Times New Roman;serif"/>
          <w:b w:val="false"/>
          <w:i/>
          <w:color w:val="000000"/>
          <w:sz w:val="20"/>
        </w:rPr>
        <w:t>Financial Statements and Supplementary Data</w:t>
      </w:r>
      <w:r>
        <w:rPr>
          <w:color w:val="000000"/>
        </w:rPr>
        <w:t xml:space="preserve">” </w:t>
      </w:r>
      <w:r>
        <w:rPr>
          <w:rFonts w:ascii="Times New Roman;serif" w:hAnsi="Times New Roman;serif"/>
          <w:b w:val="false"/>
          <w:color w:val="000000"/>
          <w:sz w:val="20"/>
        </w:rPr>
        <w:t>of our Annual Report on Form 10-K for the fiscal year ended December 31, 2024 (“fiscal year 2024”), which was filed with the SEC on February 18, 2025 (“2024 Form 10-K”).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including normal recurring and nonrecurring adjustments, as applicable, necessary for a fair statement of the financial position, results of operations and cash flows for the periods presented. The results for the three and nine months ended September 30, 2025 may not be indicative of the results for any other interim period or the entire fiscal year. The consolidated financial statements presented herein should be read in conjunction with our audited consolidated financial statements included in our 2024 Form 10-K.</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Subsequent Events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evaluated subsequent events or transactions that have occurred after the consolidated balance sheet date of September 30, 2025 through the date of filing of the consolidated financial statements with the SEC on this Quarterly Report on Form 10-Q. Except as disclosed, no material subsequent events have occurred since September 30, 2025 through the date of this filing that would require recognition or adjustments to our disclosures in our consolidated financial statements.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2.    ACCOUNTING CHANGES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brief description of applicable Accounting Standards Updates (“ASU”) to the Accounting Standards Codification (“ASC”) issued by the Financial Accounting Standards Board (“FASB”) based on current account balances and activity:</w:t>
      </w:r>
    </w:p>
    <w:tbl>
      <w:tblPr>
        <w:tblW w:w="10205" w:type="dxa"/>
        <w:jc w:val="left"/>
        <w:tblInd w:w="0" w:type="dxa"/>
        <w:tblLayout w:type="fixed"/>
        <w:tblCellMar>
          <w:top w:w="28" w:type="dxa"/>
          <w:left w:w="28" w:type="dxa"/>
          <w:bottom w:w="28" w:type="dxa"/>
          <w:right w:w="28" w:type="dxa"/>
        </w:tblCellMar>
      </w:tblPr>
      <w:tblGrid>
        <w:gridCol w:w="902"/>
        <w:gridCol w:w="538"/>
        <w:gridCol w:w="543"/>
        <w:gridCol w:w="109"/>
        <w:gridCol w:w="109"/>
        <w:gridCol w:w="109"/>
        <w:gridCol w:w="1165"/>
        <w:gridCol w:w="1165"/>
        <w:gridCol w:w="1176"/>
        <w:gridCol w:w="109"/>
        <w:gridCol w:w="109"/>
        <w:gridCol w:w="109"/>
        <w:gridCol w:w="1491"/>
        <w:gridCol w:w="1062"/>
        <w:gridCol w:w="1509"/>
      </w:tblGrid>
      <w:tr>
        <w:trPr/>
        <w:tc>
          <w:tcPr>
            <w:tcW w:w="90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2"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on the Financial Statements or Other</w:t>
              <w:br/>
              <w:t>Significant Matters</w:t>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Accounting standards issued pending adoption as of September 30, 2025</w:t>
            </w:r>
          </w:p>
        </w:tc>
      </w:tr>
      <w:tr>
        <w:trPr/>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2023-09: Improvements to Income Tax Disclosures (Topic 740)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Requires entities to provide additional disclosure related to the transparency and decision usefulness of income tax disclosures, including additional disclosure around the rate reconciliation and income taxes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 guidance is effective for fiscal years beginning after December 15, 2024, with early adoption permitted. The guidance will be applied on a prospective basis with the option to apply the standard retrospectively. We do not expect the adoption of this guidance to have a material impact on our consolidated financial statements.</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2024-03: Improvements to Income Statement - Expense Disaggregation Disclosures (Subtopic 220-40)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Requires entities to provide additional disclosure related to more detailed information about specific types of expenses contained in commonly presented expense captions on the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 guidance is effective for fiscal years beginning after December 15, 2026, and interim periods within fiscal years beginning after December 15, 2027, with early adoption permitted. This guidance will be applied on a prospective basis with the option to apply the standard retrospectively. We do not expect the adoption of this guidance to have a material impact on our consolidated financial statements.</w:t>
            </w:r>
          </w:p>
        </w:tc>
      </w:tr>
      <w:tr>
        <w:trPr/>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2025-05: Financial Instruments - Credit Losses (Topic 326)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Provides that in developing reasonable and supportable forecasts as part of estimating expected credit losses on current accounts receivable and contract asset balances that an entity may elect a practical expedient that assumes that current conditions as of the balance sheet date do not change for the remaining life of the asset.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 guidance is effective for fiscal years beginning after December 15, 2025 and interim periods within those annual reporting periods, with early adoption permitted. This guidance will be applied on a prospective basis. We do not expect the adoption of this guidance to have a material impact on our consolidated financial statements.</w:t>
            </w:r>
          </w:p>
        </w:tc>
      </w:tr>
      <w:tr>
        <w:trPr/>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No. 2025-06: Intangibles - Goodwill and Other - Internal-Use Software (Subtopic 350-40)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Removes all references to prescriptive and sequential software development stages (referred to as “project stages”) and requires entities to start capitalizing software costs when management has authorized and committed to funding the software project, it is probable that the project will be completed and that the software will be used to perform the function intended.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 guidance is effective for fiscal years beginning after December 15, 2027 and interim periods within those annual reporting periods, with early adoption permitted as of the beginning of an annual reporting period. This guidance will be applied on either a prospective, retrospective or modified transition basis. We do not expect the adoption of this guidance to have a material impact on our consolidated financial statements.</w:t>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2"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2"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2"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2"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2" w:type="dxa"/>
            <w:gridSpan w:val="3"/>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Revenues associated with our solid waste operations are derived mainly from solid waste collection and disposal services, including landfill, transfer station and transportation services, landfill gas-to-energy services and processing services. Revenues associated with our resource renewal operations are derived from processing services and our National Accounts business.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revenues disaggregated by service line and timing of revenue recognition by operating segment for each of the three and nine months ended September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Three Months Ended September 30, 2025</w:t>
      </w:r>
    </w:p>
    <w:tbl>
      <w:tblPr>
        <w:tblW w:w="9860" w:type="dxa"/>
        <w:jc w:val="left"/>
        <w:tblInd w:w="0" w:type="dxa"/>
        <w:tblLayout w:type="fixed"/>
        <w:tblCellMar>
          <w:top w:w="28" w:type="dxa"/>
          <w:left w:w="28" w:type="dxa"/>
          <w:bottom w:w="28" w:type="dxa"/>
          <w:right w:w="28" w:type="dxa"/>
        </w:tblCellMar>
      </w:tblPr>
      <w:tblGrid>
        <w:gridCol w:w="902"/>
        <w:gridCol w:w="790"/>
        <w:gridCol w:w="79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98"/>
        <w:gridCol w:w="1018"/>
        <w:gridCol w:w="154"/>
        <w:gridCol w:w="109"/>
        <w:gridCol w:w="109"/>
        <w:gridCol w:w="109"/>
        <w:gridCol w:w="223"/>
        <w:gridCol w:w="874"/>
        <w:gridCol w:w="163"/>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Resource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314,048 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station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gas-to-energy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485,351 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point-in-time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485,351 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ind w:left="0" w:right="0" w:hanging="360"/>
        <w:jc w:val="left"/>
        <w:rPr/>
      </w:pPr>
      <w:r>
        <w:rPr/>
      </w:r>
    </w:p>
    <w:p>
      <w:pPr>
        <w:pStyle w:val="TextBody"/>
        <w:bidi w:val="0"/>
        <w:spacing w:lineRule="auto" w:line="288" w:before="120" w:after="283"/>
        <w:jc w:val="left"/>
        <w:rPr/>
      </w:pPr>
      <w:r>
        <w:rPr>
          <w:rFonts w:ascii="Times New Roman;serif" w:hAnsi="Times New Roman;serif"/>
          <w:b/>
          <w:color w:val="000000"/>
          <w:sz w:val="20"/>
        </w:rPr>
        <w:t>Three Months Ended September 30, 2024</w:t>
      </w:r>
      <w:r>
        <w:rPr>
          <w:rFonts w:ascii="Times New Roman;serif" w:hAnsi="Times New Roman;serif"/>
          <w:b/>
          <w:color w:val="000000"/>
          <w:sz w:val="14"/>
        </w:rPr>
        <w:t>(1)</w:t>
      </w:r>
    </w:p>
    <w:tbl>
      <w:tblPr>
        <w:tblW w:w="9860" w:type="dxa"/>
        <w:jc w:val="left"/>
        <w:tblInd w:w="0" w:type="dxa"/>
        <w:tblLayout w:type="fixed"/>
        <w:tblCellMar>
          <w:top w:w="28" w:type="dxa"/>
          <w:left w:w="28" w:type="dxa"/>
          <w:bottom w:w="28" w:type="dxa"/>
          <w:right w:w="28" w:type="dxa"/>
        </w:tblCellMar>
      </w:tblPr>
      <w:tblGrid>
        <w:gridCol w:w="902"/>
        <w:gridCol w:w="790"/>
        <w:gridCol w:w="79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98"/>
        <w:gridCol w:w="1018"/>
        <w:gridCol w:w="154"/>
        <w:gridCol w:w="109"/>
        <w:gridCol w:w="109"/>
        <w:gridCol w:w="109"/>
        <w:gridCol w:w="223"/>
        <w:gridCol w:w="874"/>
        <w:gridCol w:w="163"/>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Resource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252,579 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station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gas-to-energy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411,627 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point-in-time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394,272 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411,627 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Nine Months Ended September 30, 2025</w:t>
      </w:r>
    </w:p>
    <w:tbl>
      <w:tblPr>
        <w:tblW w:w="10045" w:type="dxa"/>
        <w:jc w:val="left"/>
        <w:tblInd w:w="0" w:type="dxa"/>
        <w:tblLayout w:type="fixed"/>
        <w:tblCellMar>
          <w:top w:w="28" w:type="dxa"/>
          <w:left w:w="28" w:type="dxa"/>
          <w:bottom w:w="28" w:type="dxa"/>
          <w:right w:w="28" w:type="dxa"/>
        </w:tblCellMar>
      </w:tblPr>
      <w:tblGrid>
        <w:gridCol w:w="902"/>
        <w:gridCol w:w="790"/>
        <w:gridCol w:w="79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70"/>
        <w:gridCol w:w="1060"/>
        <w:gridCol w:w="139"/>
        <w:gridCol w:w="109"/>
        <w:gridCol w:w="109"/>
        <w:gridCol w:w="109"/>
        <w:gridCol w:w="211"/>
        <w:gridCol w:w="97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Resource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888,415 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Transfer station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gas-to-energy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101,634 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National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165,454 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267,088 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1,367,786 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point-in-time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228,262 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267,088 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1,367,786 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pPr>
      <w:r>
        <w:rPr>
          <w:rFonts w:ascii="Times New Roman;serif" w:hAnsi="Times New Roman;serif"/>
          <w:b/>
          <w:color w:val="000000"/>
          <w:sz w:val="20"/>
        </w:rPr>
        <w:t>Nine Months Ended September 30, 2024</w:t>
      </w:r>
      <w:r>
        <w:rPr>
          <w:rFonts w:ascii="Times New Roman;serif" w:hAnsi="Times New Roman;serif"/>
          <w:b/>
          <w:color w:val="000000"/>
          <w:sz w:val="13"/>
        </w:rPr>
        <w:t>(1)</w:t>
      </w:r>
    </w:p>
    <w:tbl>
      <w:tblPr>
        <w:tblW w:w="10045" w:type="dxa"/>
        <w:jc w:val="left"/>
        <w:tblInd w:w="0" w:type="dxa"/>
        <w:tblLayout w:type="fixed"/>
        <w:tblCellMar>
          <w:top w:w="28" w:type="dxa"/>
          <w:left w:w="28" w:type="dxa"/>
          <w:bottom w:w="28" w:type="dxa"/>
          <w:right w:w="28" w:type="dxa"/>
        </w:tblCellMar>
      </w:tblPr>
      <w:tblGrid>
        <w:gridCol w:w="902"/>
        <w:gridCol w:w="790"/>
        <w:gridCol w:w="79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70"/>
        <w:gridCol w:w="1060"/>
        <w:gridCol w:w="139"/>
        <w:gridCol w:w="109"/>
        <w:gridCol w:w="109"/>
        <w:gridCol w:w="109"/>
        <w:gridCol w:w="211"/>
        <w:gridCol w:w="97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Resource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Transfer station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gas-to-energy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97,992 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National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146,759 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244,751 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1,129,797 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point-in-time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200,447 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244,751 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1,129,797 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720"/>
        <w:jc w:val="left"/>
        <w:rPr/>
      </w:pPr>
      <w:r>
        <w:rPr>
          <w:rFonts w:ascii="Times New Roman;serif" w:hAnsi="Times New Roman;serif"/>
          <w:b w:val="false"/>
          <w:color w:val="000000"/>
          <w:sz w:val="20"/>
        </w:rPr>
        <w:t>(1)Certain prior period amounts have been reclassified between regional operating segments to conform to the current period presentation. See Note 13,</w:t>
      </w:r>
      <w:r>
        <w:rPr>
          <w:color w:val="000000"/>
        </w:rPr>
        <w:t xml:space="preserve"> </w:t>
      </w:r>
      <w:r>
        <w:rPr>
          <w:rFonts w:ascii="Times New Roman;serif" w:hAnsi="Times New Roman;serif"/>
          <w:b w:val="false"/>
          <w:i/>
          <w:color w:val="000000"/>
          <w:sz w:val="20"/>
        </w:rPr>
        <w:t>Segment Reporting</w:t>
      </w:r>
      <w:r>
        <w:rPr>
          <w:color w:val="000000"/>
        </w:rPr>
        <w:t xml:space="preserve"> </w:t>
      </w:r>
      <w:r>
        <w:rPr>
          <w:rFonts w:ascii="Times New Roman;serif" w:hAnsi="Times New Roman;serif"/>
          <w:b w:val="false"/>
          <w:color w:val="000000"/>
          <w:sz w:val="20"/>
        </w:rPr>
        <w:t xml:space="preserve">for further disclosure.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$9,331 and $29,485 in the three and nine months ended September 30, 2025, respectively, and $9,084 and $24,615 in the three and nine months ended September 30, 2024, respectively. Rebates are generally recorded as a reduction of revenues upon the sale of such materials, or upon receipt of the recycled materials at our facilities. We did not record revenues in the three and nine months ended September 30, 2025 or September 30, 2024 from performance obligations satisfied in previous periods.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Contract receivables, which are included in accounts receivable, net in our consolidated balance sheets, are recorded when billed or when related revenue is earned, if earlier, and represent claims against third-parties that will be settled in cash. Accounts receivable, net includes receivables from contracts of $196,318 and $162,916 as of September 30, 2025 and December 31, 2024, respectively. Certain customers are billed in advance and, accordingly, recognition of the related revenues for which payment has been received is deferred as a contract liability until the services are provided and control transferred to the customer. We recognized contract liabilities of $48,490 and $50,690 as of September 30, 2025 and December 31, 2024, respectively. Due to the short term nature of advanced billings, substantially all of the deferred revenue recognized as a contract liability as of December 31, 2024 and December 31, 2023 was recognized as revenue during the nine months ended September 30, 2025 and September 30, 2024, respectively, when the services were performed.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4.    BUSINESS COMBINATIONS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we acquired eight businesses: five tuck-in collection operations in our Mid-Atlantic region, a tuck-in collection operation in our Western region, a recycling business in our Resource Solutions operating segment, and a tuck-in collection operation and recycling business whose assets and liabilities are allocated between our Eastern region and Resource Solutions operating segments. In the nine months ended September 30, 2024, we acquired five businesses, three of which are in our Mid-Atlantic region, including the purchase of all the equity interests of Whitetail Disposal, Inc. and the assets of LMR Disposal, LLC, which together include collection operations in eastern Pennsylvania and western New Jersey; and two of which are tuck-in operations in our Eastern region.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operating results of the businesses acquired prior to September 30, 2025 have been included in the accompanying unaudited consolidated statements of operations from each date of acquisition, and each purchase price has been allocated to the net assets acquired based on fair values at the date of each acquisition with the residual amounts recorded as goodwill. Purchase price allocations are based on information existing at the acquisition dates or upon closing the transactions. Acquired intangible assets other than goodwill that are subject to amortization may include customer relationships, trade names and covenants not-to-compete. Such assets are amortized over a two-year to ten-year period from the date of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 is primarily associated with the value of acquired businesses, based on current and anticipated operating performance, in excess of the specific values allocated to other assets, new growth opportunities arising from the acquisitions, and expected synergies from combining the acquired businesses with our existing operations and implementing our operating strategies. Substantially all amounts recorded to goodwill associated with acquisitions completed in the nine months ended September 30, 2025 are expected to be deductible for tax purposes.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purchase price and the purchase price allocation for acquisitions follows:</w:t>
      </w:r>
    </w:p>
    <w:tbl>
      <w:tblPr>
        <w:tblW w:w="9159" w:type="dxa"/>
        <w:jc w:val="left"/>
        <w:tblInd w:w="0" w:type="dxa"/>
        <w:tblLayout w:type="fixed"/>
        <w:tblCellMar>
          <w:top w:w="28" w:type="dxa"/>
          <w:left w:w="28" w:type="dxa"/>
          <w:bottom w:w="28" w:type="dxa"/>
          <w:right w:w="28" w:type="dxa"/>
        </w:tblCellMar>
      </w:tblPr>
      <w:tblGrid>
        <w:gridCol w:w="2348"/>
        <w:gridCol w:w="2069"/>
        <w:gridCol w:w="2078"/>
        <w:gridCol w:w="211"/>
        <w:gridCol w:w="826"/>
        <w:gridCol w:w="109"/>
        <w:gridCol w:w="109"/>
        <w:gridCol w:w="109"/>
        <w:gridCol w:w="109"/>
        <w:gridCol w:w="211"/>
        <w:gridCol w:w="826"/>
        <w:gridCol w:w="154"/>
      </w:tblGrid>
      <w:tr>
        <w:trPr/>
        <w:tc>
          <w:tcPr>
            <w:tcW w:w="2348"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used in acquisitions, net of cash acquired of $— and $6,547,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Settlements due from sellers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Holdbacks, contingent consideration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as follows: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assets </w:t>
            </w:r>
            <w:r>
              <w:rPr>
                <w:rFonts w:ascii="Times New Roman;serif" w:hAnsi="Times New Roman;serif"/>
                <w:b w:val="false"/>
                <w:color w:val="000000"/>
                <w:sz w:val="16"/>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Machinery, equipment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Covenants not-to-compete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less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assets acquired and liabilities assumed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purchase price allocated to goodwill</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111,959 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170,368 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(1)Includes contract receivables as of the date of the acquisitions in the nine months ended September 30, 2025 and 2024, of $8,070 and $4,989, respectively. Substantially all of the contractual amounts are expected to be collected.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Purchase price allocations are preliminary and subject to revision upon finalization of third-party valuations over each respective one-year measurement period. Accordingly, the purchase price allocations for acquisitions that closed over the prior twelve-month period ended September 30, 2025 are subject to change.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Unaudited pro forma combined information that shows our operational results prepared as though each acquisition completed since the beginning of the prior fiscal year had occurred as of January 1, 2024 is as follows:</w:t>
      </w:r>
    </w:p>
    <w:tbl>
      <w:tblPr>
        <w:tblW w:w="10205" w:type="dxa"/>
        <w:jc w:val="left"/>
        <w:tblInd w:w="0" w:type="dxa"/>
        <w:tblLayout w:type="fixed"/>
        <w:tblCellMar>
          <w:top w:w="28" w:type="dxa"/>
          <w:left w:w="28" w:type="dxa"/>
          <w:bottom w:w="28" w:type="dxa"/>
          <w:right w:w="28" w:type="dxa"/>
        </w:tblCellMar>
      </w:tblPr>
      <w:tblGrid>
        <w:gridCol w:w="1589"/>
        <w:gridCol w:w="1343"/>
        <w:gridCol w:w="1362"/>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58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1,345,322 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per share attributable to common stockholders: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attributable to common stockholders: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unaudited pro forma results set forth in the table above have been prepared for comparative purposes only and are not necessarily indicative of the actual results of operations had the acquisitions occurred as of January 1, 2024 or of the results of our future operations. Furthermore, the unaudited pro forma results do not give effect to all cost savings or incremental costs that may occur as the result of the integration and consolidation of the completed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5.    GOODWILL AND INTANGIBLE ASSETS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activity and balances related to goodwill by operating segment is as follows:</w:t>
      </w:r>
    </w:p>
    <w:tbl>
      <w:tblPr>
        <w:tblW w:w="8837" w:type="dxa"/>
        <w:jc w:val="left"/>
        <w:tblInd w:w="0" w:type="dxa"/>
        <w:tblLayout w:type="fixed"/>
        <w:tblCellMar>
          <w:top w:w="28" w:type="dxa"/>
          <w:left w:w="28" w:type="dxa"/>
          <w:bottom w:w="28" w:type="dxa"/>
          <w:right w:w="28" w:type="dxa"/>
        </w:tblCellMar>
      </w:tblPr>
      <w:tblGrid>
        <w:gridCol w:w="628"/>
        <w:gridCol w:w="551"/>
        <w:gridCol w:w="560"/>
        <w:gridCol w:w="211"/>
        <w:gridCol w:w="976"/>
        <w:gridCol w:w="109"/>
        <w:gridCol w:w="109"/>
        <w:gridCol w:w="109"/>
        <w:gridCol w:w="109"/>
        <w:gridCol w:w="211"/>
        <w:gridCol w:w="826"/>
        <w:gridCol w:w="109"/>
        <w:gridCol w:w="109"/>
        <w:gridCol w:w="109"/>
        <w:gridCol w:w="109"/>
        <w:gridCol w:w="377"/>
        <w:gridCol w:w="1105"/>
        <w:gridCol w:w="198"/>
        <w:gridCol w:w="109"/>
        <w:gridCol w:w="109"/>
        <w:gridCol w:w="109"/>
        <w:gridCol w:w="109"/>
        <w:gridCol w:w="109"/>
        <w:gridCol w:w="109"/>
        <w:gridCol w:w="109"/>
        <w:gridCol w:w="109"/>
        <w:gridCol w:w="109"/>
        <w:gridCol w:w="211"/>
        <w:gridCol w:w="97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December 31,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Business Combination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Eastern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Mid-Atlantic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Resource Solutions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1,002,266 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1,115,862 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720"/>
        <w:jc w:val="left"/>
        <w:rPr/>
      </w:pPr>
      <w:r>
        <w:rPr>
          <w:rFonts w:ascii="Times New Roman;serif" w:hAnsi="Times New Roman;serif"/>
          <w:b w:val="false"/>
          <w:color w:val="000000"/>
          <w:sz w:val="20"/>
        </w:rPr>
        <w:t>(1)December 31, 2024 amounts, which include allocated goodwill between operating segments using a relative fair value approach, have been reclassified between regional operating segments to conform to the current period presentation. See Note 13,</w:t>
      </w:r>
      <w:r>
        <w:rPr>
          <w:color w:val="000000"/>
        </w:rPr>
        <w:t xml:space="preserve"> </w:t>
      </w:r>
      <w:r>
        <w:rPr>
          <w:rFonts w:ascii="Times New Roman;serif" w:hAnsi="Times New Roman;serif"/>
          <w:b w:val="false"/>
          <w:i/>
          <w:color w:val="000000"/>
          <w:sz w:val="20"/>
        </w:rPr>
        <w:t>Segment Reporting</w:t>
      </w:r>
      <w:r>
        <w:rPr>
          <w:color w:val="000000"/>
        </w:rPr>
        <w:t xml:space="preserve"> </w:t>
      </w:r>
      <w:r>
        <w:rPr>
          <w:rFonts w:ascii="Times New Roman;serif" w:hAnsi="Times New Roman;serif"/>
          <w:b w:val="false"/>
          <w:color w:val="000000"/>
          <w:sz w:val="20"/>
        </w:rPr>
        <w:t>for further disclosure.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Summaries of intangible assets by type follow:</w:t>
      </w:r>
    </w:p>
    <w:tbl>
      <w:tblPr>
        <w:tblW w:w="8982" w:type="dxa"/>
        <w:jc w:val="left"/>
        <w:tblInd w:w="0" w:type="dxa"/>
        <w:tblLayout w:type="fixed"/>
        <w:tblCellMar>
          <w:top w:w="28" w:type="dxa"/>
          <w:left w:w="28" w:type="dxa"/>
          <w:bottom w:w="28" w:type="dxa"/>
          <w:right w:w="28" w:type="dxa"/>
        </w:tblCellMar>
      </w:tblPr>
      <w:tblGrid>
        <w:gridCol w:w="955"/>
        <w:gridCol w:w="841"/>
        <w:gridCol w:w="844"/>
        <w:gridCol w:w="261"/>
        <w:gridCol w:w="894"/>
        <w:gridCol w:w="136"/>
        <w:gridCol w:w="109"/>
        <w:gridCol w:w="109"/>
        <w:gridCol w:w="109"/>
        <w:gridCol w:w="334"/>
        <w:gridCol w:w="1308"/>
        <w:gridCol w:w="172"/>
        <w:gridCol w:w="109"/>
        <w:gridCol w:w="109"/>
        <w:gridCol w:w="109"/>
        <w:gridCol w:w="216"/>
        <w:gridCol w:w="738"/>
        <w:gridCol w:w="111"/>
        <w:gridCol w:w="109"/>
        <w:gridCol w:w="109"/>
        <w:gridCol w:w="109"/>
        <w:gridCol w:w="211"/>
        <w:gridCol w:w="826"/>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Covenants</w:t>
              <w:br/>
              <w:t>Not-to-Compete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Trade 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2025</w:t>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426,189 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(161,387)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264,802 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8981" w:type="dxa"/>
        <w:jc w:val="center"/>
        <w:tblInd w:w="0" w:type="dxa"/>
        <w:tblLayout w:type="fixed"/>
        <w:tblCellMar>
          <w:top w:w="28" w:type="dxa"/>
          <w:left w:w="28" w:type="dxa"/>
          <w:bottom w:w="28" w:type="dxa"/>
          <w:right w:w="28" w:type="dxa"/>
        </w:tblCellMar>
      </w:tblPr>
      <w:tblGrid>
        <w:gridCol w:w="956"/>
        <w:gridCol w:w="840"/>
        <w:gridCol w:w="843"/>
        <w:gridCol w:w="261"/>
        <w:gridCol w:w="894"/>
        <w:gridCol w:w="136"/>
        <w:gridCol w:w="109"/>
        <w:gridCol w:w="109"/>
        <w:gridCol w:w="109"/>
        <w:gridCol w:w="334"/>
        <w:gridCol w:w="1308"/>
        <w:gridCol w:w="172"/>
        <w:gridCol w:w="109"/>
        <w:gridCol w:w="109"/>
        <w:gridCol w:w="109"/>
        <w:gridCol w:w="216"/>
        <w:gridCol w:w="738"/>
        <w:gridCol w:w="111"/>
        <w:gridCol w:w="109"/>
        <w:gridCol w:w="109"/>
        <w:gridCol w:w="109"/>
        <w:gridCol w:w="211"/>
        <w:gridCol w:w="82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Covenants</w:t>
              <w:br/>
              <w:t>Not-to-Compete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Trade 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71,568 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(115,305)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262,295 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Intangible amortization expense was $18,980 and $57,562 during the three and nine months ended September 30, 2025, respectively, and $14,043 and $38,845 during the three and nine months ended September 30, 2024,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intangible amortization expense estimated for each of the next five fiscal years following fiscal year 2024 and thereafter is estimated as follows:</w:t>
      </w:r>
    </w:p>
    <w:tbl>
      <w:tblPr>
        <w:tblW w:w="6770" w:type="dxa"/>
        <w:jc w:val="left"/>
        <w:tblInd w:w="0" w:type="dxa"/>
        <w:tblLayout w:type="fixed"/>
        <w:tblCellMar>
          <w:top w:w="28" w:type="dxa"/>
          <w:left w:w="28" w:type="dxa"/>
          <w:bottom w:w="28" w:type="dxa"/>
          <w:right w:w="28" w:type="dxa"/>
        </w:tblCellMar>
      </w:tblPr>
      <w:tblGrid>
        <w:gridCol w:w="2059"/>
        <w:gridCol w:w="1810"/>
        <w:gridCol w:w="1815"/>
        <w:gridCol w:w="211"/>
        <w:gridCol w:w="721"/>
        <w:gridCol w:w="154"/>
      </w:tblGrid>
      <w:tr>
        <w:trPr/>
        <w:tc>
          <w:tcPr>
            <w:tcW w:w="2059"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Estimated Future Intangible Amortization Expense as of September 30, 2025</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 the remainder of the fiscal year ending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ending December 31,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ending December 31, 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ending December 31, 2028</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ending December 31, 2029</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6.    ACCRUED FINAL CAPPING, CLOSURE AND POST-CLOSURE COSTS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Accrued final capping, closure and post-closure costs include the current and non-current portion of costs associated with obligations for final capping, closure and post-closure of our landfills. We estimate our future final capping, closure and post-closure costs of our landfills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changes to accrued final capping, closure and post-closure liabilities follows:</w:t>
      </w:r>
    </w:p>
    <w:tbl>
      <w:tblPr>
        <w:tblW w:w="4778" w:type="dxa"/>
        <w:jc w:val="left"/>
        <w:tblInd w:w="0" w:type="dxa"/>
        <w:tblLayout w:type="fixed"/>
        <w:tblCellMar>
          <w:top w:w="28" w:type="dxa"/>
          <w:left w:w="28" w:type="dxa"/>
          <w:bottom w:w="28" w:type="dxa"/>
          <w:right w:w="28" w:type="dxa"/>
        </w:tblCellMar>
      </w:tblPr>
      <w:tblGrid>
        <w:gridCol w:w="766"/>
        <w:gridCol w:w="672"/>
        <w:gridCol w:w="676"/>
        <w:gridCol w:w="211"/>
        <w:gridCol w:w="826"/>
        <w:gridCol w:w="109"/>
        <w:gridCol w:w="109"/>
        <w:gridCol w:w="109"/>
        <w:gridCol w:w="109"/>
        <w:gridCol w:w="211"/>
        <w:gridCol w:w="826"/>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incurred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Revision in estimates </w:t>
            </w:r>
            <w:r>
              <w:rPr>
                <w:rFonts w:ascii="Times New Roman;serif" w:hAnsi="Times New Roman;serif"/>
                <w:b w:val="false"/>
                <w:color w:val="000000"/>
                <w:sz w:val="16"/>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Accretion expense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Obligations settled</w:t>
            </w:r>
            <w:r>
              <w:rPr>
                <w:color w:val="000000"/>
              </w:rPr>
              <w:t xml:space="preserve"> </w:t>
            </w:r>
            <w:r>
              <w:rPr>
                <w:rFonts w:ascii="Times New Roman;serif" w:hAnsi="Times New Roman;serif"/>
                <w:b w:val="false"/>
                <w:color w:val="000000"/>
                <w:sz w:val="16"/>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20"/>
        </w:rPr>
        <w:t xml:space="preserve">(1)Relates to the revision in estimates of the post-closure liability for the Town of Southbridge, Massachusetts landfill (“Southbridge Landfill”). See Note 11, </w:t>
      </w:r>
      <w:r>
        <w:rPr>
          <w:rFonts w:ascii="Times New Roman;serif" w:hAnsi="Times New Roman;serif"/>
          <w:b w:val="false"/>
          <w:i/>
          <w:color w:val="000000"/>
          <w:sz w:val="20"/>
        </w:rPr>
        <w:t xml:space="preserve">Other Items and Charges </w:t>
      </w:r>
      <w:r>
        <w:rPr>
          <w:rFonts w:ascii="Times New Roman;serif" w:hAnsi="Times New Roman;serif"/>
          <w:b w:val="false"/>
          <w:color w:val="000000"/>
          <w:sz w:val="20"/>
        </w:rPr>
        <w:t>for further disclosure.</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(2)May include amounts that are being processed through accounts payable as a part of our disbursements cycle.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debt is as follows:</w:t>
      </w:r>
    </w:p>
    <w:tbl>
      <w:tblPr>
        <w:tblW w:w="10205" w:type="dxa"/>
        <w:jc w:val="left"/>
        <w:tblInd w:w="0" w:type="dxa"/>
        <w:tblLayout w:type="fixed"/>
        <w:tblCellMar>
          <w:top w:w="28" w:type="dxa"/>
          <w:left w:w="28" w:type="dxa"/>
          <w:bottom w:w="28" w:type="dxa"/>
          <w:right w:w="28" w:type="dxa"/>
        </w:tblCellMar>
      </w:tblPr>
      <w:tblGrid>
        <w:gridCol w:w="2873"/>
        <w:gridCol w:w="2294"/>
        <w:gridCol w:w="2312"/>
        <w:gridCol w:w="196"/>
        <w:gridCol w:w="871"/>
        <w:gridCol w:w="109"/>
        <w:gridCol w:w="109"/>
        <w:gridCol w:w="109"/>
        <w:gridCol w:w="109"/>
        <w:gridCol w:w="196"/>
        <w:gridCol w:w="871"/>
        <w:gridCol w:w="156"/>
      </w:tblGrid>
      <w:tr>
        <w:trPr/>
        <w:tc>
          <w:tcPr>
            <w:tcW w:w="2873"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Senior Secured Credit Facility:</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Term loan A facility (“Term Loan Facility”) payable quarterly beginning in the fiscal year ended December 31, 2027 with balance due September 2029; bearing interest at 5.713% as of September 30, 2025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Revolving credit facility (“Revolving Credit Facility”) due September 2029; bearing interest at term secured overnight financing rate (“Term SOFR”) plus 1.550%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Tax-Exempt Bonds: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New York State Environmental Facilities Corporation Solid Waste Disposal Revenue Bonds Series 2014 (“New York Bonds 2014R-1”) due December 2044 - fixed rate interest period bearing interest at 2.875% through December 2029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New York State Environmental Facilities Corporation Solid Waste Disposal Revenue Bonds Series 2014R-2 (“New York Bonds 2014R-2”) due December 2044 - fixed rate interest period bearing interest at 3.125% through May 2026</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New York State Environmental Facilities Corporation Solid Waste Disposal Revenue Bonds Series 2020 (“New York Bonds 2020”) due September 2050 - fixed rate interest period bearing interest at 4.250% as of September 30, 2025 through September 2030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New York State Environmental Facilities Corporation Solid Waste Disposal Revenue Bonds Series 2020R-2 (“New York Bonds 2020R-2”) due September 2050 - fixed rate interest period bearing interest at 5.125% through September 2030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Finance Authority of Maine Solid Waste Disposal Revenue Bonds Series 2005R-3 (“FAME Bonds 2005R-3”) - fixed rate interest period bore interest at 5.25% through paydown in January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Finance Authority of Maine Solid Waste Disposal Revenue Bonds Series 2015R-1 (“FAME Bonds 2015R-1”) due August 2035 - fixed rate interest period bore interest at 5.125% through July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Finance Authority of Maine Solid Waste Disposal Revenue Bonds Series 2015R-2 (“FAME Bonds 2015R-2”) due August 2035 - fixed rate interest period bore interest at 4.375% through July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Finance Authority of Maine Solid Waste Disposal Revenue Bonds Series 2015R-3 (“FAME Bonds 2015R-3”) due August 2035 - fixed rate interest period bearing interest at 5.000% through August 2035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Finance Authority of Maine Solid Waste Disposal Revenue Bonds Series 2024 (“FAME Bonds 2024”) due December 2047 - fixed rate interest period bearing interest at 4.625% through May 2035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Vermont Economic Development Authority Solid Waste Disposal Long-Term Revenue Bonds Series 2013 (“Vermont Bonds 2013”) due April 2036 - fixed rate interest period bearing interest at 4.625% through April 2028</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Vermont Economic Development Authority Solid Waste Disposal Long-Term Revenue Bonds Series 2022A-1 (“Vermont Bonds 2022A-1”) due June 2052 - fixed rate interest period bearing interest at 5.000% through May 2027</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Vermont Economic Development Authority Solid Waste Disposal Revenue Bonds Series 2022A-2 (“Vermont Bonds 2022A-2”) due June 2052 - fixed rate interest period bearing interest at 4.375% through May 2032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Business Finance Authority of the State of New Hampshire Solid Waste Disposal Revenue Bonds Series 2013 (“New Hampshire Bonds”) due April 2029 - fixed rate interest period bearing interest at 2.950% through April 2029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Finance leases maturing through December 2107; bearing interest at a weighted average of 4.729%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 with no stated interest rate maturing through September 2028</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Principal amount of debt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1,148,162 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Less—unamortized debt issuance costs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less unamortized debt issuance costs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1,133,251 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Less—current maturities of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1,122,523 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1,090,632 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Credit Facility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September 2024, we entered into a second amended and restated credit agreement (the “Credit Agreement”), which amended and restated in its entirety our amended and restated credit agreement (the “Existing Credit Agreement”). The Credit Agreement provides for a $800,000 aggregate principal amount Term Loan Facility and a $700,000 Revolving Credit Facility, with a $155,000 sublimit for letters of credit (collectively, the "Credit Facility"). A portion of the proceeds of the Credit Facility refinanced in full our term loans under the Existing Credit Agreement.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have the right to request, at our discretion, an increase in the amount of loans under the Credit Facility by an aggregate amount of $200,000, subject to further increase based on the terms and conditions set forth in the Credit Agreement. The Credit Facility has a 5-year term that matures in September 2029. The Credit Facility shall bear interest, at our election, at Term SOFR or at a base rate, in each case plus or minus any sustainable rate adjustment of up to positive or negative 4.0 basis points per annum, plus an applicable interest rate margin based upon our consolidated net leverage ratio as follows:</w:t>
      </w:r>
    </w:p>
    <w:tbl>
      <w:tblPr>
        <w:tblW w:w="5244" w:type="dxa"/>
        <w:jc w:val="left"/>
        <w:tblInd w:w="0" w:type="dxa"/>
        <w:tblLayout w:type="fixed"/>
        <w:tblCellMar>
          <w:top w:w="28" w:type="dxa"/>
          <w:left w:w="28" w:type="dxa"/>
          <w:bottom w:w="28" w:type="dxa"/>
          <w:right w:w="28" w:type="dxa"/>
        </w:tblCellMar>
      </w:tblPr>
      <w:tblGrid>
        <w:gridCol w:w="473"/>
        <w:gridCol w:w="415"/>
        <w:gridCol w:w="417"/>
        <w:gridCol w:w="109"/>
        <w:gridCol w:w="109"/>
        <w:gridCol w:w="109"/>
        <w:gridCol w:w="539"/>
        <w:gridCol w:w="539"/>
        <w:gridCol w:w="542"/>
        <w:gridCol w:w="109"/>
        <w:gridCol w:w="109"/>
        <w:gridCol w:w="109"/>
        <w:gridCol w:w="486"/>
        <w:gridCol w:w="486"/>
        <w:gridCol w:w="693"/>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SOFR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 Rate Loans</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1.300% to 2.175%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0.300% to 1.175%</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 commitment fee will be charged on undrawn amounts of our Revolving Credit Facility based upon our consolidated net leverage ratio in the range of 0.200% to 0.400% per annum, plus a sustainability adjustment of up to positive or negative 1.0 basis point per annum. The Credit Agreement provides that Term SOFR is subject to a zero percent floor. We are also required to pay a fronting fee for each letter of credit of 0.250% per annum. Interest under the Credit Agreement is subject to increase by 2.000% per annum during the continuance of a payment default and may be subject to increase by 2.000% per annum during the continuance of any other event of default. The Credit Facility is guaranteed jointly and severally, fully and unconditionally by all of our significant wholly-owned subsidiaries and secured by substantially all of our assets. As of September 30, 2025, further advances were available under the Revolving Credit Facility in the amount of $673,418. The available amount is net of outstanding irrevocable letters of credit totaling $26,582, and as of September 30, 2025 no amount had been drawn.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Credit Agreement requires us to maintain a minimum interest coverage ratio and a maximum consolidated net leverage ratio, to be measured at the end of each fiscal quarter. In addition to these financial covenants, the Credit Agreement contains a number of important customary affirmative and negative covenants which restrict, among other things, our ability to sell assets, incur additional debt, create liens, make investments, and pay dividends. As of September 30, 2025, we were in compliance with the covenants contained in the Credit Agreement.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Tax-Exempt Financings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Industrial revenue bonds are tax-exempt municipal debt securities issued by a government agency on our behalf and sold only to qualified institutional buyers. As of September 30, 2025, we had outstanding $273,500 aggregate principal amount of tax-exempt bonds issued by the states of New York, Vermont, Maine and New Hampshire (collectively, the “Industrial Revenue Bonds”), which are unsecured and guaranteed jointly and severally, fully and unconditionally by all of our significant wholly-owned subsidiaries, and require interest payments semi-annually. The Industrial Revenue Bonds have fixed rate interest periods. At the end of each respective fixed rate interest period, the corresponding tax-exempt bond may be converted to a variable rate interest period or remarketed over a new fixed rate interest period. We borrowed the proceeds of the Industrial Revenue Bonds to finance or reimburse certain qualified capital projects and other costs in each respective state of issuance as defined in the related offering memorandum and indenture.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we completed the following transactions: (i) the drawdown of $25,000 aggregate principal amount of Vermont Bonds 2022A-2, which bears a fixed interest rate of 4.375% through May 2032, (ii) the remarketing of $29,000 aggregate principal amount of FAME Bonds 2015R-1 and FAME Bonds 2015R-2 into a single series FAME Bonds 2015R-3, which bears a fixed interest rate of 5.000% through August 2035, and (iii) the remarketing of $37,500 aggregate principal amount of New York Bonds 2020, which bears an interest rate of 4.250% through September 2030.</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fiscal year 2024, we completed the issuance of $45,000 aggregate principal amount of FAME Bonds 2024, which bears a fixed interest rate of 4.625% through May 2035, and $25,000 of the proceeds of such issuance were used for the repayment in full of FAME Bonds 2005R-3, which matured and were repaid in January 2025.</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Restricted cash is included with cash and cash equivalents when reconciling the beginning of period and end of period total amounts shown on the consolidated statements of cash flows. Beginning of period and end of period cash, cash equivalents and restricted cash presented in the consolidated statements of cash flows is reconciled as follows:</w:t>
      </w:r>
    </w:p>
    <w:tbl>
      <w:tblPr>
        <w:tblW w:w="6936" w:type="dxa"/>
        <w:jc w:val="left"/>
        <w:tblInd w:w="0" w:type="dxa"/>
        <w:tblLayout w:type="fixed"/>
        <w:tblCellMar>
          <w:top w:w="28" w:type="dxa"/>
          <w:left w:w="28" w:type="dxa"/>
          <w:bottom w:w="28" w:type="dxa"/>
          <w:right w:w="28" w:type="dxa"/>
        </w:tblCellMar>
      </w:tblPr>
      <w:tblGrid>
        <w:gridCol w:w="1271"/>
        <w:gridCol w:w="1116"/>
        <w:gridCol w:w="1122"/>
        <w:gridCol w:w="109"/>
        <w:gridCol w:w="109"/>
        <w:gridCol w:w="109"/>
        <w:gridCol w:w="211"/>
        <w:gridCol w:w="826"/>
        <w:gridCol w:w="109"/>
        <w:gridCol w:w="109"/>
        <w:gridCol w:w="109"/>
        <w:gridCol w:w="109"/>
        <w:gridCol w:w="211"/>
        <w:gridCol w:w="826"/>
        <w:gridCol w:w="109"/>
        <w:gridCol w:w="109"/>
        <w:gridCol w:w="109"/>
        <w:gridCol w:w="109"/>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restricted cash at December 31, 2024 consisted of cash proceeds from the issuance of the FAME Bonds 2024 restricted to be used for the repayment in full of FAME Bonds 2005R-3 on its stated maturity in January 2025.</w:t>
      </w:r>
    </w:p>
    <w:p>
      <w:pPr>
        <w:pStyle w:val="TextBody"/>
        <w:bidi w:val="0"/>
        <w:spacing w:lineRule="auto" w:line="288" w:before="120" w:after="120"/>
        <w:jc w:val="left"/>
        <w:rPr/>
      </w:pPr>
      <w:r>
        <w:rPr>
          <w:rFonts w:ascii="Times New Roman;serif" w:hAnsi="Times New Roman;serif"/>
          <w:b/>
          <w:color w:val="000000"/>
          <w:sz w:val="20"/>
        </w:rPr>
        <w:t>Cash Flow Hedges</w:t>
      </w:r>
      <w:r>
        <w:rPr>
          <w:color w:val="000000"/>
        </w:rPr>
        <w:t xml:space="preserv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their fair value is recorded in stockholders’ equity as a component of accumulated other comprehensive (loss) income,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both September 30, 2025 and December 31, 2024, we had $515,000 notional amount of active interest rate derivative agreements outstanding. These agreements mature between February 2026 and June 2028 and provide that we receive interest based on Term SOFR, restricted by a 0.0% floor, and pay interest at a weighted average rate of approximately 3.562%.</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effect of cash flow hedges related to derivative instruments on the consolidated balance sheets follows:</w:t>
      </w:r>
    </w:p>
    <w:tbl>
      <w:tblPr>
        <w:tblW w:w="10205" w:type="dxa"/>
        <w:jc w:val="left"/>
        <w:tblInd w:w="0" w:type="dxa"/>
        <w:tblLayout w:type="fixed"/>
        <w:tblCellMar>
          <w:top w:w="28" w:type="dxa"/>
          <w:left w:w="28" w:type="dxa"/>
          <w:bottom w:w="28" w:type="dxa"/>
          <w:right w:w="28" w:type="dxa"/>
        </w:tblCellMar>
      </w:tblPr>
      <w:tblGrid>
        <w:gridCol w:w="887"/>
        <w:gridCol w:w="778"/>
        <w:gridCol w:w="784"/>
        <w:gridCol w:w="1613"/>
        <w:gridCol w:w="1605"/>
        <w:gridCol w:w="1608"/>
        <w:gridCol w:w="109"/>
        <w:gridCol w:w="109"/>
        <w:gridCol w:w="109"/>
        <w:gridCol w:w="237"/>
        <w:gridCol w:w="775"/>
        <w:gridCol w:w="122"/>
        <w:gridCol w:w="109"/>
        <w:gridCol w:w="109"/>
        <w:gridCol w:w="109"/>
        <w:gridCol w:w="244"/>
        <w:gridCol w:w="713"/>
        <w:gridCol w:w="185"/>
      </w:tblGrid>
      <w:tr>
        <w:trPr/>
        <w:tc>
          <w:tcPr>
            <w:tcW w:w="88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4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4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4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4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4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 tax effect</w:t>
            </w:r>
          </w:p>
        </w:tc>
        <w:tc>
          <w:tcPr>
            <w:tcW w:w="4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8.    COMMITMENTS AND CONTINGENCIES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Legal Proceedings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and as the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 The plaintiffs in some actions seek unspecified damages or injunctive relief, or both. These actions fall within various procedural stages at any point in time, and some are covered in part by insurance.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accordance with FASB ASC 450 - Contingencies, we accrue for legal proceedings, inclusive of legal costs, when losses become probable and reasonably estimable. We have recorded an aggregate accrual of $1,862 relating to our outstanding legal proceedings as of September 30, 2025 and it is at least reasonably possible that a change in estimate will occur in the near-term.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Subtopic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 We disclose outstanding matters that we believe could have a material adverse effect on our financial condition, results of operations or cash flows.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North Country Environmental Services Letter of Deficiency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June 14, 2024, our subsidiary, North Country Environmental Services, Inc. (“NCES”), received a Letter of Deficiency (the “Letter”) from the New Hampshire Department of Environmental Services (“NHDES”) concerning alleged violations related to leachate management and leachate data and reporting. The Letter required certain actions to correct the deficiencies on a prescribed timeline, and NCES has met the deadlines for information submission. Final terms of an Administrative Consent Order and a Supplemental Environmental Project are pending with the New Hampshire Department of Justice, in connection with which we have recorded an accrual in excess of $1,000 of potential penalties as of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Granite State Landfill Solid Waste Permit Denial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April 3, 2025, NHDES denied the October 31, 2023 application of our subsidiary, Granite State Landfill, LLC (“GSL”), for the development of new landfill capacity in New Hampshire. On April 8, 2025, GSL filed a Petition for Declaratory Judgment in the Merrimack Superior Court (“Court”) requesting that the Court find that NHDES’s denial of GSL’s application was unlawful (“Petition”). On May 9, 2025, NHDES filed an Answer to the Petition. On June 23, 2025, North Country Alliance for Balanced Change (“NCABC”) filed a Motion to Intervene, in response to which GSL filed an Objection on June 30, 2025. On July 1, 2025, a scheduling conference was held and the Court issued a Scheduling Order of the same date providing that the issues raised in the Petition appear to be a legal dispute that can be addressed by cross-motions for summary judgment, and requiring the parties to confer and submit briefing schedule proposals to the Court on or before July 18, 2025. A Joint Proposed Briefing Schedule was filed by the parties on July 17, 2025. NCABC filed a reply to GSL’s Objection to NCABC’s Motion to Intervene on July 25, 2025. On August 5, 2025, the Court issued an order granting NCABC’s Motion to Intervene. GSL timely moved for reconsideration of that order, which was denied on September 2, 2025. GSL then filed a Motion for an Interlocutory Appeal on September 12, 2025, to challenge NCABC’s standing to intervene. NCABC objected to the Motion for an Interlocutory Appeal on September 22, 2025. On September 15, 2025, GSL and NHDES filed cross-motions for summary judgment. NCABC joined in NHDES’s motion. GSL’s and NHDES’s objections to the cross-motions for summary judgment were submitted October 15,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May 5, 2025, GSL and NCABC each filed a Notice of Appeal of NHDES’s denial of GSL’s application with the New Hampshire Waste Management Council (“GSL Appeal” and “NCABC Appeal”, respectively). On May 9, 2025, GSL filed a partially assented to Motion to Intervene in the NCABC Appeal, followed by a Motion to Dismiss the NCABC Appeal on June 27, 2025. NHDES filed a Motion to Dismiss the NCABC Appeal on July 17, 2025. NCABC filed an Objection to GSL’s Motion to Dismiss on July 24, 2025 and to NHDES’s Motion to Dismiss on July 28, 2025. On August 8, 2025, NCABC filed a Motion to Intervene in the GSL Appeal which will depend on the success or failure of GSL’s Motion to Dismiss the NCABC Appeal. No hearing officer has been assigned to either of the appeals. As of September 30, 2025, we had $13,137 of capitalized project development costs related to the GSL landfill project included in other non-current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Environmental Remediation Liabilities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liability for environmental damage, including personal injury and property damage, that our solid waste, recycling and power generation facilities may cause to neighboring property owners, particularly as the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accrue for costs associated with environmental remediation obligations when such costs become both probable and reasonably estimable. Determining the method and ultimate cost of remediation requires that a number of assumptions be made. There can sometimes be a range of reasonable estimates of the costs associated with remediation of a site. In these cases, we use the amount within the range that constitutes our best estimate. In the early stages of the remediation process, particular components of the overall liability may not be reasonably estimable; in this instance we use the components of the liability that can be reasonably estimated as a surrogate for the liability. It is reasonably possible that we will need to adjust the liabilities recorded for remediation to reflect the effects of new or additional information, to the extent such information impacts the costs, timing or duration of the required actions, which could have a material adverse effect on our consolidated financial position, results of operations and cash flows. We disclose outstanding environmental remediation matters that remain unsettled or are settled in the reporting period that we believe could have a material adverse effect on our financial condition, results of operations or cash flows.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inflate the estimated costs in current dollars to the expected time of payment and discount the total cost to present value using a risk-free interest rate when the amount and timing of cash payments for the liability are fixed or reliably determinable. The weighted-average risk-free interest rate associated with our environmental remediation liabilities as of September 30, 2025 was approximately 1.6%.</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changes to the aggregate environmental remediation liabilities for the nine months ended September 30, 2025 and 2024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4164" w:type="dxa"/>
        <w:jc w:val="left"/>
        <w:tblInd w:w="0" w:type="dxa"/>
        <w:tblLayout w:type="fixed"/>
        <w:tblCellMar>
          <w:top w:w="28" w:type="dxa"/>
          <w:left w:w="28" w:type="dxa"/>
          <w:bottom w:w="28" w:type="dxa"/>
          <w:right w:w="28" w:type="dxa"/>
        </w:tblCellMar>
      </w:tblPr>
      <w:tblGrid>
        <w:gridCol w:w="696"/>
        <w:gridCol w:w="610"/>
        <w:gridCol w:w="614"/>
        <w:gridCol w:w="211"/>
        <w:gridCol w:w="616"/>
        <w:gridCol w:w="109"/>
        <w:gridCol w:w="109"/>
        <w:gridCol w:w="109"/>
        <w:gridCol w:w="109"/>
        <w:gridCol w:w="211"/>
        <w:gridCol w:w="616"/>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Obligations settled </w:t>
            </w:r>
            <w:r>
              <w:rPr>
                <w:rFonts w:ascii="Times New Roman;serif" w:hAnsi="Times New Roman;serif"/>
                <w:b w:val="false"/>
                <w:color w:val="000000"/>
                <w:sz w:val="16"/>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(1)May include amounts that are being processed through accounts payable as a part of our disbursement cycle.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9.    STOCKHOLDERS' EQUITY</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Public Offering of Class A Common Stock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September 2024, we completed a public offering of 5,175 shares of our Class A common stock at a public offering price of $100.00 per share. After deducting stock issuance costs received as of September 30, 2024, including underwriting discounts, commissions and offering expenses, the offering resulted in net proceeds of $496,569. The net proceeds from this offering were used to repay borrowings under our Revolving Credit Facility and were further available to fund acquisition activity and for general corporate purposes.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Stock Based Compensation</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Shares Available For Issuance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fiscal year 2024, our stockholders approved the amendment and restatement of our 2016 Incentive Plan (“Amended 2016 Plan”). Under the Amended 2016 Plan, we may grant awards up to an aggregate amount of shares equal to the sum of: (A) 4,000 shares of Class A common stock (subject to adjustment in the event of stock splits and other similar events) which is comprised of: (i) 1,750 shares of Class A common stock reserved for the issuance in connection with the Amended 2016 Plan, plus (ii) 2,250 shares of Class A common stock originally reserved for issuance under the 2016 Incentive Plan; plus (B) such additional number of shares of Class A common stock (up to approximately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September 30, 2025, there were 2,018 Class A common stock equivalents available for future grant under the Amended 2016 Plan.</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Stock options are granted at a price equal to the prevailing fair value of our Class A common stock at the date of grant. Generally, stock options granted have a term not to exceed ten years and vest over a one-year to five-year period from the date of grant.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each stock option granted is estimated using a Black-Scholes option-pricing model, which uses a risk-free interest rate, based on the U.S. Treasury yield curve for the period of the expected life of the stock option; and requires extensive use of accounting judgment and financial estimation, including estimates of: the expected term, calculated based on the weighted averaged historical life of vested stock options, giving consideration to vesting schedules and historical exercise patterns; and the expected volatility, calculated using the weekly historical volatility of our Class A common stock over the expected life of the stock 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stock option activity follows:</w:t>
      </w:r>
    </w:p>
    <w:tbl>
      <w:tblPr>
        <w:tblW w:w="10205" w:type="dxa"/>
        <w:jc w:val="left"/>
        <w:tblInd w:w="0" w:type="dxa"/>
        <w:tblLayout w:type="fixed"/>
        <w:tblCellMar>
          <w:top w:w="28" w:type="dxa"/>
          <w:left w:w="28" w:type="dxa"/>
          <w:bottom w:w="28" w:type="dxa"/>
          <w:right w:w="28" w:type="dxa"/>
        </w:tblCellMar>
      </w:tblPr>
      <w:tblGrid>
        <w:gridCol w:w="729"/>
        <w:gridCol w:w="642"/>
        <w:gridCol w:w="643"/>
        <w:gridCol w:w="375"/>
        <w:gridCol w:w="375"/>
        <w:gridCol w:w="376"/>
        <w:gridCol w:w="109"/>
        <w:gridCol w:w="109"/>
        <w:gridCol w:w="109"/>
        <w:gridCol w:w="412"/>
        <w:gridCol w:w="1207"/>
        <w:gridCol w:w="214"/>
        <w:gridCol w:w="109"/>
        <w:gridCol w:w="109"/>
        <w:gridCol w:w="109"/>
        <w:gridCol w:w="872"/>
        <w:gridCol w:w="872"/>
        <w:gridCol w:w="875"/>
        <w:gridCol w:w="109"/>
        <w:gridCol w:w="109"/>
        <w:gridCol w:w="109"/>
        <w:gridCol w:w="348"/>
        <w:gridCol w:w="1021"/>
        <w:gridCol w:w="263"/>
      </w:tblGrid>
      <w:tr>
        <w:trPr/>
        <w:tc>
          <w:tcPr>
            <w:tcW w:w="72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2024</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September 30, 2025</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September 30, 2025</w:t>
            </w:r>
          </w:p>
        </w:tc>
        <w:tc>
          <w:tcPr>
            <w:tcW w:w="75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80.28 </w:t>
            </w:r>
          </w:p>
        </w:tc>
        <w:tc>
          <w:tcPr>
            <w:tcW w:w="2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26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stock options was $136 and $404 during the three and nine months ended September 30, 2025, respectively, as compared to $141 and $443 during the three and nine months ended September 30, 2024, respectively. As of September 30, 2025, we had $1,124 of unrecognized stock-based compensation expense related to outstanding stock options to be recognized over a weighted average period of 2.2 years.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the aggregate intrinsic value of stock options exercised was zero dollars.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Other Stock Awards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if applicable, the value of dividends of our Class A common stock as compared to the Russell 2000 Index over the requisite service period.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Typically, restricted stock awards granted to non-employee directors vest incrementally over a three-year period beginning on the first anniversary of the date of grant. Restricted stock units granted to non-employee directors vest in full on the first anniversary of the grant date. Restricted stock units granted to employees vest incrementally over an identified service period, typically three years,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restricted stock award, restricted stock unit and performance stock unit activity follows:</w:t>
      </w:r>
    </w:p>
    <w:tbl>
      <w:tblPr>
        <w:tblW w:w="10205" w:type="dxa"/>
        <w:jc w:val="left"/>
        <w:tblInd w:w="0" w:type="dxa"/>
        <w:tblLayout w:type="fixed"/>
        <w:tblCellMar>
          <w:top w:w="28" w:type="dxa"/>
          <w:left w:w="28" w:type="dxa"/>
          <w:bottom w:w="28" w:type="dxa"/>
          <w:right w:w="28" w:type="dxa"/>
        </w:tblCellMar>
      </w:tblPr>
      <w:tblGrid>
        <w:gridCol w:w="609"/>
        <w:gridCol w:w="536"/>
        <w:gridCol w:w="537"/>
        <w:gridCol w:w="918"/>
        <w:gridCol w:w="918"/>
        <w:gridCol w:w="921"/>
        <w:gridCol w:w="109"/>
        <w:gridCol w:w="109"/>
        <w:gridCol w:w="109"/>
        <w:gridCol w:w="271"/>
        <w:gridCol w:w="927"/>
        <w:gridCol w:w="140"/>
        <w:gridCol w:w="109"/>
        <w:gridCol w:w="109"/>
        <w:gridCol w:w="109"/>
        <w:gridCol w:w="658"/>
        <w:gridCol w:w="658"/>
        <w:gridCol w:w="660"/>
        <w:gridCol w:w="109"/>
        <w:gridCol w:w="109"/>
        <w:gridCol w:w="109"/>
        <w:gridCol w:w="284"/>
        <w:gridCol w:w="972"/>
        <w:gridCol w:w="215"/>
      </w:tblGrid>
      <w:tr>
        <w:trPr/>
        <w:tc>
          <w:tcPr>
            <w:tcW w:w="6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 Awards, Restricted Stock Units, and Performance Stock Units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Grant Date Fair </w:t>
              <w:br/>
              <w:t xml:space="preserve">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2024</w:t>
            </w:r>
          </w:p>
        </w:tc>
        <w:tc>
          <w:tcPr>
            <w:tcW w:w="1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Vested</w:t>
            </w:r>
          </w:p>
        </w:tc>
        <w:tc>
          <w:tcPr>
            <w:tcW w:w="1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9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September 30, 2025</w:t>
            </w:r>
          </w:p>
        </w:tc>
        <w:tc>
          <w:tcPr>
            <w:tcW w:w="1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September 30, 2025</w:t>
            </w:r>
          </w:p>
        </w:tc>
        <w:tc>
          <w:tcPr>
            <w:tcW w:w="1836"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92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102.23 </w:t>
            </w:r>
          </w:p>
        </w:tc>
        <w:tc>
          <w:tcPr>
            <w:tcW w:w="14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44,246 </w:t>
            </w:r>
          </w:p>
        </w:tc>
        <w:tc>
          <w:tcPr>
            <w:tcW w:w="21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(1)Performance stock unit grants, including market-based performance stock units, are included at the 100% attainment level. Attainment of the maximum performance targets and market achievements would result in the issuance of an additional 208 shares of Class A common stock currently included in unvested.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restricted stock awards, restricted stock units and performance stock units was $3,539 and $10,676 during the three and nine months ended September 30, 2025, respectively, as compared to $2,338 and $6,563 during the three and nine months ended September 30, 2024, respectively.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2025, the total fair value of other stock awards vested was $5,396.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September 30, 2025, total unrecognized stock-based compensation expense related to outstanding restricted stock units was $7,956, which is to be recognized over a weighted average period of 2.0 years. As of September 30, 2025, total expected unrecognized stock-based compensation expense related to outstanding performance stock units was $10,223, which is to be recognized over a weighted average period of 1.7 years.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weighted average fair value of market-based performance stock units granted during the nine months ended September 30, 2025 was $118.64 per award, which was calculated using a Monte Carlo pricing model assuming a risk-free interest rate of 3.95% and an expected volatility of 25.1% assuming no expected dividend yield. Risk-free interest rate is based on the U.S. Treasury yield curve for the expected service period of the award. Expected volatility is calculated using the daily volatility of our Class A common stock over the expected service period of the award.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Monte Carlo pricing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also recorded $196 and $568 of stock-based compensation expense related to the Second Amended and Restated 1997 Employee Stock Purchase Plan during the three and nine months ended September 30, 2025, respectively, as compared to $145 and $428 during the three and nine months ended September 30, 2024, respectively.</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Accumulated Other Comprehensive (Loss) Income, Net of Tax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changes in the balances of each component of accumulated other comprehensive (loss) income, net of tax follows:</w:t>
      </w:r>
    </w:p>
    <w:tbl>
      <w:tblPr>
        <w:tblW w:w="7043" w:type="dxa"/>
        <w:jc w:val="left"/>
        <w:tblInd w:w="0" w:type="dxa"/>
        <w:tblLayout w:type="fixed"/>
        <w:tblCellMar>
          <w:top w:w="28" w:type="dxa"/>
          <w:left w:w="28" w:type="dxa"/>
          <w:bottom w:w="28" w:type="dxa"/>
          <w:right w:w="28" w:type="dxa"/>
        </w:tblCellMar>
      </w:tblPr>
      <w:tblGrid>
        <w:gridCol w:w="1896"/>
        <w:gridCol w:w="1666"/>
        <w:gridCol w:w="1673"/>
        <w:gridCol w:w="109"/>
        <w:gridCol w:w="109"/>
        <w:gridCol w:w="317"/>
        <w:gridCol w:w="1041"/>
        <w:gridCol w:w="232"/>
      </w:tblGrid>
      <w:tr>
        <w:trPr/>
        <w:tc>
          <w:tcPr>
            <w:tcW w:w="189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Swaps</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loss before reclassifications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(6,816)</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 amounts reclassified into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related to items of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reclassifications out of accumulated other comprehensive (loss) income, net of tax into earnings follows:</w:t>
      </w:r>
    </w:p>
    <w:tbl>
      <w:tblPr>
        <w:tblW w:w="10205" w:type="dxa"/>
        <w:jc w:val="left"/>
        <w:tblInd w:w="0" w:type="dxa"/>
        <w:tblLayout w:type="fixed"/>
        <w:tblCellMar>
          <w:top w:w="28" w:type="dxa"/>
          <w:left w:w="28" w:type="dxa"/>
          <w:bottom w:w="28" w:type="dxa"/>
          <w:right w:w="28" w:type="dxa"/>
        </w:tblCellMar>
      </w:tblPr>
      <w:tblGrid>
        <w:gridCol w:w="865"/>
        <w:gridCol w:w="760"/>
        <w:gridCol w:w="762"/>
        <w:gridCol w:w="109"/>
        <w:gridCol w:w="109"/>
        <w:gridCol w:w="109"/>
        <w:gridCol w:w="234"/>
        <w:gridCol w:w="730"/>
        <w:gridCol w:w="121"/>
        <w:gridCol w:w="121"/>
        <w:gridCol w:w="121"/>
        <w:gridCol w:w="121"/>
        <w:gridCol w:w="234"/>
        <w:gridCol w:w="730"/>
        <w:gridCol w:w="121"/>
        <w:gridCol w:w="121"/>
        <w:gridCol w:w="121"/>
        <w:gridCol w:w="121"/>
        <w:gridCol w:w="234"/>
        <w:gridCol w:w="730"/>
        <w:gridCol w:w="121"/>
        <w:gridCol w:w="121"/>
        <w:gridCol w:w="121"/>
        <w:gridCol w:w="121"/>
        <w:gridCol w:w="234"/>
        <w:gridCol w:w="730"/>
        <w:gridCol w:w="121"/>
        <w:gridCol w:w="109"/>
        <w:gridCol w:w="109"/>
        <w:gridCol w:w="109"/>
        <w:gridCol w:w="505"/>
        <w:gridCol w:w="505"/>
        <w:gridCol w:w="725"/>
      </w:tblGrid>
      <w:tr>
        <w:trPr/>
        <w:tc>
          <w:tcPr>
            <w:tcW w:w="86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2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(Loss) Income,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Amounts Reclassified Out of Accumulated Other Comprehensive (Loss) Income,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Affected Line Item in the Consolidated</w:t>
              <w:br/>
              <w:t>Statements of Operations</w:t>
            </w:r>
          </w:p>
        </w:tc>
      </w:tr>
      <w:tr>
        <w:trPr/>
        <w:tc>
          <w:tcPr>
            <w:tcW w:w="2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r>
      <w:tr>
        <w:trPr/>
        <w:tc>
          <w:tcPr>
            <w:tcW w:w="2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r>
      <w:tr>
        <w:trPr/>
        <w:tc>
          <w:tcPr>
            <w:tcW w:w="2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2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r>
      <w:tr>
        <w:trPr/>
        <w:tc>
          <w:tcPr>
            <w:tcW w:w="2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10.    EARNINGS PER SHARE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Basic earnings per share attributable to common stockholders is computed by dividing net income by the weighted average common shares outstanding during the period. Diluted earnings per share is calculated based on the combined weighted average number of common shares and potentially dilutive shares, which include the assumed exercise of employee stock options,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numerator and denominators used in the computation of earnings per share attributable to common stockholders follows:</w:t>
      </w:r>
    </w:p>
    <w:tbl>
      <w:tblPr>
        <w:tblW w:w="9404" w:type="dxa"/>
        <w:jc w:val="left"/>
        <w:tblInd w:w="0" w:type="dxa"/>
        <w:tblLayout w:type="fixed"/>
        <w:tblCellMar>
          <w:top w:w="28" w:type="dxa"/>
          <w:left w:w="28" w:type="dxa"/>
          <w:bottom w:w="28" w:type="dxa"/>
          <w:right w:w="28" w:type="dxa"/>
        </w:tblCellMar>
      </w:tblPr>
      <w:tblGrid>
        <w:gridCol w:w="1636"/>
        <w:gridCol w:w="1441"/>
        <w:gridCol w:w="1452"/>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163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outstanding, end of period:</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Effect of weighted average shares outstanding </w:t>
            </w:r>
            <w:r>
              <w:rPr>
                <w:rFonts w:ascii="Times New Roman;serif" w:hAnsi="Times New Roman;serif"/>
                <w:b w:val="false"/>
                <w:color w:val="000000"/>
                <w:sz w:val="16"/>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potentially dilutive securities: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 options and other stock awards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potentially issuable shares</w:t>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20"/>
        </w:rPr>
        <w:t xml:space="preserve">(1)Adjustments for the periods ended September 30, 2024 primarily associated with the timing of 5,175 shares of Class A common stock issued as part of a public offering, completed on September 19, 2024. See Note 9, </w:t>
      </w:r>
      <w:r>
        <w:rPr>
          <w:rFonts w:ascii="Times New Roman;serif" w:hAnsi="Times New Roman;serif"/>
          <w:b w:val="false"/>
          <w:i/>
          <w:color w:val="000000"/>
          <w:sz w:val="20"/>
        </w:rPr>
        <w:t>Stockholders’ Equity</w:t>
      </w:r>
      <w:r>
        <w:rPr>
          <w:color w:val="000000"/>
        </w:rPr>
        <w:t xml:space="preserve"> </w:t>
      </w:r>
      <w:r>
        <w:rPr>
          <w:rFonts w:ascii="Times New Roman;serif" w:hAnsi="Times New Roman;serif"/>
          <w:b w:val="false"/>
          <w:color w:val="000000"/>
          <w:sz w:val="20"/>
        </w:rPr>
        <w:t>for disclosure regarding the public offering of Class A common stock completed on September 19,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11.    OTHER ITEMS AND CHARGES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Expense from Acquisition Activities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three and nine months ended September 30, 2025, we recorded charges of $4,618 and $16,610, respectively, and in the three and nine months ended September 30, 2024, we recorded charges of $5,450 and $18,297, respectively, comprised primarily of legal, consulting, rebranding, information technology and other costs associated with the due diligence, acquisition and integration of acquired businesses. The nine months ended September 30, 2024 included a charge for an increase in the reserve against accounts receivable of the businesses acquired in our acquisition of the equity interests of four wholly-owned subsidiaries of GFL Environmental Inc. as a result of our inability to pursue collections during the transition services period with the seller, resulting in accounts receivable aged beyond what is typical in our business.</w:t>
      </w:r>
    </w:p>
    <w:p>
      <w:pPr>
        <w:pStyle w:val="TextBody"/>
        <w:bidi w:val="0"/>
        <w:spacing w:lineRule="auto" w:line="288" w:before="120" w:after="120"/>
        <w:jc w:val="left"/>
        <w:rPr/>
      </w:pPr>
      <w:r>
        <w:rPr>
          <w:rFonts w:ascii="Times New Roman;serif" w:hAnsi="Times New Roman;serif"/>
          <w:b/>
          <w:color w:val="000000"/>
          <w:sz w:val="20"/>
        </w:rPr>
        <w:t>Southbridge</w:t>
      </w:r>
      <w:r>
        <w:rPr>
          <w:color w:val="000000"/>
        </w:rPr>
        <w:t xml:space="preserve"> </w:t>
      </w:r>
      <w:r>
        <w:rPr>
          <w:rFonts w:ascii="Times New Roman;serif" w:hAnsi="Times New Roman;serif"/>
          <w:b/>
          <w:color w:val="000000"/>
          <w:sz w:val="20"/>
        </w:rPr>
        <w:t>Landfill Closure Charge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fiscal year ended December 31, 2017, we initiated a plan to cease operations of the Southbridge Landfill and later closed it in November 2018 when it reached its final capacity. In the three and nine months ended September 30, 2024, we recorded a non-cash charge of $8,477, which is associated with our receipt of a final closure permit (the “Closure Permit”) from the Massachusetts Department of Environmental Protection related to the Southbridge Landfill. Pursuant to the terms of the Closure Permit, we are required to meet certain general permit conditions and certain specific permit conditions (collectively, the “Conditions”), including environmental monitoring, third party inspections, inspection of the final cover, leachate sampling, post-closure monitoring, and other post-closure requirements. We revised the accrued post-closure liability for the Southbridge Landfill to reflect the estimated cost of satisfying the expanded Conditions as currently specified in the Closure Permit.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12.    FAIR VALUE OF FINANCIAL INSTRUMENTS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Assets and Liabilities Accounted for at Fair Value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financial instruments include cash, cash equivalents and restricted cash, accounts receivable, restricted investment securities held in trust on deposit with various banks as collateral for our obligations relative to our landfill final capping, closure and post-closure costs, interest rate derivatives, trade payables and debt. The carrying values of cash, cash equivalents and restricted cash,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derivatives included in the Level 2 tier below is calculated using discounted cash flow valuation methodologies based upon Term SOFR yield curves that are observable at commonly quoted intervals for the full term of the swaps. We recognize all derivatives accounted for on the consolidated balance sheets at fair value.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Recurring Fair Value Measurements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Summaries of our financial assets and liabilities that are measured at fair value on a recurring basis follow:</w:t>
      </w:r>
    </w:p>
    <w:tbl>
      <w:tblPr>
        <w:tblW w:w="8949" w:type="dxa"/>
        <w:jc w:val="left"/>
        <w:tblInd w:w="0" w:type="dxa"/>
        <w:tblLayout w:type="fixed"/>
        <w:tblCellMar>
          <w:top w:w="28" w:type="dxa"/>
          <w:left w:w="28" w:type="dxa"/>
          <w:bottom w:w="28" w:type="dxa"/>
          <w:right w:w="28" w:type="dxa"/>
        </w:tblCellMar>
      </w:tblPr>
      <w:tblGrid>
        <w:gridCol w:w="1470"/>
        <w:gridCol w:w="1299"/>
        <w:gridCol w:w="1311"/>
        <w:gridCol w:w="334"/>
        <w:gridCol w:w="977"/>
        <w:gridCol w:w="175"/>
        <w:gridCol w:w="136"/>
        <w:gridCol w:w="136"/>
        <w:gridCol w:w="136"/>
        <w:gridCol w:w="321"/>
        <w:gridCol w:w="938"/>
        <w:gridCol w:w="167"/>
        <w:gridCol w:w="136"/>
        <w:gridCol w:w="136"/>
        <w:gridCol w:w="136"/>
        <w:gridCol w:w="312"/>
        <w:gridCol w:w="600"/>
        <w:gridCol w:w="229"/>
      </w:tblGrid>
      <w:tr>
        <w:trPr/>
        <w:tc>
          <w:tcPr>
            <w:tcW w:w="147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at September 30, 2025 Using:</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br/>
              <w:t>(Level 2)</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investment securities - landfill closure</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8,679 </w:t>
            </w:r>
          </w:p>
        </w:tc>
        <w:tc>
          <w:tcPr>
            <w:tcW w:w="16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9434" w:type="dxa"/>
        <w:jc w:val="center"/>
        <w:tblInd w:w="0" w:type="dxa"/>
        <w:tblLayout w:type="fixed"/>
        <w:tblCellMar>
          <w:top w:w="28" w:type="dxa"/>
          <w:left w:w="28" w:type="dxa"/>
          <w:bottom w:w="28" w:type="dxa"/>
          <w:right w:w="28" w:type="dxa"/>
        </w:tblCellMar>
      </w:tblPr>
      <w:tblGrid>
        <w:gridCol w:w="1470"/>
        <w:gridCol w:w="1299"/>
        <w:gridCol w:w="1311"/>
        <w:gridCol w:w="335"/>
        <w:gridCol w:w="978"/>
        <w:gridCol w:w="172"/>
        <w:gridCol w:w="135"/>
        <w:gridCol w:w="135"/>
        <w:gridCol w:w="135"/>
        <w:gridCol w:w="321"/>
        <w:gridCol w:w="938"/>
        <w:gridCol w:w="165"/>
        <w:gridCol w:w="135"/>
        <w:gridCol w:w="135"/>
        <w:gridCol w:w="135"/>
        <w:gridCol w:w="447"/>
        <w:gridCol w:w="860"/>
        <w:gridCol w:w="328"/>
      </w:tblGrid>
      <w:tr>
        <w:trPr/>
        <w:tc>
          <w:tcPr>
            <w:tcW w:w="147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at December 31, 2024 Using:</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br/>
              <w:t>(Level 2)</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 Inputs</w:t>
              <w:br/>
              <w:t>(Level 3)</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investment securities - landfill closure</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3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2,852 </w:t>
            </w:r>
          </w:p>
        </w:tc>
        <w:tc>
          <w:tcPr>
            <w:tcW w:w="16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Fair Value of Debt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carrying value of our Term Loan Facility was $800,000 and the carrying value of our Revolving Credit Facility was zero dollars. Their fair values are based on current borrowing rates for similar types of borrowing arrangements, or Level 2 inputs, and approximate their carrying values.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fair value of the Industrial Revenue Bonds was approximately $273,624 and the carrying value was $273,500. The fair value of the Industrial Revenue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determined the estimated fair value amounts of the Industrial Revenue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ind w:left="0" w:right="0" w:hanging="720"/>
        <w:jc w:val="left"/>
        <w:rPr>
          <w:rFonts w:ascii="Times New Roman;serif" w:hAnsi="Times New Roman;serif"/>
          <w:b/>
          <w:color w:val="000000"/>
          <w:sz w:val="20"/>
        </w:rPr>
      </w:pPr>
      <w:r>
        <w:rPr>
          <w:rFonts w:ascii="Times New Roman;serif" w:hAnsi="Times New Roman;serif"/>
          <w:b/>
          <w:color w:val="000000"/>
          <w:sz w:val="20"/>
        </w:rPr>
        <w:t>13.    SEGMENT REPORTING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report selected information about our reportable operating segments in a manner consistent with that used for internal management reporting. We classify our solid waste operations on a geographic basis through three regional operating segments, our Eastern, Western and Mid-Atlantic regions. In the nine months ended September 30, 2025, we moved certain operations between our regional operating segments to align geographically, including a landfill that we own from the Western region to the Mid-Atlantic region and a collection and transfer station operation from our Western region to our Eastern region. Certain prior period amounts have been reclassified between regional operating segments to conform to the current period presentation.</w:t>
      </w:r>
    </w:p>
    <w:p>
      <w:pPr>
        <w:pStyle w:val="TextBody"/>
        <w:bidi w:val="0"/>
        <w:spacing w:lineRule="auto" w:line="288" w:before="120" w:after="120"/>
        <w:jc w:val="left"/>
        <w:rPr/>
      </w:pPr>
      <w:r>
        <w:rPr>
          <w:rFonts w:ascii="Times New Roman;serif" w:hAnsi="Times New Roman;serif"/>
          <w:b w:val="false"/>
          <w:color w:val="000000"/>
          <w:sz w:val="20"/>
        </w:rPr>
        <w:t xml:space="preserve">Revenues associated with our solid waste operations are derived mainly from solid waste collection and disposal services, including landfill, transfer station and transportation services, landfill gas-to-energy services, and processing services in the eastern United States. Our Resource Solutions operating segment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associated with our Resource Solutions operations are comprised of processing services and our National Accounts business. Revenues from processing services are derived from customers in the form of processing fees, tipping fees, commodity sales, and organic material sales.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 Legal, tax, information technology, human resources, certain finance and accounting and other administrative functions are included in our Corporate Entities segment, which is not a reportable operating segment. Operating income (loss) by segment reported in the three and nine months ended September 30, 2024 has been updated to conform with the presentation for the three and nine months ended September 30, 2025, which includes the movement of certain operations described above and does not have Corporate Entities costs allocated to our reportable operating segments. See Note 5, </w:t>
      </w:r>
      <w:r>
        <w:rPr>
          <w:rFonts w:ascii="Times New Roman;serif" w:hAnsi="Times New Roman;serif"/>
          <w:b w:val="false"/>
          <w:i/>
          <w:color w:val="000000"/>
          <w:sz w:val="20"/>
        </w:rPr>
        <w:t>Goodwill and Intangible Assets</w:t>
      </w:r>
      <w:r>
        <w:rPr>
          <w:color w:val="000000"/>
        </w:rPr>
        <w:t xml:space="preserve"> </w:t>
      </w:r>
      <w:r>
        <w:rPr>
          <w:rFonts w:ascii="Times New Roman;serif" w:hAnsi="Times New Roman;serif"/>
          <w:b w:val="false"/>
          <w:color w:val="000000"/>
          <w:sz w:val="20"/>
        </w:rPr>
        <w:t>for the breakout of goodwill by reportable operating segment.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accounting policies of our reportable operating segments are the same as those described in Item 8. “Financial Statements and Supplementary Data” of our 2024 Form 10-K. Our President is our chief operating decision maker (“CODM”). Our CODM uses operating income in evaluating reportable operating segment performance in order to properly allocate resources and make key operating decisions. Intercompany revenues and expenses are eliminated in the computation of consolidated gross revenues and operating income.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CODM uses operating income for each reportable operating segment in the annual budget and forecasting process and considers budget-to-actual and forecast-to-actual variances on a monthly basis when making decisions about the allocation of operating and capital resources to each reportable operating segment.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Summarized financial information concerning our reportable segments for the three and nine months ended September 30, 2025 and 2024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Three Months Ended September 30, 2025 </w:t>
      </w:r>
    </w:p>
    <w:tbl>
      <w:tblPr>
        <w:tblW w:w="13377" w:type="dxa"/>
        <w:jc w:val="left"/>
        <w:tblInd w:w="0" w:type="dxa"/>
        <w:tblLayout w:type="fixed"/>
        <w:tblCellMar>
          <w:top w:w="28" w:type="dxa"/>
          <w:left w:w="28" w:type="dxa"/>
          <w:bottom w:w="28" w:type="dxa"/>
          <w:right w:w="28" w:type="dxa"/>
        </w:tblCellMar>
      </w:tblPr>
      <w:tblGrid>
        <w:gridCol w:w="636"/>
        <w:gridCol w:w="334"/>
        <w:gridCol w:w="336"/>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92"/>
        <w:gridCol w:w="562"/>
        <w:gridCol w:w="152"/>
        <w:gridCol w:w="109"/>
        <w:gridCol w:w="109"/>
        <w:gridCol w:w="109"/>
        <w:gridCol w:w="211"/>
        <w:gridCol w:w="976"/>
        <w:gridCol w:w="109"/>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Solid Waste</w:t>
              <w:b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Resource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Third-party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Intercompany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(104,644)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(104,644)</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(104,644)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 (income) from acquisition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Three Months Ended September 30, 2024 </w:t>
      </w:r>
    </w:p>
    <w:tbl>
      <w:tblPr>
        <w:tblW w:w="12968" w:type="dxa"/>
        <w:jc w:val="left"/>
        <w:tblInd w:w="0" w:type="dxa"/>
        <w:tblLayout w:type="fixed"/>
        <w:tblCellMar>
          <w:top w:w="28" w:type="dxa"/>
          <w:left w:w="28" w:type="dxa"/>
          <w:bottom w:w="28" w:type="dxa"/>
          <w:right w:w="28" w:type="dxa"/>
        </w:tblCellMar>
      </w:tblPr>
      <w:tblGrid>
        <w:gridCol w:w="636"/>
        <w:gridCol w:w="334"/>
        <w:gridCol w:w="33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92"/>
        <w:gridCol w:w="562"/>
        <w:gridCol w:w="152"/>
        <w:gridCol w:w="109"/>
        <w:gridCol w:w="109"/>
        <w:gridCol w:w="109"/>
        <w:gridCol w:w="211"/>
        <w:gridCol w:w="97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Solid Waste</w:t>
              <w:b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Resource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Third-party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Intercompany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(86,362)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(86,362)</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(86,362)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Southbridge Landfill closure charge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expense from acquisition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Nine Months Ended September 30, 2025</w:t>
      </w:r>
    </w:p>
    <w:tbl>
      <w:tblPr>
        <w:tblW w:w="13392" w:type="dxa"/>
        <w:jc w:val="left"/>
        <w:tblInd w:w="0" w:type="dxa"/>
        <w:tblLayout w:type="fixed"/>
        <w:tblCellMar>
          <w:top w:w="28" w:type="dxa"/>
          <w:left w:w="28" w:type="dxa"/>
          <w:bottom w:w="28" w:type="dxa"/>
          <w:right w:w="28" w:type="dxa"/>
        </w:tblCellMar>
      </w:tblPr>
      <w:tblGrid>
        <w:gridCol w:w="636"/>
        <w:gridCol w:w="334"/>
        <w:gridCol w:w="336"/>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841"/>
        <w:gridCol w:w="109"/>
        <w:gridCol w:w="109"/>
        <w:gridCol w:w="109"/>
        <w:gridCol w:w="109"/>
        <w:gridCol w:w="292"/>
        <w:gridCol w:w="562"/>
        <w:gridCol w:w="152"/>
        <w:gridCol w:w="109"/>
        <w:gridCol w:w="109"/>
        <w:gridCol w:w="109"/>
        <w:gridCol w:w="211"/>
        <w:gridCol w:w="976"/>
        <w:gridCol w:w="109"/>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Solid Waste</w:t>
              <w:b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Resource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Third-party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Intercompany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(283,440)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(283,440)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(283,440)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 (income) from acquisition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Nine Months Ended September 30, 2024</w:t>
      </w:r>
    </w:p>
    <w:tbl>
      <w:tblPr>
        <w:tblW w:w="12968" w:type="dxa"/>
        <w:jc w:val="left"/>
        <w:tblInd w:w="0" w:type="dxa"/>
        <w:tblLayout w:type="fixed"/>
        <w:tblCellMar>
          <w:top w:w="28" w:type="dxa"/>
          <w:left w:w="28" w:type="dxa"/>
          <w:bottom w:w="28" w:type="dxa"/>
          <w:right w:w="28" w:type="dxa"/>
        </w:tblCellMar>
      </w:tblPr>
      <w:tblGrid>
        <w:gridCol w:w="636"/>
        <w:gridCol w:w="334"/>
        <w:gridCol w:w="33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92"/>
        <w:gridCol w:w="562"/>
        <w:gridCol w:w="152"/>
        <w:gridCol w:w="109"/>
        <w:gridCol w:w="109"/>
        <w:gridCol w:w="109"/>
        <w:gridCol w:w="211"/>
        <w:gridCol w:w="97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Mid-Atlantic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Solid Waste</w:t>
              <w:b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Resource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Third-party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1,129,797 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Intercompany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(241,666)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(241,666)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1,129,797 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(241,666)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Southbridge Landfill closure charge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 from acquisition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40,134 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our revenues attributable to services provided follows:</w:t>
      </w:r>
    </w:p>
    <w:tbl>
      <w:tblPr>
        <w:tblW w:w="7844" w:type="dxa"/>
        <w:jc w:val="left"/>
        <w:tblInd w:w="0" w:type="dxa"/>
        <w:tblLayout w:type="fixed"/>
        <w:tblCellMar>
          <w:top w:w="28" w:type="dxa"/>
          <w:left w:w="28" w:type="dxa"/>
          <w:bottom w:w="28" w:type="dxa"/>
          <w:right w:w="28" w:type="dxa"/>
        </w:tblCellMar>
      </w:tblPr>
      <w:tblGrid>
        <w:gridCol w:w="699"/>
        <w:gridCol w:w="614"/>
        <w:gridCol w:w="621"/>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69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Landfill gas-to-energy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Solid waste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Resource Solutions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485,351 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1,367,786 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1,129,797 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120"/>
        <w:jc w:val="left"/>
        <w:rPr/>
      </w:pPr>
      <w:r>
        <w:rPr>
          <w:rFonts w:ascii="Times New Roman;serif" w:hAnsi="Times New Roman;serif"/>
          <w:b w:val="false"/>
          <w:color w:val="000000"/>
          <w:sz w:val="20"/>
        </w:rPr>
        <w:t>The following discussion should be read in conjunction with our unaudited consolidated financial statements and notes thereto included under Item 1. “</w:t>
      </w:r>
      <w:r>
        <w:rPr>
          <w:rFonts w:ascii="Times New Roman;serif" w:hAnsi="Times New Roman;serif"/>
          <w:b w:val="false"/>
          <w:i/>
          <w:color w:val="000000"/>
          <w:sz w:val="20"/>
        </w:rPr>
        <w:t>Financial Statements</w:t>
      </w:r>
      <w:r>
        <w:rPr>
          <w:color w:val="000000"/>
        </w:rPr>
        <w:t>”</w:t>
      </w:r>
      <w:r>
        <w:rPr>
          <w:rFonts w:ascii="Times New Roman;serif" w:hAnsi="Times New Roman;serif"/>
          <w:b w:val="false"/>
          <w:color w:val="000000"/>
          <w:sz w:val="20"/>
        </w:rPr>
        <w:t>. In addition, reference should be made to our audited consolidated financial statements and notes thereto and related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appearing in our Annual Report on Form 10-K for the fiscal year ended December 31, 2024 (“fiscal year 2024”) filed with the Securities and Exchange Commission on February 18, 2025 (“2024 Form 10-K”).</w:t>
      </w:r>
    </w:p>
    <w:p>
      <w:pPr>
        <w:pStyle w:val="TextBody"/>
        <w:bidi w:val="0"/>
        <w:spacing w:lineRule="auto" w:line="288" w:before="120" w:after="120"/>
        <w:jc w:val="left"/>
        <w:rPr/>
      </w:pPr>
      <w:r>
        <w:rPr>
          <w:rFonts w:ascii="Times New Roman;serif" w:hAnsi="Times New Roman;serif"/>
          <w:b w:val="false"/>
          <w:color w:val="000000"/>
          <w:sz w:val="20"/>
        </w:rPr>
        <w:t>This Quarterly Report on Form 10-Q and, in particular, this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may contain or incorporate a number of forward-looking statements within the meaning of Section 27A of the Securities Act of 1933, as amended, and Section 21E of the Securities Exchange Act of 1934, as amended, including statements regarding:</w:t>
      </w:r>
    </w:p>
    <w:p>
      <w:pPr>
        <w:pStyle w:val="TextBody"/>
        <w:bidi w:val="0"/>
        <w:spacing w:lineRule="auto" w:line="288" w:before="120" w:after="60"/>
        <w:ind w:left="0" w:right="0" w:hanging="720"/>
        <w:jc w:val="left"/>
        <w:rPr/>
      </w:pPr>
      <w:r>
        <w:rPr>
          <w:color w:val="000000"/>
        </w:rPr>
        <w:t>•</w:t>
      </w:r>
      <w:r>
        <w:rPr>
          <w:rFonts w:ascii="Times New Roman;serif" w:hAnsi="Times New Roman;serif"/>
          <w:b w:val="false"/>
          <w:color w:val="000000"/>
          <w:sz w:val="20"/>
        </w:rPr>
        <w:t>our ability to consummate business acquisitions or divestitures, integrate acquired businesses and operations and achieve the expected benefits, including the expected annualized revenues from such acquired businesses and operations;</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our ability to achieve the key strategies of our long-term strategic plan;</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the projected development of additional disposal capacity or expectations regarding permits for existing capacity;</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the outcome of any legal or regulatory matter;</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expected liquidity and financing plans;</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expected future revenues, operations, expenditures and cash needs;</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whether our pricing programs and operational initiatives will outpace higher operating and construction costs from inflation and regulatory changes;</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severe weather conditions, which could impair our financial results by causing increased costs, loss of revenue, reduced operational efficiency or disruptions to our operations;</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projected future obligations related to final capping, closure and post-closure costs of our existing landfills and any disposal facilities which we may own or operate in the future;</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our ability to use our net operating losses and tax positions;</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our ability to service our debt obligations;</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the recoverability or impairment of any of our assets or goodwill;</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estimates of the potential markets for our products and services, including the anticipated drivers for future growth;</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sales and marketing plans or price and volume assumptions;</w:t>
      </w:r>
    </w:p>
    <w:p>
      <w:pPr>
        <w:pStyle w:val="TextBody"/>
        <w:bidi w:val="0"/>
        <w:spacing w:lineRule="auto" w:line="288" w:before="60" w:after="60"/>
        <w:ind w:left="0" w:right="0" w:hanging="720"/>
        <w:jc w:val="left"/>
        <w:rPr/>
      </w:pPr>
      <w:r>
        <w:rPr>
          <w:color w:val="000000"/>
        </w:rPr>
        <w:t>•</w:t>
      </w:r>
      <w:r>
        <w:rPr>
          <w:rFonts w:ascii="Times New Roman;serif" w:hAnsi="Times New Roman;serif"/>
          <w:b w:val="false"/>
          <w:color w:val="000000"/>
          <w:sz w:val="20"/>
        </w:rPr>
        <w:t>projected improvements to our infrastructure and the impact of such improvements on our business and operations; and</w:t>
      </w:r>
    </w:p>
    <w:p>
      <w:pPr>
        <w:pStyle w:val="TextBody"/>
        <w:bidi w:val="0"/>
        <w:spacing w:lineRule="auto" w:line="288" w:before="60" w:after="120"/>
        <w:ind w:left="0" w:right="0" w:hanging="720"/>
        <w:jc w:val="left"/>
        <w:rPr/>
      </w:pPr>
      <w:r>
        <w:rPr>
          <w:color w:val="000000"/>
        </w:rPr>
        <w:t>•</w:t>
      </w:r>
      <w:r>
        <w:rPr>
          <w:rFonts w:ascii="Times New Roman;serif" w:hAnsi="Times New Roman;serif"/>
          <w:b w:val="false"/>
          <w:color w:val="000000"/>
          <w:sz w:val="20"/>
        </w:rPr>
        <w:t>general economic factors, such as ongoing or potential geopolitical conflict, pandemics, recessions, or similar national or global events, and general macroeconomic conditions, including, among other things, consumer confidence, global supply chain disruptions, inflation, labor supply, fuel prices, tariffs, fluctuations in recycling commodity pricing, interest rates and access to capital markets, that generally are not within our control, and our exposure to credit and counterparty risk.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pStyle w:val="TextBody"/>
        <w:bidi w:val="0"/>
        <w:spacing w:lineRule="auto" w:line="288" w:before="120" w:after="120"/>
        <w:jc w:val="left"/>
        <w:rPr/>
      </w:pPr>
      <w:r>
        <w:rPr>
          <w:rFonts w:ascii="Times New Roman;serif" w:hAnsi="Times New Roman;serif"/>
          <w:b w:val="false"/>
          <w:color w:val="000000"/>
          <w:sz w:val="20"/>
        </w:rPr>
        <w:t>There are a number of important risks and uncertainties that could cause our actual results to differ materially from those indicated by such forward-looking statements. These risks and uncertainties include, without limitation, those detailed in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our 2024 Form 10-K.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There may be additional risks that we are not presently aware of or that we currently believe are immaterial, which could have an adverse impact on our business. We explicitly disclaim any obligation to update any forward-looking statements whether as the result of new information, future events or otherwise, except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Casella Waste Systems, Inc., a Delaware corporation, and its wholly-owned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provide integrated solid waste services in ten states: Vermont, New Hampshire, New York, Massachusetts, Connecticut, Maine, Pennsylvania, Delaware, New Jersey and Maryland, with our headquarters located in Rutland, Vermont. We manage our solid waste operations on a geographic basis through three regional operating segments, the Eastern, Western and Mid-Atlantic regions, each of which provides a comprehensive range of non-hazardous solid waste services. We manage our resource 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October 15, 2025, we owned and/or operated 81 solid waste collection operations, 71 transfer stations, 32 recycling facilities, eight Subtitle D landfills, two landfill gas-to-energy facilities and one landfill permitted to accept construction and demolition (“C&amp;D”) materials. We also housed two landfill gas-to-energy facilities, which are owned and operated by third parties, at landfills we owned and/or operated.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20" w:after="120"/>
        <w:jc w:val="left"/>
        <w:rPr/>
      </w:pPr>
      <w:r>
        <w:rPr>
          <w:rFonts w:ascii="Times New Roman;serif" w:hAnsi="Times New Roman;serif"/>
          <w:b w:val="false"/>
          <w:color w:val="000000"/>
          <w:sz w:val="20"/>
        </w:rPr>
        <w:t>We manage our solid waste operations, which include a full range of solid waste services, on a geographic basis through three regional operating segments, which we designate as the Eastern, Western and Mid-Atlantic regions. In the nine months ended September 30, 2025, we moved certain operations between our regional operating segments, including a landfill that we own from the Western region to the Mid-Atlantic region and a collection and transfer station operation from our Western region to our Eastern region. Throughout this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certain prior period amounts have been reclassified between regional operating segments to conform to the current period presentation. For additional information, see Note 13, </w:t>
      </w:r>
      <w:r>
        <w:rPr>
          <w:rFonts w:ascii="Times New Roman;serif" w:hAnsi="Times New Roman;serif"/>
          <w:b w:val="false"/>
          <w:i/>
          <w:color w:val="000000"/>
          <w:sz w:val="20"/>
        </w:rPr>
        <w:t>Segment Reporting</w:t>
      </w:r>
      <w:r>
        <w:rPr>
          <w:color w:val="000000"/>
        </w:rPr>
        <w:t xml:space="preserve"> </w:t>
      </w:r>
      <w:r>
        <w:rPr>
          <w:rFonts w:ascii="Times New Roman;serif" w:hAnsi="Times New Roman;serif"/>
          <w:b w:val="false"/>
          <w:color w:val="000000"/>
          <w:sz w:val="20"/>
        </w:rPr>
        <w:t>to our consolidated financial statements included under Part I. Item 1. “</w:t>
      </w:r>
      <w:r>
        <w:rPr>
          <w:rFonts w:ascii="Times New Roman;serif" w:hAnsi="Times New Roman;serif"/>
          <w:b w:val="false"/>
          <w:i/>
          <w:color w:val="000000"/>
          <w:sz w:val="20"/>
        </w:rPr>
        <w:t>Financial</w:t>
      </w:r>
      <w:r>
        <w:rPr>
          <w:color w:val="000000"/>
        </w:rPr>
        <w:t xml:space="preserve"> </w:t>
      </w:r>
      <w:r>
        <w:rPr>
          <w:rFonts w:ascii="Times New Roman;serif" w:hAnsi="Times New Roman;serif"/>
          <w:b w:val="false"/>
          <w:i/>
          <w:color w:val="000000"/>
          <w:sz w:val="20"/>
        </w:rPr>
        <w:t>Statements</w:t>
      </w:r>
      <w:r>
        <w:rPr>
          <w:color w:val="000000"/>
        </w:rPr>
        <w:t xml:space="preserve">” </w:t>
      </w:r>
      <w:r>
        <w:rPr>
          <w:rFonts w:ascii="Times New Roman;serif" w:hAnsi="Times New Roman;serif"/>
          <w:b w:val="false"/>
          <w:color w:val="000000"/>
          <w:sz w:val="20"/>
        </w:rPr>
        <w:t>of this Quarterly Report on Form 10-Q.</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Revenues associated with our solid waste operations are derived mainly from fees charged to customers for solid waste collection and disposal services, including landfill, transfer station and transportation services, landfill gas-to-energy services, and processing services in the eastern United States.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property owners or occupants. Landfill and transfer customers are charged a tipping fee on a per ton basis for disposing of their solid waste at our disposal facilities and transfer stations. We also generate and sell electricity at certain of our landfill facilities. We manage our resource renewal operations through the Resource Solutions operating segment, which includes processing services and services provided by our National Accounts business. Revenues from processing services are derived from customers in the form of processing fees, tipping fees, commodity sales, primarily comprised of newspaper, corrugated containers, plastics, ferrous and aluminum, and organic materials such as our earthlife® soils products including fertilizers, composts and mulches. Revenues from our National Accounts business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table below shows revenues attributable to services provided (dollars in millions and as a percentage of total revenues) for the following periods:</w:t>
      </w:r>
    </w:p>
    <w:tbl>
      <w:tblPr>
        <w:tblW w:w="13578" w:type="dxa"/>
        <w:jc w:val="left"/>
        <w:tblInd w:w="0" w:type="dxa"/>
        <w:tblLayout w:type="fixed"/>
        <w:tblCellMar>
          <w:top w:w="28" w:type="dxa"/>
          <w:left w:w="28" w:type="dxa"/>
          <w:bottom w:w="28" w:type="dxa"/>
          <w:right w:w="28" w:type="dxa"/>
        </w:tblCellMar>
      </w:tblPr>
      <w:tblGrid>
        <w:gridCol w:w="445"/>
        <w:gridCol w:w="391"/>
        <w:gridCol w:w="395"/>
        <w:gridCol w:w="211"/>
        <w:gridCol w:w="616"/>
        <w:gridCol w:w="109"/>
        <w:gridCol w:w="109"/>
        <w:gridCol w:w="109"/>
        <w:gridCol w:w="109"/>
        <w:gridCol w:w="307"/>
        <w:gridCol w:w="309"/>
        <w:gridCol w:w="271"/>
        <w:gridCol w:w="109"/>
        <w:gridCol w:w="109"/>
        <w:gridCol w:w="109"/>
        <w:gridCol w:w="211"/>
        <w:gridCol w:w="616"/>
        <w:gridCol w:w="109"/>
        <w:gridCol w:w="109"/>
        <w:gridCol w:w="109"/>
        <w:gridCol w:w="109"/>
        <w:gridCol w:w="307"/>
        <w:gridCol w:w="309"/>
        <w:gridCol w:w="271"/>
        <w:gridCol w:w="109"/>
        <w:gridCol w:w="109"/>
        <w:gridCol w:w="109"/>
        <w:gridCol w:w="211"/>
        <w:gridCol w:w="511"/>
        <w:gridCol w:w="109"/>
        <w:gridCol w:w="109"/>
        <w:gridCol w:w="109"/>
        <w:gridCol w:w="109"/>
        <w:gridCol w:w="211"/>
        <w:gridCol w:w="766"/>
        <w:gridCol w:w="109"/>
        <w:gridCol w:w="109"/>
        <w:gridCol w:w="109"/>
        <w:gridCol w:w="109"/>
        <w:gridCol w:w="307"/>
        <w:gridCol w:w="309"/>
        <w:gridCol w:w="271"/>
        <w:gridCol w:w="109"/>
        <w:gridCol w:w="109"/>
        <w:gridCol w:w="109"/>
        <w:gridCol w:w="211"/>
        <w:gridCol w:w="766"/>
        <w:gridCol w:w="109"/>
        <w:gridCol w:w="109"/>
        <w:gridCol w:w="109"/>
        <w:gridCol w:w="109"/>
        <w:gridCol w:w="307"/>
        <w:gridCol w:w="309"/>
        <w:gridCol w:w="271"/>
        <w:gridCol w:w="109"/>
        <w:gridCol w:w="109"/>
        <w:gridCol w:w="109"/>
        <w:gridCol w:w="211"/>
        <w:gridCol w:w="616"/>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Landfill gas-to-energy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Solid waste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National Accounts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Resource Solutions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Solid waste revenues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period-to-period changes in solid waste revenues (dollars in millions and as percentage growth of solid waste revenues) follows:</w:t>
      </w:r>
    </w:p>
    <w:tbl>
      <w:tblPr>
        <w:tblW w:w="10205" w:type="dxa"/>
        <w:jc w:val="left"/>
        <w:tblInd w:w="0" w:type="dxa"/>
        <w:tblLayout w:type="fixed"/>
        <w:tblCellMar>
          <w:top w:w="28" w:type="dxa"/>
          <w:left w:w="28" w:type="dxa"/>
          <w:bottom w:w="28" w:type="dxa"/>
          <w:right w:w="28" w:type="dxa"/>
        </w:tblCellMar>
      </w:tblPr>
      <w:tblGrid>
        <w:gridCol w:w="822"/>
        <w:gridCol w:w="725"/>
        <w:gridCol w:w="739"/>
        <w:gridCol w:w="452"/>
        <w:gridCol w:w="1095"/>
        <w:gridCol w:w="233"/>
        <w:gridCol w:w="233"/>
        <w:gridCol w:w="233"/>
        <w:gridCol w:w="233"/>
        <w:gridCol w:w="407"/>
        <w:gridCol w:w="291"/>
        <w:gridCol w:w="581"/>
        <w:gridCol w:w="109"/>
        <w:gridCol w:w="109"/>
        <w:gridCol w:w="109"/>
        <w:gridCol w:w="422"/>
        <w:gridCol w:w="1233"/>
        <w:gridCol w:w="218"/>
        <w:gridCol w:w="218"/>
        <w:gridCol w:w="218"/>
        <w:gridCol w:w="218"/>
        <w:gridCol w:w="370"/>
        <w:gridCol w:w="297"/>
        <w:gridCol w:w="640"/>
      </w:tblGrid>
      <w:tr>
        <w:trPr/>
        <w:tc>
          <w:tcPr>
            <w:tcW w:w="82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Three Months Ended September 30, 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Nine Months Ended September 30, 2025 vs. 2024</w:t>
            </w:r>
          </w:p>
        </w:tc>
      </w:tr>
      <w:tr>
        <w:trPr/>
        <w:tc>
          <w:tcPr>
            <w:tcW w:w="22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Volume</w:t>
            </w:r>
            <w:r>
              <w:rPr>
                <w:color w:val="000000"/>
              </w:rPr>
              <w:t xml:space="preserve"> </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transfers to National Accounts</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Surcharges and other fees</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price and volume</w:t>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Acquisitions </w:t>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86"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Solid waste revenues</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8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most significant items impacting the changes in our solid waste revenues during the three and nine months ended September 30, 2025 as compared to the prior year periods are summarized below:</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Price increased solid waste revenues both quarterly and year-to-date, including higher collection pricing of $11.8 million quarterly, or 4.7% as a percentage of collection revenues, and $35.3 million year-to-date, or 5.1% as a percentage of collection revenues, and higher disposal pricing of $3.1 million quarterly, or 4.6% as a percentage of disposal revenues, and $9.6 million year-to-date, or 5.3% as a percentage of disposal revenues, associated with our landfills and transfer stations.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Volume decreased solid waste revenues quarterly, driven by lower collection volumes of $(0.3) million quarterly, or (0.1)% as a percentage of collection revenues, and decreased solid waste revenues year-to-date, driven by lower collection volumes of $(6.6) million year-to-date, or (1.0)% as a percentage of collection revenues, and lower disposal volumes of $(0.7) million year-to-date, or (0.4)% as a percentage of disposal revenues. The year-to-date decrease in disposal volumes is associated with lower transfer station and transportation volumes, partially offset by higher landfill volumes.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Acquisitions increased solid waste revenues due to the partial year impact of our acquisition of eight businesses in the nine months ended September 30, 2025, as well as the rollover impact of eight acquisitions completed in fiscal year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Resource Solutions revenues</w:t>
      </w:r>
    </w:p>
    <w:p>
      <w:pPr>
        <w:pStyle w:val="TextBody"/>
        <w:bidi w:val="0"/>
        <w:spacing w:lineRule="auto" w:line="288" w:before="120" w:after="283"/>
        <w:jc w:val="left"/>
        <w:rPr/>
      </w:pPr>
      <w:r>
        <w:rPr>
          <w:rFonts w:ascii="Times New Roman;serif" w:hAnsi="Times New Roman;serif"/>
          <w:b w:val="false"/>
          <w:color w:val="000000"/>
          <w:sz w:val="20"/>
        </w:rPr>
        <w:t>See “</w:t>
      </w:r>
      <w:r>
        <w:rPr>
          <w:rFonts w:ascii="Times New Roman;serif" w:hAnsi="Times New Roman;serif"/>
          <w:b w:val="false"/>
          <w:i/>
          <w:color w:val="000000"/>
          <w:sz w:val="20"/>
        </w:rPr>
        <w:t>Segment Reporting</w:t>
      </w:r>
      <w:r>
        <w:rPr>
          <w:color w:val="000000"/>
        </w:rPr>
        <w:t xml:space="preserve">” </w:t>
      </w:r>
      <w:r>
        <w:rPr>
          <w:rFonts w:ascii="Times New Roman;serif" w:hAnsi="Times New Roman;serif"/>
          <w:b w:val="false"/>
          <w:color w:val="000000"/>
          <w:sz w:val="20"/>
        </w:rPr>
        <w:t>below for discussion over the period-to-period changes in Resource Solutions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cost of operations, general and administration expense, and depreciation and amortization expense is as follows (dollars in millions and as a percentage of total revenues):</w:t>
      </w:r>
    </w:p>
    <w:tbl>
      <w:tblPr>
        <w:tblW w:w="12933" w:type="dxa"/>
        <w:jc w:val="left"/>
        <w:tblInd w:w="0" w:type="dxa"/>
        <w:tblLayout w:type="fixed"/>
        <w:tblCellMar>
          <w:top w:w="28" w:type="dxa"/>
          <w:left w:w="28" w:type="dxa"/>
          <w:bottom w:w="28" w:type="dxa"/>
          <w:right w:w="28" w:type="dxa"/>
        </w:tblCellMar>
      </w:tblPr>
      <w:tblGrid>
        <w:gridCol w:w="580"/>
        <w:gridCol w:w="414"/>
        <w:gridCol w:w="312"/>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511"/>
        <w:gridCol w:w="109"/>
        <w:gridCol w:w="109"/>
        <w:gridCol w:w="109"/>
        <w:gridCol w:w="109"/>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616"/>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administration</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Cost of Operations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Cost of operations includes: (i) direct costs, which consist of the costs of purchased materials and third-party transportation and disposal costs, including third-party tipping fees; (ii) direct labor costs, which include salaries, wages, incentive compensation and related benefit costs such as health and welfare benefits and workers compensation; (iii) direct operational costs, which include landfill operating costs such as accretion expense related to final capping, closure and post-closure obligations, leachate treatment and disposal costs and depletion of landfill operating lease obligations, vehicle insurance costs, host community fees and royalties; (iv) fuel costs used by our vehicles and in conducting our operations; (v) maintenance and repair costs relating to our vehicles, equipment and containers; and (vi) other operational costs including facility costs.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major components of our cost of operations is as follows (dollars in millions and as a percentage of total revenues):</w:t>
      </w:r>
    </w:p>
    <w:tbl>
      <w:tblPr>
        <w:tblW w:w="12813" w:type="dxa"/>
        <w:jc w:val="left"/>
        <w:tblInd w:w="0" w:type="dxa"/>
        <w:tblLayout w:type="fixed"/>
        <w:tblCellMar>
          <w:top w:w="28" w:type="dxa"/>
          <w:left w:w="28" w:type="dxa"/>
          <w:bottom w:w="28" w:type="dxa"/>
          <w:right w:w="28" w:type="dxa"/>
        </w:tblCellMar>
      </w:tblPr>
      <w:tblGrid>
        <w:gridCol w:w="688"/>
        <w:gridCol w:w="301"/>
        <w:gridCol w:w="197"/>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511"/>
        <w:gridCol w:w="109"/>
        <w:gridCol w:w="109"/>
        <w:gridCol w:w="109"/>
        <w:gridCol w:w="109"/>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616"/>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labor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operational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and repair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operational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 of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cost categories may change from time to time and may not be comparable to similarly titled categories presented by other companies. </w:t>
      </w:r>
    </w:p>
    <w:p>
      <w:pPr>
        <w:pStyle w:val="TextBody"/>
        <w:bidi w:val="0"/>
        <w:spacing w:lineRule="auto" w:line="288" w:before="120" w:after="283"/>
        <w:jc w:val="left"/>
        <w:rPr/>
      </w:pPr>
      <w:r>
        <w:rPr>
          <w:rFonts w:ascii="Times New Roman;serif" w:hAnsi="Times New Roman;serif"/>
          <w:b w:val="false"/>
          <w:color w:val="000000"/>
          <w:sz w:val="20"/>
        </w:rPr>
        <w:t>The most significant items impacting the changes in our cost of operations during the three and nine months ended September 30, 2025 as compared to the prior year periods are summ</w:t>
      </w:r>
      <w:r>
        <w:rPr>
          <w:rFonts w:ascii="Times New Roman;serif" w:hAnsi="Times New Roman;serif"/>
          <w:b w:val="false"/>
          <w:color w:val="000000"/>
          <w:sz w:val="20"/>
          <w:shd w:fill="FFFFFF" w:val="clear"/>
        </w:rPr>
        <w:t>arized below:</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Direct costs increased in aggregate dollars primarily due to acquisitions and higher third-party disposal rates.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Direct labor costs increased primarily due to acquisitions and higher wage and benefit rates.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Direct operational costs increased in aggregate dollars primarily due to (i) acquisitions, (ii) higher year-to-date accruals related to insurance claims, which were lower on a quarterly basis, and legal penalties associated with leachate management at a landfill we own in our Eastern region, (iii) higher accretion expense associated with changes in the timing and cost estimates of our capping, closure and post-closure obligations, (iv) higher landfill operating lease amortization as well as host community fees and royalties related to higher landfill tonnages at a landfill we lease in our Western region, and (v) general cost inflation; partially offset by lower leachate disposal costs. See Note 8,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of this Quarterly Report on Form 10-Q for further disclosure regarding the legal penalties accrual.</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Fuel costs increased in aggregate dollars due to acquisitions, partially offset by lower average diesel fuel prices year-to-date. See Item 3.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 xml:space="preserve">of this Quarterly Report on Form 10-Q for additional information regarding our fuel costs.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Maintenance and repair costs increased due to (i) acquisitions, (ii) higher personnel and parts costs, and (iii) increased costs of repairs performed by third parties.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Other operational costs increased in aggregate dollars due to (i) acquisitions, (ii) higher spending associated with supporting acquisition-related growth, and (iii) general cost inflation.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administration expense includes: (i) labor costs, which consist of salaries, wages, incentive compensation and related benefit costs such as health and welfare benefits and workers compensation costs related to management, clerical and administrative functions; (ii) professional service fees; (iii) provision for expected credit losses; and (iv) other overhead costs including those associated with marketing, sales and community relations efforts.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major components of our general and administration expense is as follows (dollars in millions and as a percentage of total revenues):</w:t>
      </w:r>
    </w:p>
    <w:tbl>
      <w:tblPr>
        <w:tblW w:w="12618" w:type="dxa"/>
        <w:jc w:val="left"/>
        <w:tblInd w:w="0" w:type="dxa"/>
        <w:tblLayout w:type="fixed"/>
        <w:tblCellMar>
          <w:top w:w="28" w:type="dxa"/>
          <w:left w:w="28" w:type="dxa"/>
          <w:bottom w:w="28" w:type="dxa"/>
          <w:right w:w="28" w:type="dxa"/>
        </w:tblCellMar>
      </w:tblPr>
      <w:tblGrid>
        <w:gridCol w:w="596"/>
        <w:gridCol w:w="353"/>
        <w:gridCol w:w="357"/>
        <w:gridCol w:w="211"/>
        <w:gridCol w:w="511"/>
        <w:gridCol w:w="109"/>
        <w:gridCol w:w="109"/>
        <w:gridCol w:w="109"/>
        <w:gridCol w:w="109"/>
        <w:gridCol w:w="255"/>
        <w:gridCol w:w="256"/>
        <w:gridCol w:w="271"/>
        <w:gridCol w:w="109"/>
        <w:gridCol w:w="109"/>
        <w:gridCol w:w="109"/>
        <w:gridCol w:w="211"/>
        <w:gridCol w:w="511"/>
        <w:gridCol w:w="109"/>
        <w:gridCol w:w="109"/>
        <w:gridCol w:w="109"/>
        <w:gridCol w:w="109"/>
        <w:gridCol w:w="255"/>
        <w:gridCol w:w="256"/>
        <w:gridCol w:w="271"/>
        <w:gridCol w:w="109"/>
        <w:gridCol w:w="109"/>
        <w:gridCol w:w="109"/>
        <w:gridCol w:w="211"/>
        <w:gridCol w:w="511"/>
        <w:gridCol w:w="109"/>
        <w:gridCol w:w="109"/>
        <w:gridCol w:w="109"/>
        <w:gridCol w:w="109"/>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51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 fees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expected credit losses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These cost categories may change from time to time and may not be comparable to similarly titled categories presented by other companies.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administration expense increased in aggregate dollars in the three and nine months ended September 30, 2025 as compared to the prior year periods, primarily due to (i) acquisition activity, including increased labor costs, consulting fees and other costs to support our growth and acquisition strategy, (ii) escalation of salary, wage, and benefit costs, (iii) higher accruals related to incentive compensation, and (iv) higher costs associated with information technology; partially offset by a decreased provision for expected credit losses, primarily in our Mid-Atlantic region related to improved aging of our accounts receivable, and lower year-to-date legal expense associated with employee separation.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based on the economic benefit provided, or using the sum of years digits or straight-line methods over the definitive terms of the related agreements.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components of depreciation and amortization expense (dollars in millions and as a percentage of total revenues) is as follows:</w:t>
      </w:r>
    </w:p>
    <w:tbl>
      <w:tblPr>
        <w:tblW w:w="12513" w:type="dxa"/>
        <w:jc w:val="left"/>
        <w:tblInd w:w="0" w:type="dxa"/>
        <w:tblLayout w:type="fixed"/>
        <w:tblCellMar>
          <w:top w:w="28" w:type="dxa"/>
          <w:left w:w="28" w:type="dxa"/>
          <w:bottom w:w="28" w:type="dxa"/>
          <w:right w:w="28" w:type="dxa"/>
        </w:tblCellMar>
      </w:tblPr>
      <w:tblGrid>
        <w:gridCol w:w="454"/>
        <w:gridCol w:w="373"/>
        <w:gridCol w:w="374"/>
        <w:gridCol w:w="211"/>
        <w:gridCol w:w="511"/>
        <w:gridCol w:w="109"/>
        <w:gridCol w:w="109"/>
        <w:gridCol w:w="109"/>
        <w:gridCol w:w="109"/>
        <w:gridCol w:w="255"/>
        <w:gridCol w:w="256"/>
        <w:gridCol w:w="271"/>
        <w:gridCol w:w="109"/>
        <w:gridCol w:w="109"/>
        <w:gridCol w:w="109"/>
        <w:gridCol w:w="211"/>
        <w:gridCol w:w="511"/>
        <w:gridCol w:w="109"/>
        <w:gridCol w:w="109"/>
        <w:gridCol w:w="109"/>
        <w:gridCol w:w="109"/>
        <w:gridCol w:w="255"/>
        <w:gridCol w:w="256"/>
        <w:gridCol w:w="271"/>
        <w:gridCol w:w="109"/>
        <w:gridCol w:w="109"/>
        <w:gridCol w:w="109"/>
        <w:gridCol w:w="211"/>
        <w:gridCol w:w="511"/>
        <w:gridCol w:w="109"/>
        <w:gridCol w:w="109"/>
        <w:gridCol w:w="109"/>
        <w:gridCol w:w="109"/>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211"/>
        <w:gridCol w:w="511"/>
        <w:gridCol w:w="154"/>
      </w:tblGrid>
      <w:tr>
        <w:trPr/>
        <w:tc>
          <w:tcPr>
            <w:tcW w:w="45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amortization expense</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increased in the three and nine months ended September 30, 2025 as compared to the prior year periods, primarily due to (i) acquisitions, including the impact of amortization of acquired intangibles, (ii) investment in property and equipment in our existing operations, and (iii) higher landfill amortization expense related to higher landfill volumes in our Western and Mid-Atlantic regions, and changes in cost and other assumptions.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Expense from Acquisition Activities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three and nine months ended September 30, 2025, we recorded charges of $4.6 million and $16.6 million, respectively, and in the three and nine months ended September 30, 2024, we recorded charges of $5.5 million and $18.3 million, respectively, comprised primarily of legal, consulting, rebranding, information technology and other costs associated with the due diligence, acquisition and integration of acquired businesses. The nine months ended September 30, 2024 included a charge for an increase in the reserve against accounts receivable of the businesses acquired in our acquisition of the equity interests of four wholly-owned subsidiaries of GFL Environmental Inc. as a result of our inability to pursue collections during the transition services period with the seller, resulting in accounts receivable aged beyond what is typical in our business.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Southbridge Landfill Closure Charge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fiscal year ended December 31, 2017, we initiated a plan to cease operations of the Southbridge Landfill and later closed it in November 2018 when it reached its final capacity. In the three and nine months ended September 30, 2024, we recorded a non-cash charge of $8.5 million, which is associated with our receipt of a final closure permit (the “Closure Permit”) from the Massachusetts Department of Environmental Protection related to the Southbridge Landfill. Pursuant to the terms of the Closure Permit, we are required to meet certain general permit conditions and certain specific permit conditions (collectively, the “Conditions”), including environmental monitoring, third party inspections, inspection of the final cover, leachate sampling, post-closure monitoring, and other post-closure requirements. We revised the accrued post-closure liability for the Southbridge Landfill to reflect the estimated cost of satisfying the expanded Conditions as currently specified in the Closure Permit.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Other Expenses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interest expense, net decreased $(0.5) million and $(1.6) million in the three and nine months ended September 30, 2025, respectively, as compared to the prior year periods primarily due to lower average interest rates, partially offset by higher average debt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provision for income taxes increased $1.3 million and decreased $(2.4) million in the three and nine months ended September 30, 2025, respectively, from the prior year periods. The provision of $4.3 million for the nine months ended September 30, 2025 included $1.1 million of current income tax expense and $3.2 million of deferred income tax expense. For the nine months ended September 30, 2024, the provision of $6.7 million included $3.3 million of current income tax expense and $3.4 million of deferred income tax expense. The 29.1% effective rate for the nine months ended September 30, 2025 was computed based on the statutory rate of 21% adjusted primarily for state taxes, non-deductible officer compensation, and an increase in the effective state rate due to tax losses in certain states requiring a valuation allowance; partially offset by tax deductible equity compensation in excess of book expense. This effective rate was lower than the 43.5% effective rate for the nine months ended September 30, 2024, primarily due to differences in the valuation allowance of net operating losses, state income taxes and other discrete items.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H.R.1 – One Big Beautiful Bill Act (The “OBBB Act”) was enacted. The OBBB Act addresses a wide range of changes including reinstating 100% bonus depreciation eligible for qualified assets. The OBBB Act also restores the EBITDA-based computation of interest expense limitations under Section 163(j) of the Internal Revenue Code among other income tax items; any interest expense limited may be carried forward indefinitely and utilized in later years subject to the interest limitation. We are still evaluating the impacts of the Bill, both federal and state.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December 22, 2017, the Tax Cuts and Jobs Act (the “TCJ Act”) was enacted. The TCJ Act significantly changed U.S. corporate income tax laws by, among other things, changing carryforward rules for net operating losses. Depending on bonus depreciation and other elections made on our 2024 federal tax return when filed, we project to carry no pre-2018 net operating losses into 2025. Federal net operating losses generated after 2017, totaling $83.2 million carried forward to 2025, will be carried forward indefinitely, but generally may only offset up to 80% of taxable income earned in a tax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Segment Reporting</w:t>
      </w:r>
    </w:p>
    <w:p>
      <w:pPr>
        <w:pStyle w:val="TextBody"/>
        <w:bidi w:val="0"/>
        <w:spacing w:lineRule="auto" w:line="288" w:before="120" w:after="120"/>
        <w:jc w:val="left"/>
        <w:rPr/>
      </w:pPr>
      <w:r>
        <w:rPr>
          <w:rFonts w:ascii="Times New Roman;serif" w:hAnsi="Times New Roman;serif"/>
          <w:b w:val="false"/>
          <w:color w:val="000000"/>
          <w:sz w:val="20"/>
        </w:rPr>
        <w:t xml:space="preserve">As noted above, certain prior period amounts have been reclassified between regional operating segments to conform to the current period presentation reflecting the movement of certain operations between our regional operating segments. See Note 13, </w:t>
      </w:r>
      <w:r>
        <w:rPr>
          <w:rFonts w:ascii="Times New Roman;serif" w:hAnsi="Times New Roman;serif"/>
          <w:b w:val="false"/>
          <w:i/>
          <w:color w:val="000000"/>
          <w:sz w:val="20"/>
        </w:rPr>
        <w:t>Segment Reporting</w:t>
      </w:r>
      <w:r>
        <w:rPr>
          <w:color w:val="000000"/>
        </w:rPr>
        <w:t xml:space="preserve"> </w:t>
      </w:r>
      <w:r>
        <w:rPr>
          <w:rFonts w:ascii="Times New Roman;serif" w:hAnsi="Times New Roman;serif"/>
          <w:b w:val="false"/>
          <w:color w:val="000000"/>
          <w:sz w:val="20"/>
        </w:rPr>
        <w:t>to our consolidated financial statements included under Part I. Item 1. “</w:t>
      </w:r>
      <w:r>
        <w:rPr>
          <w:rFonts w:ascii="Times New Roman;serif" w:hAnsi="Times New Roman;serif"/>
          <w:b w:val="false"/>
          <w:i/>
          <w:color w:val="000000"/>
          <w:sz w:val="20"/>
        </w:rPr>
        <w:t>Financial</w:t>
      </w:r>
      <w:r>
        <w:rPr>
          <w:color w:val="000000"/>
        </w:rPr>
        <w:t xml:space="preserve"> </w:t>
      </w:r>
      <w:r>
        <w:rPr>
          <w:rFonts w:ascii="Times New Roman;serif" w:hAnsi="Times New Roman;serif"/>
          <w:b w:val="false"/>
          <w:i/>
          <w:color w:val="000000"/>
          <w:sz w:val="20"/>
        </w:rPr>
        <w:t>Statements</w:t>
      </w:r>
      <w:r>
        <w:rPr>
          <w:color w:val="000000"/>
        </w:rPr>
        <w:t xml:space="preserve">” </w:t>
      </w:r>
      <w:r>
        <w:rPr>
          <w:rFonts w:ascii="Times New Roman;serif" w:hAnsi="Times New Roman;serif"/>
          <w:b w:val="false"/>
          <w:color w:val="000000"/>
          <w:sz w:val="20"/>
        </w:rPr>
        <w:t>of this Quarterly Report on Form 10-Q.</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revenues by reportable operating segment (in millions) follows:</w:t>
      </w:r>
    </w:p>
    <w:tbl>
      <w:tblPr>
        <w:tblW w:w="9186" w:type="dxa"/>
        <w:jc w:val="left"/>
        <w:tblInd w:w="0" w:type="dxa"/>
        <w:tblLayout w:type="fixed"/>
        <w:tblCellMar>
          <w:top w:w="28" w:type="dxa"/>
          <w:left w:w="28" w:type="dxa"/>
          <w:bottom w:w="28" w:type="dxa"/>
          <w:right w:w="28" w:type="dxa"/>
        </w:tblCellMar>
      </w:tblPr>
      <w:tblGrid>
        <w:gridCol w:w="612"/>
        <w:gridCol w:w="537"/>
        <w:gridCol w:w="546"/>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11"/>
        <w:gridCol w:w="766"/>
        <w:gridCol w:w="109"/>
        <w:gridCol w:w="109"/>
        <w:gridCol w:w="109"/>
        <w:gridCol w:w="109"/>
        <w:gridCol w:w="211"/>
        <w:gridCol w:w="766"/>
        <w:gridCol w:w="109"/>
        <w:gridCol w:w="109"/>
        <w:gridCol w:w="109"/>
        <w:gridCol w:w="109"/>
        <w:gridCol w:w="211"/>
        <w:gridCol w:w="61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Eastern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Mid-Atlantic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Resource Solutions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Operating Income (Loss)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operating income (loss) by operating segment (in millions) follows: </w:t>
      </w:r>
    </w:p>
    <w:tbl>
      <w:tblPr>
        <w:tblW w:w="8256" w:type="dxa"/>
        <w:jc w:val="left"/>
        <w:tblInd w:w="0" w:type="dxa"/>
        <w:tblLayout w:type="fixed"/>
        <w:tblCellMar>
          <w:top w:w="28" w:type="dxa"/>
          <w:left w:w="28" w:type="dxa"/>
          <w:bottom w:w="28" w:type="dxa"/>
          <w:right w:w="28" w:type="dxa"/>
        </w:tblCellMar>
      </w:tblPr>
      <w:tblGrid>
        <w:gridCol w:w="612"/>
        <w:gridCol w:w="537"/>
        <w:gridCol w:w="546"/>
        <w:gridCol w:w="211"/>
        <w:gridCol w:w="511"/>
        <w:gridCol w:w="109"/>
        <w:gridCol w:w="109"/>
        <w:gridCol w:w="109"/>
        <w:gridCol w:w="109"/>
        <w:gridCol w:w="211"/>
        <w:gridCol w:w="511"/>
        <w:gridCol w:w="109"/>
        <w:gridCol w:w="109"/>
        <w:gridCol w:w="109"/>
        <w:gridCol w:w="109"/>
        <w:gridCol w:w="211"/>
        <w:gridCol w:w="406"/>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Eastern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Mid-Atlantic</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Resource Solutions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Entities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Eastern Region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period-to-period changes in solid waste revenues (dollars in millions and as percentage growth of solid waste revenues) follows:</w:t>
      </w:r>
    </w:p>
    <w:tbl>
      <w:tblPr>
        <w:tblW w:w="10205" w:type="dxa"/>
        <w:jc w:val="left"/>
        <w:tblInd w:w="0" w:type="dxa"/>
        <w:tblLayout w:type="fixed"/>
        <w:tblCellMar>
          <w:top w:w="28" w:type="dxa"/>
          <w:left w:w="28" w:type="dxa"/>
          <w:bottom w:w="28" w:type="dxa"/>
          <w:right w:w="28" w:type="dxa"/>
        </w:tblCellMar>
      </w:tblPr>
      <w:tblGrid>
        <w:gridCol w:w="710"/>
        <w:gridCol w:w="558"/>
        <w:gridCol w:w="568"/>
        <w:gridCol w:w="518"/>
        <w:gridCol w:w="998"/>
        <w:gridCol w:w="267"/>
        <w:gridCol w:w="267"/>
        <w:gridCol w:w="267"/>
        <w:gridCol w:w="267"/>
        <w:gridCol w:w="434"/>
        <w:gridCol w:w="304"/>
        <w:gridCol w:w="666"/>
        <w:gridCol w:w="109"/>
        <w:gridCol w:w="109"/>
        <w:gridCol w:w="109"/>
        <w:gridCol w:w="479"/>
        <w:gridCol w:w="1161"/>
        <w:gridCol w:w="247"/>
        <w:gridCol w:w="247"/>
        <w:gridCol w:w="247"/>
        <w:gridCol w:w="247"/>
        <w:gridCol w:w="393"/>
        <w:gridCol w:w="305"/>
        <w:gridCol w:w="728"/>
      </w:tblGrid>
      <w:tr>
        <w:trPr/>
        <w:tc>
          <w:tcPr>
            <w:tcW w:w="71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Three Months Ended September 30, 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Nine Months Ended September 30, 2025 vs. 2024</w:t>
            </w:r>
          </w:p>
        </w:tc>
      </w:tr>
      <w:tr>
        <w:trPr/>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Surcharges and other fees</w:t>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price and volume</w:t>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Acquisitions </w:t>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6" w:type="dxa"/>
            <w:gridSpan w:val="3"/>
            <w:tcBorders/>
            <w:vAlign w:val="center"/>
          </w:tcPr>
          <w:p>
            <w:pPr>
              <w:pStyle w:val="TableContents"/>
              <w:bidi w:val="0"/>
              <w:spacing w:before="0" w:after="283"/>
              <w:jc w:val="left"/>
              <w:rPr>
                <w:sz w:val="4"/>
                <w:szCs w:val="4"/>
              </w:rPr>
            </w:pPr>
            <w:r>
              <w:rPr>
                <w:sz w:val="4"/>
                <w:szCs w:val="4"/>
              </w:rPr>
            </w:r>
          </w:p>
        </w:tc>
        <w:tc>
          <w:tcPr>
            <w:tcW w:w="178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Solid waste revenues</w:t>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Solid waste revenues increased in the three and nine months ended September 30, 2025 as compared to the prior year periods, primarily driven by (i) the contribution from acquisitions, (ii) higher collection pricing of $3.7 million quarterly, or 4.4% as a percentage of collection revenues, and $11.7 million year-to-date, or 4.9% as a percentage of collection revenues, and (iii) higher disposal pricing of $1.2 million quarterly, or 4.0% as a percentage of disposal revenues, and $3.2 million year-to-date, or 3.8% as a percentage of disposal revenues; partially offset by (a) lower disposal volumes of $(0.5) million quarterly, or (1.7)% as a percentage of disposal revenues, and $(4.2) million year-to-date, or (5.1)% as a percentage of disposal revenues, driven by transfer stations, as well as (b) lower collection volumes of $(0.6) million year-to-date, or (0.3)% as a percentage of collection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increased in the three and nine months ended September 30, 2025 by $8.6 million and $10.4 million, respectively, as compared to the prior year periods. The period-over-period increases were driven by (i) revenue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described above, (ii) the three and nine months ended September 30, 2024 including a charge related to the Southbridge Landfill, (iii) lower leachate disposal costs, and (iv) lower accruals related to incentive compensation; partially offset by (a) higher costs associated with operating and supporting acquired businesses, including the impact of amortization of acquired intangibles, (b) higher accretion and landfill amortization expense associated with changes in the timing and cost estimates of our closure, post-closure, and capping obligations, (c) higher year-to-date accruals related to insurance claims, which were lower quarterly, and legal penalties associated with leachate management at a landfill we own, (d) higher expense from acquisition activities, (e) increased depreciation expense due to acquisitions and investment in property and equipment, (f) lower contributions related to intercompany subcontracting with our National Accounts business, and (g) general cost inflation, including for disposal, labor, and maintenance costs.</w:t>
      </w:r>
    </w:p>
    <w:p>
      <w:pPr>
        <w:pStyle w:val="TextBody"/>
        <w:bidi w:val="0"/>
        <w:spacing w:lineRule="auto" w:line="288" w:before="120" w:after="120"/>
        <w:jc w:val="left"/>
        <w:rPr/>
      </w:pPr>
      <w:r>
        <w:rPr>
          <w:rFonts w:ascii="Times New Roman;serif" w:hAnsi="Times New Roman;serif"/>
          <w:b w:val="false"/>
          <w:color w:val="000000"/>
          <w:sz w:val="20"/>
        </w:rPr>
        <w:t xml:space="preserve">See Note 8,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 xml:space="preserve">of this Quarterly Report on Form 10-Q for further disclosure regarding the legal penalties accrual. See further discussion about the expense from acquisition activities and the charge related to the Southbridge Landfill above in </w:t>
      </w:r>
      <w:r>
        <w:rPr>
          <w:color w:val="000000"/>
        </w:rPr>
        <w:t>“</w:t>
      </w:r>
      <w:r>
        <w:rPr>
          <w:rFonts w:ascii="Times New Roman;serif" w:hAnsi="Times New Roman;serif"/>
          <w:b w:val="false"/>
          <w:i/>
          <w:color w:val="000000"/>
          <w:sz w:val="20"/>
        </w:rPr>
        <w:t>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Western Region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period-to-period changes in solid waste revenues (dollars in millions and as percentage growth of solid waste revenues) follows:</w:t>
      </w:r>
    </w:p>
    <w:tbl>
      <w:tblPr>
        <w:tblW w:w="10205" w:type="dxa"/>
        <w:jc w:val="left"/>
        <w:tblInd w:w="0" w:type="dxa"/>
        <w:tblLayout w:type="fixed"/>
        <w:tblCellMar>
          <w:top w:w="28" w:type="dxa"/>
          <w:left w:w="28" w:type="dxa"/>
          <w:bottom w:w="28" w:type="dxa"/>
          <w:right w:w="28" w:type="dxa"/>
        </w:tblCellMar>
      </w:tblPr>
      <w:tblGrid>
        <w:gridCol w:w="707"/>
        <w:gridCol w:w="555"/>
        <w:gridCol w:w="565"/>
        <w:gridCol w:w="489"/>
        <w:gridCol w:w="1184"/>
        <w:gridCol w:w="252"/>
        <w:gridCol w:w="252"/>
        <w:gridCol w:w="252"/>
        <w:gridCol w:w="252"/>
        <w:gridCol w:w="407"/>
        <w:gridCol w:w="303"/>
        <w:gridCol w:w="628"/>
        <w:gridCol w:w="109"/>
        <w:gridCol w:w="109"/>
        <w:gridCol w:w="109"/>
        <w:gridCol w:w="476"/>
        <w:gridCol w:w="1153"/>
        <w:gridCol w:w="245"/>
        <w:gridCol w:w="245"/>
        <w:gridCol w:w="245"/>
        <w:gridCol w:w="245"/>
        <w:gridCol w:w="393"/>
        <w:gridCol w:w="304"/>
        <w:gridCol w:w="726"/>
      </w:tblGrid>
      <w:tr>
        <w:trPr/>
        <w:tc>
          <w:tcPr>
            <w:tcW w:w="707"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Three Months Ended September 30, 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Nine Months Ended September 30, 2025 vs. 2024</w:t>
            </w:r>
          </w:p>
        </w:tc>
      </w:tr>
      <w:tr>
        <w:trPr/>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Volume </w:t>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Surcharges and other fees</w:t>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price and volume</w:t>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Acquisitions </w:t>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7"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Solid waste revenues</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Solid waste revenues increased in the three and nine months ended September 30, 2025 as compared to the prior year periods due to the impact from (i) the contribution from acquisitions, (ii) higher collection pricing of $6.4 million quarterly, or 6.1% as a percentage of collection revenues, and $18.4 million year-to-date, or 6.1% as a percentage of collection revenues, (iii) higher disposal pricing of $1.9 million quarterly, or 5.1% as a percentage of disposal revenues, and $6.4 million year-to-date, or 6.6% as a percentage of disposal revenues, (iv) higher transfer station and lower landfill and transportation volumes resulting in lower overall disposal volumes of $(0.6) million, or (1.5)% as a percentage of disposal revenues quarterly, and higher disposal volumes of $1.7 million, or 1.8% as a percentage of disposal revenues year-to-date, (v) lower collection volume of $(0.6) million quarterly, or (0.6)% as a percentage of collection revenues, and $(2.3) million year-to-date, or (0.8)% as a percentage of collection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increased in the three and nine months ended September 30, 2025 by $4.0 million and $10.6 million, respectively, as compared to the prior year periods. The period-over-period increases were due to (i) revenue growth, described above, (ii) higher contributions related to intercompany subcontracting with our National Accounts business, (iii) lower leachate disposal costs, (iv) lower expense from acquisition activities, and (v) lower equipment rental costs; partially offset by (a) higher directs costs associated with increased transfer station volumes, (b) higher costs associated with operating and supporting acquired businesses, including the impact of amortization of acquired intangibles, (c) higher accretion and landfill amortization expense associated with changes in the timing and cost estimates of our closure, post-closure, and capping obligations, and higher landfill volumes, (d) increased host community fees and royalties, (e) higher accruals related to insurance claims, (f) increased depreciation expense due to acquisitions and investment in property and equipment, and (g) general cost inflation, including for disposal, labor, and maintenance costs. </w:t>
      </w:r>
    </w:p>
    <w:p>
      <w:pPr>
        <w:pStyle w:val="TextBody"/>
        <w:bidi w:val="0"/>
        <w:spacing w:lineRule="auto" w:line="288" w:before="120" w:after="120"/>
        <w:jc w:val="left"/>
        <w:rPr/>
      </w:pPr>
      <w:r>
        <w:rPr>
          <w:rFonts w:ascii="Times New Roman;serif" w:hAnsi="Times New Roman;serif"/>
          <w:b w:val="false"/>
          <w:color w:val="000000"/>
          <w:sz w:val="20"/>
        </w:rPr>
        <w:t>See further discussion about the expense from acquisition activities above in “</w:t>
      </w:r>
      <w:r>
        <w:rPr>
          <w:rFonts w:ascii="Times New Roman;serif" w:hAnsi="Times New Roman;serif"/>
          <w:b w:val="false"/>
          <w:i/>
          <w:color w:val="000000"/>
          <w:sz w:val="20"/>
        </w:rPr>
        <w:t>Operating Expenses”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Mid-Atlantic Region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period-to-period changes in solid waste revenues (dollars in millions and as percentage growth of solid waste revenues) follows:</w:t>
      </w:r>
    </w:p>
    <w:tbl>
      <w:tblPr>
        <w:tblW w:w="10205" w:type="dxa"/>
        <w:jc w:val="left"/>
        <w:tblInd w:w="0" w:type="dxa"/>
        <w:tblLayout w:type="fixed"/>
        <w:tblCellMar>
          <w:top w:w="28" w:type="dxa"/>
          <w:left w:w="28" w:type="dxa"/>
          <w:bottom w:w="28" w:type="dxa"/>
          <w:right w:w="28" w:type="dxa"/>
        </w:tblCellMar>
      </w:tblPr>
      <w:tblGrid>
        <w:gridCol w:w="813"/>
        <w:gridCol w:w="716"/>
        <w:gridCol w:w="731"/>
        <w:gridCol w:w="446"/>
        <w:gridCol w:w="1080"/>
        <w:gridCol w:w="230"/>
        <w:gridCol w:w="230"/>
        <w:gridCol w:w="230"/>
        <w:gridCol w:w="230"/>
        <w:gridCol w:w="407"/>
        <w:gridCol w:w="289"/>
        <w:gridCol w:w="573"/>
        <w:gridCol w:w="109"/>
        <w:gridCol w:w="109"/>
        <w:gridCol w:w="109"/>
        <w:gridCol w:w="109"/>
        <w:gridCol w:w="417"/>
        <w:gridCol w:w="1218"/>
        <w:gridCol w:w="215"/>
        <w:gridCol w:w="215"/>
        <w:gridCol w:w="215"/>
        <w:gridCol w:w="215"/>
        <w:gridCol w:w="370"/>
        <w:gridCol w:w="295"/>
        <w:gridCol w:w="634"/>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2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Three Months Ended September 30, 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Nine Months Ended September 30, 2025 vs. 2024</w:t>
            </w:r>
          </w:p>
        </w:tc>
      </w:tr>
      <w:tr>
        <w:trPr/>
        <w:tc>
          <w:tcPr>
            <w:tcW w:w="2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Volume </w:t>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transfers to National Accounts</w:t>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Surcharges and other fees</w:t>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0"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Acquisitions </w:t>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0"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Solid waste revenues </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Solid waste revenues increased in the three and nine months ended September 30, 2025 as compared to the prior year periods, due to the impact from (i) the contribution from acquisitions, (ii) higher collection pricing of $1.7 million quarterly, or 2.7% as a percentage of collection revenues, and $5.2 million year-to-date, or 3.6% as a percentage of collection revenues, (iii) higher surcharges and other fees due to higher revenues associated with legacy fuel cost recovery programs from acquired businesses, (iv) higher disposal volumes of $1.1 million quarterly and $1.8 million year-to-date, related primarily to landfill operations, and (v) higher collection volumes of $0.3 million quarterly, or 0.4% as a percentage of collection revenues, and lower collection volumes of $(3.7) million year-to-date, or (2.5)% as a percentage of collection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loss decreased in the three months ended September 30, 2025 by $0.5 million and increased in the nine months ended September 30, 2025 by $(2.0) million, as compared to the prior year periods. The period-over-period changes were due to (i) revenue growth, described above, (ii) higher contributions related to intercompany subcontracting with our National Accounts business, (iii) a decreased provision for expected credit losses related to improved aging of our accounts receivable, and (iv) lower expense from acquisition activities; partially offset quarterly and more than offset year-to-date due to (a) higher costs associated with operating and supporting acquired businesses, including the impact of amortization of acquired intangibles, (b) increased depreciation expense due to acquisitions and investment in property and equipment, (c) higher landfill amortization expense due to higher landfill volumes, (d) general cost inflation, including for disposal, labor, and maintenance costs, and (e) higher accruals related to insurance claims year-to-date.</w:t>
      </w:r>
    </w:p>
    <w:p>
      <w:pPr>
        <w:pStyle w:val="TextBody"/>
        <w:bidi w:val="0"/>
        <w:spacing w:lineRule="auto" w:line="288" w:before="120" w:after="120"/>
        <w:jc w:val="left"/>
        <w:rPr/>
      </w:pPr>
      <w:r>
        <w:rPr>
          <w:rFonts w:ascii="Times New Roman;serif" w:hAnsi="Times New Roman;serif"/>
          <w:b w:val="false"/>
          <w:color w:val="000000"/>
          <w:sz w:val="20"/>
        </w:rPr>
        <w:t>See further discussion about the expense from acquisition activities above in “</w:t>
      </w:r>
      <w:r>
        <w:rPr>
          <w:rFonts w:ascii="Times New Roman;serif" w:hAnsi="Times New Roman;serif"/>
          <w:b w:val="false"/>
          <w:i/>
          <w:color w:val="000000"/>
          <w:sz w:val="20"/>
        </w:rPr>
        <w:t>Operating Expenses”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Resource Solutions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period-to-period changes in Resource Solutions revenues (dollars in millions and as percentage growth of Resource Solutions revenues) follows:</w:t>
      </w:r>
    </w:p>
    <w:tbl>
      <w:tblPr>
        <w:tblW w:w="10205" w:type="dxa"/>
        <w:jc w:val="left"/>
        <w:tblInd w:w="0" w:type="dxa"/>
        <w:tblLayout w:type="fixed"/>
        <w:tblCellMar>
          <w:top w:w="28" w:type="dxa"/>
          <w:left w:w="28" w:type="dxa"/>
          <w:bottom w:w="28" w:type="dxa"/>
          <w:right w:w="28" w:type="dxa"/>
        </w:tblCellMar>
      </w:tblPr>
      <w:tblGrid>
        <w:gridCol w:w="782"/>
        <w:gridCol w:w="689"/>
        <w:gridCol w:w="703"/>
        <w:gridCol w:w="474"/>
        <w:gridCol w:w="1049"/>
        <w:gridCol w:w="245"/>
        <w:gridCol w:w="245"/>
        <w:gridCol w:w="245"/>
        <w:gridCol w:w="245"/>
        <w:gridCol w:w="414"/>
        <w:gridCol w:w="296"/>
        <w:gridCol w:w="609"/>
        <w:gridCol w:w="109"/>
        <w:gridCol w:w="109"/>
        <w:gridCol w:w="109"/>
        <w:gridCol w:w="456"/>
        <w:gridCol w:w="1105"/>
        <w:gridCol w:w="235"/>
        <w:gridCol w:w="235"/>
        <w:gridCol w:w="235"/>
        <w:gridCol w:w="235"/>
        <w:gridCol w:w="393"/>
        <w:gridCol w:w="298"/>
        <w:gridCol w:w="690"/>
      </w:tblGrid>
      <w:tr>
        <w:trPr/>
        <w:tc>
          <w:tcPr>
            <w:tcW w:w="78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Three Months Ended September 30, 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Period-to-Period Change for the Nine Months Ended September 30, 2025 vs. 2024</w:t>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Growth</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Volume </w:t>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Intercompany transfers from solid waste</w:t>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Surcharges and other fees</w:t>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Acquisitions </w:t>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Resource Solutions revenues</w:t>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Resource Solutions revenues increased in the three and nine months ended September 30, 2025 as compared to the prior year periods, primarily driven by (i) higher tipping fees of $5.8 million quarterly, or 20.0% as a percentage of related revenues, and $11.2 million year-to-date, or 13.8% as a percentage of related revenues, primarily related to contract structures that help to offset recycled commodity price movements, (ii) higher National Accounts business volumes related to new business growth of $4.5 million quarterly, or 8.6% as a percentage of National Accounts revenues, and $8.5 million year-to-date, or 5.8% as a percentage of National Accounts revenues, (iii) National Accounts business pricing growth of $2.2 million quarterly, or 4.3% as a percentage of National Accounts revenues, and $7.1 million year-to-date, or 4.8% as a percentage of National Accounts revenues, (iv) higher recycling volumes of $2.3 million quarterly, or 7.8% as a percentage of related revenues, and $5.4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year-to-date, or 6.6% as a percentage of related revenues, (v) higher other processing price of $0.1 million quarterly, or 2.1% as a percentage of related revenues, and $0.5 million year-to-date, or 3.2% as a percentage of related revenues, and (vi) the contribution from acquisitions; partially offset by (a) lower recycled commodity price of $(9.2) million quarterly, or (31.7)% as a percentage of related revenues, and $(14.7) million year-to-date, or (18.0)% as a percentage of related revenues, (b) lower other processing volumes of $(1.4) million quarterly, or (23.6)% as a percentage of related revenues, and $(0.9) million year-to-date, or (5.2)% as a percentage of related revenues, as well as (c) lower surcharges and other fees revenues year-to-date in our National Accounts business due to lower energy and environmental fee (“E&amp;E Fee(s)”) revenues associated with our fuel cost recovery program related to lower diesel fuel prices.</w:t>
      </w:r>
    </w:p>
    <w:p>
      <w:pPr>
        <w:pStyle w:val="TextBody"/>
        <w:bidi w:val="0"/>
        <w:spacing w:lineRule="auto" w:line="288" w:before="120" w:after="120"/>
        <w:jc w:val="left"/>
        <w:rPr/>
      </w:pPr>
      <w:r>
        <w:rPr>
          <w:rFonts w:ascii="Times New Roman;serif" w:hAnsi="Times New Roman;serif"/>
          <w:b w:val="false"/>
          <w:color w:val="000000"/>
          <w:sz w:val="20"/>
        </w:rPr>
        <w:t>See Item 3.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included in this Quarterly Report on Form 10-Q for additional information regarding the energy component of our E&amp;E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income increased in the three and nine months ended September 30, 2025 by $1.3 million and $2.9 million, respectively, as compared to the prior year periods. The period-over-period increases were due to revenue growth, described above and lower expense from acquisition activities; partially offset by (i) higher costs associated with operating and supporting acquired businesses, including the impact of amortization of acquired intangibles, (ii) increased depreciation expense due to acquisitions and investment in property and equipment, (iii) general cost inflation, including for disposal, labor, and maintenance costs, and (iv) higher intercompany expenses related to the subcontracting of our National Accounts business.</w:t>
      </w:r>
    </w:p>
    <w:p>
      <w:pPr>
        <w:pStyle w:val="TextBody"/>
        <w:bidi w:val="0"/>
        <w:spacing w:lineRule="auto" w:line="288" w:before="120" w:after="120"/>
        <w:jc w:val="left"/>
        <w:rPr/>
      </w:pPr>
      <w:r>
        <w:rPr>
          <w:rFonts w:ascii="Times New Roman;serif" w:hAnsi="Times New Roman;serif"/>
          <w:b w:val="false"/>
          <w:color w:val="000000"/>
          <w:sz w:val="20"/>
        </w:rPr>
        <w:t>See further discussion about the expense from acquisition activities above in “</w:t>
      </w:r>
      <w:r>
        <w:rPr>
          <w:rFonts w:ascii="Times New Roman;serif" w:hAnsi="Times New Roman;serif"/>
          <w:b w:val="false"/>
          <w:i/>
          <w:color w:val="000000"/>
          <w:sz w:val="20"/>
        </w:rPr>
        <w:t>Operating Expenses”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Corporate Entities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Corporate Entities operating loss reflects costs, including legal, tax, information technology, human resources, certain finance and accounting and other administrative functions, depreciation and amortization expense and certain expense from acquisition activities, which are not allocated to our reportable operating segments.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loss increased in the three and nine months ended September 30, 2025 by $(9.4) million and $(24.3) million, respectively, as compared to the prior year periods. The period-over-period increases were due to (i) higher costs associated with supporting acquired businesses, (ii) general cost inflation for salaries, wages, benefits and other overhead costs including those associated with information technology, marketing, sales and community relations efforts, (iii) higher accruals related to incentive compensation, (iv) higher depreciation expense associated with back office financial system infrastructure and (v) higher expense from acquisition activities; partially offset by lower legal expense associated with employee separation and lower accruals related to insurance claims.</w:t>
      </w:r>
    </w:p>
    <w:p>
      <w:pPr>
        <w:pStyle w:val="TextBody"/>
        <w:bidi w:val="0"/>
        <w:spacing w:lineRule="auto" w:line="288" w:before="120" w:after="120"/>
        <w:jc w:val="left"/>
        <w:rPr/>
      </w:pPr>
      <w:r>
        <w:rPr>
          <w:rFonts w:ascii="Times New Roman;serif" w:hAnsi="Times New Roman;serif"/>
          <w:b w:val="false"/>
          <w:color w:val="000000"/>
          <w:sz w:val="20"/>
        </w:rPr>
        <w:t>See further discussion about the expense from acquisition activities above in “</w:t>
      </w:r>
      <w:r>
        <w:rPr>
          <w:rFonts w:ascii="Times New Roman;serif" w:hAnsi="Times New Roman;serif"/>
          <w:b w:val="false"/>
          <w:i/>
          <w:color w:val="000000"/>
          <w:sz w:val="20"/>
        </w:rPr>
        <w:t>Operating Expenses”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continually monitor our actual and forecasted cash flows, our liquidity, and our capital requirements in order to properly manage our liquidity needs as we move forward based on the capital intensive nature of our business and our growth acquisition strategy. As of September 30, 2025, we had $673.4 million of available and undrawn capacity under our $700.0 million revolving credit facility (“Revolving Credit Facility”) and $192.7 million of cash and cash equivalents to help meet our short-term and long-term liquidity needs. We expect existing cash and cash equivalents combined with available cash flows from operations and financing activities to continue to be sufficient to fund our operating activities and cash commitments for investing and financing activities for at least the next 12 months and thereafter for the foreseeable future.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known current and long-term uses of cash include, among other possible demands: (i) acquisitions, (ii) capital expenditures and leases, (iii) repayments to service debt and other long-term obligations, and (iv) payments for final capping, closure and post-closure asset retirement obligations and environmental remediation liabilities. We have made in the past, and plan to make in the future, acquisitions to expand service areas, densify existing operations, and grow services for our customers. Future acquisitions may include larger acquisitions that may be inside or outside of our existing market, which could require additional financing either in the form of debt or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consolidated balance sheets items relevant to our liquidity (in millions) follows:</w:t>
      </w:r>
    </w:p>
    <w:tbl>
      <w:tblPr>
        <w:tblW w:w="9674" w:type="dxa"/>
        <w:jc w:val="left"/>
        <w:tblInd w:w="0" w:type="dxa"/>
        <w:tblLayout w:type="fixed"/>
        <w:tblCellMar>
          <w:top w:w="28" w:type="dxa"/>
          <w:left w:w="28" w:type="dxa"/>
          <w:bottom w:w="28" w:type="dxa"/>
          <w:right w:w="28" w:type="dxa"/>
        </w:tblCellMar>
      </w:tblPr>
      <w:tblGrid>
        <w:gridCol w:w="2075"/>
        <w:gridCol w:w="1822"/>
        <w:gridCol w:w="1833"/>
        <w:gridCol w:w="221"/>
        <w:gridCol w:w="804"/>
        <w:gridCol w:w="114"/>
        <w:gridCol w:w="109"/>
        <w:gridCol w:w="109"/>
        <w:gridCol w:w="109"/>
        <w:gridCol w:w="212"/>
        <w:gridCol w:w="773"/>
        <w:gridCol w:w="110"/>
        <w:gridCol w:w="109"/>
        <w:gridCol w:w="109"/>
        <w:gridCol w:w="109"/>
        <w:gridCol w:w="211"/>
        <w:gridCol w:w="691"/>
        <w:gridCol w:w="154"/>
      </w:tblGrid>
      <w:tr>
        <w:trPr/>
        <w:tc>
          <w:tcPr>
            <w:tcW w:w="2075"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Current assets, excluding cash, cash equivalents and restricted cash </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assets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excluding current maturities of debt</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debt</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less current portion, excluding unamortized debt issuance costs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Current assets, excluding cash, cash equivalents and restricted cash, increased $25.4 million and current liabilities, excluding current maturities of debt, increased $7.5 million in the nine months ended September 30, 2025, resulting in a $17.9 million increase in working capital, net (defined as current assets, excluding cash, cash equivalents and restricted cash minus current liabilities, excluding current maturities of debt), from $(34.7) million as of December 31, 2024 to $(16.8) million as of September 30, 2025.</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Summary of Cash Flow Activity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cash flows (in millions) follows:</w:t>
      </w:r>
    </w:p>
    <w:tbl>
      <w:tblPr>
        <w:tblW w:w="7946" w:type="dxa"/>
        <w:jc w:val="left"/>
        <w:tblInd w:w="0" w:type="dxa"/>
        <w:tblLayout w:type="fixed"/>
        <w:tblCellMar>
          <w:top w:w="28" w:type="dxa"/>
          <w:left w:w="28" w:type="dxa"/>
          <w:bottom w:w="28" w:type="dxa"/>
          <w:right w:w="28" w:type="dxa"/>
        </w:tblCellMar>
      </w:tblPr>
      <w:tblGrid>
        <w:gridCol w:w="1525"/>
        <w:gridCol w:w="1343"/>
        <w:gridCol w:w="1346"/>
        <w:gridCol w:w="211"/>
        <w:gridCol w:w="691"/>
        <w:gridCol w:w="109"/>
        <w:gridCol w:w="109"/>
        <w:gridCol w:w="109"/>
        <w:gridCol w:w="109"/>
        <w:gridCol w:w="211"/>
        <w:gridCol w:w="691"/>
        <w:gridCol w:w="109"/>
        <w:gridCol w:w="109"/>
        <w:gridCol w:w="109"/>
        <w:gridCol w:w="109"/>
        <w:gridCol w:w="211"/>
        <w:gridCol w:w="69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br/>
              <w:t>Change</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operating cash flows (in millions) follows:</w:t>
      </w:r>
    </w:p>
    <w:tbl>
      <w:tblPr>
        <w:tblW w:w="8963" w:type="dxa"/>
        <w:jc w:val="left"/>
        <w:tblInd w:w="0" w:type="dxa"/>
        <w:tblLayout w:type="fixed"/>
        <w:tblCellMar>
          <w:top w:w="28" w:type="dxa"/>
          <w:left w:w="28" w:type="dxa"/>
          <w:bottom w:w="28" w:type="dxa"/>
          <w:right w:w="28" w:type="dxa"/>
        </w:tblCellMar>
      </w:tblPr>
      <w:tblGrid>
        <w:gridCol w:w="2432"/>
        <w:gridCol w:w="2132"/>
        <w:gridCol w:w="2155"/>
        <w:gridCol w:w="211"/>
        <w:gridCol w:w="616"/>
        <w:gridCol w:w="109"/>
        <w:gridCol w:w="109"/>
        <w:gridCol w:w="109"/>
        <w:gridCol w:w="109"/>
        <w:gridCol w:w="211"/>
        <w:gridCol w:w="616"/>
        <w:gridCol w:w="154"/>
      </w:tblGrid>
      <w:tr>
        <w:trPr/>
        <w:tc>
          <w:tcPr>
            <w:tcW w:w="2432"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accretion on landfill and environmental remediation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debt issuance costs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items and charges,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most significant items affecting the change in our operating cash flows follows:</w:t>
      </w:r>
    </w:p>
    <w:p>
      <w:pPr>
        <w:pStyle w:val="TextBody"/>
        <w:bidi w:val="0"/>
        <w:spacing w:lineRule="auto" w:line="288" w:before="120" w:after="120"/>
        <w:jc w:val="left"/>
        <w:rPr/>
      </w:pPr>
      <w:r>
        <w:rPr>
          <w:rFonts w:ascii="Times New Roman;serif" w:hAnsi="Times New Roman;serif"/>
          <w:b w:val="false"/>
          <w:color w:val="000000"/>
          <w:sz w:val="20"/>
        </w:rPr>
        <w:t>Net cash provided by operating activities increased $61.6 million in the nine months ended September 30, 2025 as compared to the nine months ended September 30, 2024. This was the result of business growth, including from acquisition activity, and a slight decrease in the unfavorable cash flow impact associated with the changes in our assets and liabilities, net of effects of acquisitions and divestitures. For discussion of our operational performance in the nine months ended September 30, 2025 as compared to the nine months ended September 30, 2024, see “</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 xml:space="preserve">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pPr>
      <w:r>
        <w:rPr>
          <w:rFonts w:ascii="Times New Roman;serif" w:hAnsi="Times New Roman;serif"/>
          <w:b w:val="false"/>
          <w:i/>
          <w:color w:val="000000"/>
          <w:sz w:val="20"/>
        </w:rPr>
        <w:t>Cash flows from investing activities</w:t>
      </w:r>
      <w:r>
        <w:rPr>
          <w:rFonts w:ascii="Times New Roman;serif" w:hAnsi="Times New Roman;serif"/>
          <w:b w:val="false"/>
          <w:color w:val="000000"/>
          <w:sz w:val="20"/>
        </w:rPr>
        <w: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investing cash flows (in millions) follows: </w:t>
      </w:r>
    </w:p>
    <w:tbl>
      <w:tblPr>
        <w:tblW w:w="6218" w:type="dxa"/>
        <w:jc w:val="left"/>
        <w:tblInd w:w="0" w:type="dxa"/>
        <w:tblLayout w:type="fixed"/>
        <w:tblCellMar>
          <w:top w:w="28" w:type="dxa"/>
          <w:left w:w="28" w:type="dxa"/>
          <w:bottom w:w="28" w:type="dxa"/>
          <w:right w:w="28" w:type="dxa"/>
        </w:tblCellMar>
      </w:tblPr>
      <w:tblGrid>
        <w:gridCol w:w="1386"/>
        <w:gridCol w:w="1216"/>
        <w:gridCol w:w="1222"/>
        <w:gridCol w:w="211"/>
        <w:gridCol w:w="691"/>
        <w:gridCol w:w="109"/>
        <w:gridCol w:w="109"/>
        <w:gridCol w:w="109"/>
        <w:gridCol w:w="109"/>
        <w:gridCol w:w="211"/>
        <w:gridCol w:w="691"/>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 to property and equipment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 to intangible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property insurance settlement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the most significant items affecting the change in our investing cash flows follows:</w:t>
      </w:r>
    </w:p>
    <w:p>
      <w:pPr>
        <w:pStyle w:val="TextBody"/>
        <w:bidi w:val="0"/>
        <w:spacing w:lineRule="auto" w:line="288" w:before="120" w:after="120"/>
        <w:jc w:val="left"/>
        <w:rPr/>
      </w:pPr>
      <w:r>
        <w:rPr>
          <w:rFonts w:ascii="Times New Roman;serif" w:hAnsi="Times New Roman;serif"/>
          <w:b w:val="false"/>
          <w:i/>
          <w:color w:val="000000"/>
          <w:sz w:val="20"/>
        </w:rPr>
        <w:t xml:space="preserve">Acquisitions, net of cash acquired. </w:t>
      </w:r>
      <w:r>
        <w:rPr>
          <w:rFonts w:ascii="Times New Roman;serif" w:hAnsi="Times New Roman;serif"/>
          <w:b w:val="false"/>
          <w:color w:val="000000"/>
          <w:sz w:val="20"/>
        </w:rPr>
        <w:t>In the nine months ended September 30, 2025, we acquired eight businesses, which included $(217.2) million of cash consideration, and made $(0.3) million in payments on businesses previously acquired, as compared to the nine months ended September 30, 2024 during which we acquired five businesses, which included $(261.2) million of cash consideration, made $(0.9) million in payments on businesses previously acquired and received a $2.9 million working capital settlement on a business previously acquired.</w:t>
      </w:r>
    </w:p>
    <w:p>
      <w:pPr>
        <w:pStyle w:val="TextBody"/>
        <w:bidi w:val="0"/>
        <w:spacing w:lineRule="auto" w:line="288" w:before="120" w:after="120"/>
        <w:jc w:val="left"/>
        <w:rPr/>
      </w:pPr>
      <w:r>
        <w:rPr>
          <w:rFonts w:ascii="Times New Roman;serif" w:hAnsi="Times New Roman;serif"/>
          <w:b w:val="false"/>
          <w:i/>
          <w:color w:val="000000"/>
          <w:sz w:val="20"/>
        </w:rPr>
        <w:t>Capital expenditures</w:t>
      </w:r>
      <w:r>
        <w:rPr>
          <w:rFonts w:ascii="Times New Roman;serif" w:hAnsi="Times New Roman;serif"/>
          <w:b w:val="false"/>
          <w:color w:val="000000"/>
          <w:sz w:val="20"/>
        </w:rPr>
        <w:t>. Capital expenditures were $(61.4) million higher in the nine months ended September 30, 2025 as compared to the nine months ended September 30, 2024, primarily due to acquisition activity and increased investment in our fleet and facilities; partially offset by lower landfill development spend, including the development of rail side infrastructure at our Subtitle D landfill located in Mount Jewitt, Pennsylvania.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Times New Roman;serif" w:hAnsi="Times New Roman;serif"/>
          <w:b w:val="false"/>
          <w:i/>
          <w:color w:val="000000"/>
          <w:sz w:val="20"/>
        </w:rPr>
        <w:t>Cash flows from financing activities</w:t>
      </w:r>
      <w:r>
        <w:rPr>
          <w:rFonts w:ascii="Times New Roman;serif" w:hAnsi="Times New Roman;serif"/>
          <w:b w:val="false"/>
          <w:color w:val="000000"/>
          <w:sz w:val="20"/>
        </w:rPr>
        <w: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summary of financing cash flows (in millions) follows:</w:t>
      </w:r>
    </w:p>
    <w:tbl>
      <w:tblPr>
        <w:tblW w:w="7133" w:type="dxa"/>
        <w:jc w:val="left"/>
        <w:tblInd w:w="0" w:type="dxa"/>
        <w:tblLayout w:type="fixed"/>
        <w:tblCellMar>
          <w:top w:w="28" w:type="dxa"/>
          <w:left w:w="28" w:type="dxa"/>
          <w:bottom w:w="28" w:type="dxa"/>
          <w:right w:w="28" w:type="dxa"/>
        </w:tblCellMar>
      </w:tblPr>
      <w:tblGrid>
        <w:gridCol w:w="1780"/>
        <w:gridCol w:w="1568"/>
        <w:gridCol w:w="1571"/>
        <w:gridCol w:w="211"/>
        <w:gridCol w:w="586"/>
        <w:gridCol w:w="109"/>
        <w:gridCol w:w="109"/>
        <w:gridCol w:w="109"/>
        <w:gridCol w:w="109"/>
        <w:gridCol w:w="211"/>
        <w:gridCol w:w="616"/>
        <w:gridCol w:w="154"/>
      </w:tblGrid>
      <w:tr>
        <w:trPr/>
        <w:tc>
          <w:tcPr>
            <w:tcW w:w="1780"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borrowings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debt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public offering of Class A common stock</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i/>
          <w:color w:val="000000"/>
          <w:sz w:val="20"/>
        </w:rPr>
        <w:t>Debt activity.</w:t>
      </w:r>
      <w:r>
        <w:rPr>
          <w:color w:val="000000"/>
        </w:rPr>
        <w:t xml:space="preserve"> </w:t>
      </w:r>
      <w:r>
        <w:rPr>
          <w:rFonts w:ascii="Times New Roman;serif" w:hAnsi="Times New Roman;serif"/>
          <w:b w:val="false"/>
          <w:color w:val="000000"/>
          <w:sz w:val="20"/>
        </w:rPr>
        <w:t xml:space="preserve">Net cash used in financing activities associated with debt activity decreased $37.8 million in the nine months ended September 30, 2025 as compared to the nine months ended September 30, 2024 primarily due to the timing of financing activities related to our industrial revenue bonds and entering into a second amended and restated credit agreement (the “Credit Agreement”), which amended and restated in its entirety our amended and restated credit agreement (the “Existing Credit Agreement”) in the prior year period, and debt payments, including quarterly debt repayments on the term loan facilities associated with the Existing Credit Agreement in the prior year period. See Note 7, </w:t>
      </w:r>
      <w:r>
        <w:rPr>
          <w:rFonts w:ascii="Times New Roman;serif" w:hAnsi="Times New Roman;serif"/>
          <w:b w:val="false"/>
          <w:i/>
          <w:color w:val="000000"/>
          <w:sz w:val="20"/>
        </w:rPr>
        <w:t xml:space="preserve">Debt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 xml:space="preserve">of this Quarterly Report on Form 10-Q for further disclosure regarding financing activities. </w:t>
      </w:r>
    </w:p>
    <w:p>
      <w:pPr>
        <w:pStyle w:val="TextBody"/>
        <w:bidi w:val="0"/>
        <w:spacing w:lineRule="auto" w:line="288" w:before="120" w:after="120"/>
        <w:jc w:val="left"/>
        <w:rPr/>
      </w:pPr>
      <w:r>
        <w:rPr>
          <w:rFonts w:ascii="Times New Roman;serif" w:hAnsi="Times New Roman;serif"/>
          <w:b w:val="false"/>
          <w:i/>
          <w:color w:val="000000"/>
          <w:sz w:val="20"/>
        </w:rPr>
        <w:t xml:space="preserve">Payment of debt issuance costs. </w:t>
      </w:r>
      <w:r>
        <w:rPr>
          <w:rFonts w:ascii="Times New Roman;serif" w:hAnsi="Times New Roman;serif"/>
          <w:b w:val="false"/>
          <w:color w:val="000000"/>
          <w:sz w:val="20"/>
        </w:rPr>
        <w:t xml:space="preserve">We paid $(2.2) million of debt issuance costs in the nine months ended September 30, 2025 related to financing activities associated with our industrial revenue bonds and $(6.4) million of debt issuance costs in the nine months ended September 30, 2024 related to refinancing activities associated with entering into the Credit Agreement. See Note 7, </w:t>
      </w:r>
      <w:r>
        <w:rPr>
          <w:rFonts w:ascii="Times New Roman;serif" w:hAnsi="Times New Roman;serif"/>
          <w:b w:val="false"/>
          <w:i/>
          <w:color w:val="000000"/>
          <w:sz w:val="20"/>
        </w:rPr>
        <w:t xml:space="preserve">Debt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 xml:space="preserve">of this Quarterly Report on Form 10-Q for further disclosure regarding financing activities. </w:t>
      </w:r>
    </w:p>
    <w:p>
      <w:pPr>
        <w:pStyle w:val="TextBody"/>
        <w:bidi w:val="0"/>
        <w:spacing w:lineRule="auto" w:line="288" w:before="120" w:after="120"/>
        <w:jc w:val="left"/>
        <w:rPr/>
      </w:pPr>
      <w:r>
        <w:rPr>
          <w:rFonts w:ascii="Times New Roman;serif" w:hAnsi="Times New Roman;serif"/>
          <w:b w:val="false"/>
          <w:i/>
          <w:color w:val="000000"/>
          <w:sz w:val="20"/>
        </w:rPr>
        <w:t>Proceeds from the public offering of Class A Common Stock.</w:t>
      </w:r>
      <w:r>
        <w:rPr>
          <w:color w:val="000000"/>
        </w:rPr>
        <w:t xml:space="preserve"> </w:t>
      </w:r>
      <w:r>
        <w:rPr>
          <w:rFonts w:ascii="Times New Roman;serif" w:hAnsi="Times New Roman;serif"/>
          <w:b w:val="false"/>
          <w:color w:val="000000"/>
          <w:sz w:val="20"/>
        </w:rPr>
        <w:t>In the nine months ended September 30, 2024, we completed a public offering of 5.2 million shares of our Class A common stock at a public offering price of $100.00 per share. After deducting stock issuance costs received as of September 30, 2024, including underwriting discounts, commissions and offering expenses, the offering resulted in net proceeds of $496.6 million. The net proceeds from this offering were used to repay borrowings under our Revolving Credit Facility and are further available to fund acquisition activity and for general corporate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Outstanding Long-Term Debt</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Credit Facility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are party to the Credit Agreement, which provides for a $800.0 million aggregate principal amount term loan A facility and a $700.0 million Revolving Credit Facility, with a $155.0 million sublimit for letters of credit (collectively, the “Credit Facility”). We have the right to request, at our discretion, an increase in the amount of loans under the Credit Facility by an aggregate amount of $200.0 million, subject to further increase based on the terms and conditions set forth in the Credit Agreement. The Credit Facility has a 5-year term that matures in September 2029. The Credit Facility shall bear interest, at our election, at term secured overnight financing rate (“Term SOFR”) or at a base rate, in each case plus or minus any sustainable rate adjustment of up to positive or negative 4.0 basis points per annum, plus an applicable interest rate margin based upon our consolidated net leverage ratio as follows:</w:t>
      </w:r>
    </w:p>
    <w:tbl>
      <w:tblPr>
        <w:tblW w:w="5244" w:type="dxa"/>
        <w:jc w:val="left"/>
        <w:tblInd w:w="0" w:type="dxa"/>
        <w:tblLayout w:type="fixed"/>
        <w:tblCellMar>
          <w:top w:w="28" w:type="dxa"/>
          <w:left w:w="28" w:type="dxa"/>
          <w:bottom w:w="28" w:type="dxa"/>
          <w:right w:w="28" w:type="dxa"/>
        </w:tblCellMar>
      </w:tblPr>
      <w:tblGrid>
        <w:gridCol w:w="473"/>
        <w:gridCol w:w="415"/>
        <w:gridCol w:w="417"/>
        <w:gridCol w:w="109"/>
        <w:gridCol w:w="109"/>
        <w:gridCol w:w="109"/>
        <w:gridCol w:w="539"/>
        <w:gridCol w:w="539"/>
        <w:gridCol w:w="542"/>
        <w:gridCol w:w="109"/>
        <w:gridCol w:w="109"/>
        <w:gridCol w:w="109"/>
        <w:gridCol w:w="486"/>
        <w:gridCol w:w="486"/>
        <w:gridCol w:w="693"/>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SOFR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 Rate Loans</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1.300% to 2.175%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0.300% to 1.175%</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 commitment fee will be charged on undrawn amounts of our Revolving Credit Facility based upon our consolidated net leverage ratio in the range of 0.200% to 0.400% per annum, plus a sustainability adjustment of up to positive or negative 1.0 basis point per annum. The Credit Agreement provides that Term SOFR is subject to a zero percent floor. We are also required to pay a fronting fee for each letter of credit of 0.250% per annum. Interest under the Credit Agreement is subject to increase by 2.000% per annum during the continuance of a payment default and may be subject to increase by 2.000% per annum during the continuance of any other event of default. The Credit Facility is guaranteed jointly and severally, fully and unconditionally by all of our significant wholly-owned subsidiaries and secured by substantially all of our assets. As of September 30, 2025, further advances were available under the Revolving Credit Facility in the amount of $673.4 million. The available amount is net of outstanding irrevocable letters of credit totaling $26.6 million, and as of September 30, 2025, no amount had been drawn.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Credit Agreement requires us to maintain a minimum interest coverage ratio and a maximum consolidated net leverage ratio, to be measured at the end of each fiscal quarter. As of September 30, 2025, we were in compliance with all financial covenants contained in the Credit Agreement as follows (in millions):</w:t>
      </w:r>
    </w:p>
    <w:tbl>
      <w:tblPr>
        <w:tblW w:w="10205" w:type="dxa"/>
        <w:jc w:val="left"/>
        <w:tblInd w:w="0" w:type="dxa"/>
        <w:tblLayout w:type="fixed"/>
        <w:tblCellMar>
          <w:top w:w="28" w:type="dxa"/>
          <w:left w:w="28" w:type="dxa"/>
          <w:bottom w:w="28" w:type="dxa"/>
          <w:right w:w="28" w:type="dxa"/>
        </w:tblCellMar>
      </w:tblPr>
      <w:tblGrid>
        <w:gridCol w:w="1268"/>
        <w:gridCol w:w="1075"/>
        <w:gridCol w:w="1079"/>
        <w:gridCol w:w="109"/>
        <w:gridCol w:w="109"/>
        <w:gridCol w:w="109"/>
        <w:gridCol w:w="957"/>
        <w:gridCol w:w="957"/>
        <w:gridCol w:w="960"/>
        <w:gridCol w:w="109"/>
        <w:gridCol w:w="109"/>
        <w:gridCol w:w="109"/>
        <w:gridCol w:w="951"/>
        <w:gridCol w:w="951"/>
        <w:gridCol w:w="1353"/>
      </w:tblGrid>
      <w:tr>
        <w:trPr/>
        <w:tc>
          <w:tcPr>
            <w:tcW w:w="126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Credit Facility Covenant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Twelve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Covenant Requirements at September 30, 2025</w:t>
            </w:r>
          </w:p>
        </w:tc>
      </w:tr>
      <w:tr>
        <w:trPr/>
        <w:tc>
          <w:tcPr>
            <w:tcW w:w="34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Maximum consolidated net leverage ratio </w:t>
            </w: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4.00</w:t>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Minimum interest coverage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r>
    </w:tbl>
    <w:p>
      <w:pPr>
        <w:pStyle w:val="TextBody"/>
        <w:bidi w:val="0"/>
        <w:spacing w:lineRule="auto" w:line="288" w:before="120" w:after="283"/>
        <w:ind w:left="0" w:right="0" w:hanging="360"/>
        <w:jc w:val="left"/>
        <w:rPr/>
      </w:pPr>
      <w:r>
        <w:rPr>
          <w:rFonts w:ascii="Times New Roman;serif" w:hAnsi="Times New Roman;serif"/>
          <w:b w:val="false"/>
          <w:color w:val="000000"/>
          <w:sz w:val="16"/>
        </w:rPr>
        <w:t>(1)</w:t>
      </w:r>
      <w:r>
        <w:rPr>
          <w:rFonts w:ascii="Times New Roman;serif" w:hAnsi="Times New Roman;serif"/>
          <w:b w:val="false"/>
          <w:color w:val="000000"/>
          <w:sz w:val="20"/>
        </w:rPr>
        <w:t>The maximum consolidated net leverage ratio is calculated as consolidated funded debt, net of up to $100.0 million of unencumbered cash and cash equivalents (calculated at $1,061.5 million as of September 30, 2025, or $1,161.5 million of consolidated funded debt less $100.0 million total of unencumbered cash and cash equivalents), divided by consolidated EBITDA. Consolidated EBITDA is based on operating results for the twelve months preceding the measurement date of September 30, 2025. Consolidated funded debt, net and consolidated EBITDA as defined by the Credit Agreement (“Consolidated EBITDA”) are non-GAAP financial measures that should not be considered an alternative to any measure of financial performance calculated and presented in accordance with generally accepted accounting principles in the United States (“GAAP”). A reconciliation of net cash provided by operating activities to Consolidated EBITDA is as follows (in millions):</w:t>
      </w:r>
    </w:p>
    <w:tbl>
      <w:tblPr>
        <w:tblW w:w="9643" w:type="dxa"/>
        <w:jc w:val="left"/>
        <w:tblInd w:w="0" w:type="dxa"/>
        <w:tblLayout w:type="fixed"/>
        <w:tblCellMar>
          <w:top w:w="28" w:type="dxa"/>
          <w:left w:w="28" w:type="dxa"/>
          <w:bottom w:w="28" w:type="dxa"/>
          <w:right w:w="28" w:type="dxa"/>
        </w:tblCellMar>
      </w:tblPr>
      <w:tblGrid>
        <w:gridCol w:w="2323"/>
        <w:gridCol w:w="2045"/>
        <w:gridCol w:w="2051"/>
        <w:gridCol w:w="693"/>
        <w:gridCol w:w="2025"/>
        <w:gridCol w:w="506"/>
      </w:tblGrid>
      <w:tr>
        <w:trPr/>
        <w:tc>
          <w:tcPr>
            <w:tcW w:w="2323"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24"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Twelve Months Ended September 30, 2025</w:t>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effects of acquisitions and divestitures</w:t>
            </w:r>
          </w:p>
        </w:tc>
        <w:tc>
          <w:tcPr>
            <w:tcW w:w="2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2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3224"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expense</w:t>
            </w:r>
          </w:p>
        </w:tc>
        <w:tc>
          <w:tcPr>
            <w:tcW w:w="2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Landfill capping recovery - veneer failure</w:t>
            </w:r>
          </w:p>
        </w:tc>
        <w:tc>
          <w:tcPr>
            <w:tcW w:w="2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Disposition of assets, other items and charges, net</w:t>
            </w:r>
          </w:p>
        </w:tc>
        <w:tc>
          <w:tcPr>
            <w:tcW w:w="2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less amortization of debt issuance costs </w:t>
            </w:r>
          </w:p>
        </w:tc>
        <w:tc>
          <w:tcPr>
            <w:tcW w:w="2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net of deferred income taxes</w:t>
            </w:r>
          </w:p>
        </w:tc>
        <w:tc>
          <w:tcPr>
            <w:tcW w:w="2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Adjustments as allowed by the Credit Agreement </w:t>
            </w:r>
            <w:r>
              <w:rPr>
                <w:rFonts w:ascii="Times New Roman;serif" w:hAnsi="Times New Roman;serif"/>
                <w:b w:val="false"/>
                <w:color w:val="000000"/>
                <w:sz w:val="16"/>
              </w:rPr>
              <w:t>(1)</w:t>
            </w:r>
          </w:p>
        </w:tc>
        <w:tc>
          <w:tcPr>
            <w:tcW w:w="2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EBITDA</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454.4 </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6"/>
        </w:rPr>
        <w:t>(1)</w:t>
      </w:r>
      <w:r>
        <w:rPr>
          <w:rFonts w:ascii="Times New Roman;serif" w:hAnsi="Times New Roman;serif"/>
          <w:b w:val="false"/>
          <w:color w:val="000000"/>
          <w:sz w:val="20"/>
        </w:rPr>
        <w:t>Adjustments as allowed by the Credit Agreement includes the estimated annual pro forma impact of acquisitions on Consolidated EBITDA.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these financial covenants, the Credit Agreement also contains a number of important customary affirmative and negative covenants which restrict, among other things, our ability to sell assets, incur additional debt, create liens, make investments, and pay dividends. As of September 30, 2025, we were in compliance with the covenants contained in the Credit Agreement. We do not believe that these restrictions impact our ability to meet future liquidity needs.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pStyle w:val="TextBody"/>
        <w:bidi w:val="0"/>
        <w:spacing w:lineRule="auto" w:line="288" w:before="120" w:after="120"/>
        <w:jc w:val="left"/>
        <w:rPr/>
      </w:pPr>
      <w:r>
        <w:rPr>
          <w:rFonts w:ascii="Times New Roman;serif" w:hAnsi="Times New Roman;serif"/>
          <w:b w:val="false"/>
          <w:color w:val="000000"/>
          <w:sz w:val="20"/>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r>
        <w:rPr>
          <w:color w:val="000000"/>
        </w:rPr>
        <w:t xml:space="preserve"> </w:t>
      </w:r>
    </w:p>
    <w:p>
      <w:pPr>
        <w:pStyle w:val="TextBody"/>
        <w:bidi w:val="0"/>
        <w:spacing w:lineRule="auto" w:line="26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Tax-Exempt Financings and Other Debt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had outstanding $273.5 million aggregate principal amount of tax exempt bonds; $86.9 million aggregate principal amount of finance leases; and $1.1 million aggregate principal amount of notes payable. </w:t>
      </w:r>
    </w:p>
    <w:p>
      <w:pPr>
        <w:pStyle w:val="TextBody"/>
        <w:bidi w:val="0"/>
        <w:spacing w:lineRule="auto" w:line="288" w:before="120" w:after="120"/>
        <w:jc w:val="left"/>
        <w:rPr/>
      </w:pPr>
      <w:r>
        <w:rPr>
          <w:rFonts w:ascii="Times New Roman;serif" w:hAnsi="Times New Roman;serif"/>
          <w:b w:val="false"/>
          <w:color w:val="000000"/>
          <w:sz w:val="20"/>
        </w:rPr>
        <w:t xml:space="preserve">See Note 7, </w:t>
      </w:r>
      <w:r>
        <w:rPr>
          <w:rFonts w:ascii="Times New Roman;serif" w:hAnsi="Times New Roman;serif"/>
          <w:b w:val="false"/>
          <w:i/>
          <w:color w:val="000000"/>
          <w:sz w:val="20"/>
        </w:rPr>
        <w:t xml:space="preserve">Debt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of this Quarterly Report on Form 10-Q for further disclosure regarding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Inflation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Inflationary increases in costs have materially affected, and may continue to materially affect, our operating margins and cash flows. However, we believe that our flexible pricing structures and cost recovery fees are allowing us to recover and will continue to allow us to recover certain inflationary costs from our customer base. Consistent with industry practice, most of our contracts and service agreements provide for a pass-through of certain costs to our customers, including increases in landfill tipping fees and in most cases fuel costs, intended to mitigate the impact of inflation on our operating results. We have also implemented a number of operating efficiency programs that seek to improve productivity and reduce our service costs, and our fuel cost recovery programs, primarily the energy component of our E&amp;E Fee, which is designed to recover escalating fuel price fluctuations above a periodically reset floor. Despite these programs,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pStyle w:val="TextBody"/>
        <w:bidi w:val="0"/>
        <w:spacing w:lineRule="auto" w:line="288" w:before="120" w:after="120"/>
        <w:jc w:val="left"/>
        <w:rPr/>
      </w:pPr>
      <w:r>
        <w:rPr>
          <w:rFonts w:ascii="Times New Roman;serif" w:hAnsi="Times New Roman;serif"/>
          <w:b w:val="false"/>
          <w:color w:val="000000"/>
          <w:sz w:val="20"/>
        </w:rPr>
        <w:t>See Item 3.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 xml:space="preserve">included in this Quarterly Report on Form 10-Q for additional information regarding our fuel cost recovery programs.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Regional Economic Conditions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business is primarily located in the eastern United States. Therefore, our business, financial condition and results of operations are susceptible to downturns in the general economy in this geographic region and other factors affecting the region, such as state and local regulations, labor availability and severe weather conditions. We are unable to forecast or determine the timing and/or the future impact of a sustained economic slowdown or other factors affecting the region.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Seasonality and Severe Weather</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revenues historically have been higher in the late spring, summer and early fall months. This seasonality reflects lower volumes of waste in the late fall, winter and early spring months primarily because the volume of waste relating to C&amp;D activities decreases substantially during the winter months in the northeastern United States.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operations can be adversely affected by periods of inclement or severe weather, which may increase with the physical impacts of climate change and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Critical Accounting Estimates and Assumptions</w:t>
      </w:r>
    </w:p>
    <w:p>
      <w:pPr>
        <w:pStyle w:val="TextBody"/>
        <w:bidi w:val="0"/>
        <w:spacing w:lineRule="auto" w:line="288" w:before="120" w:after="120"/>
        <w:jc w:val="left"/>
        <w:rPr/>
      </w:pPr>
      <w:r>
        <w:rPr>
          <w:rFonts w:ascii="Times New Roman;serif" w:hAnsi="Times New Roman;serif"/>
          <w:b w:val="false"/>
          <w:color w:val="000000"/>
          <w:sz w:val="20"/>
        </w:rPr>
        <w:t>Our financial statements have been prepared in accordance with GAAP and necessarily include certain estimates and judgments made by management.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Our critical accounting estimates are more fully discussed in Item 7.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of our 2024 Form 10-K for the fiscal year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20" w:after="283"/>
        <w:jc w:val="left"/>
        <w:rPr/>
      </w:pPr>
      <w:r>
        <w:rPr>
          <w:rFonts w:ascii="Times New Roman;serif" w:hAnsi="Times New Roman;serif"/>
          <w:b w:val="false"/>
          <w:color w:val="000000"/>
          <w:sz w:val="20"/>
        </w:rPr>
        <w:t xml:space="preserve">For a description of the new accounting standards that may affect us, see Note 2, </w:t>
      </w:r>
      <w:r>
        <w:rPr>
          <w:rFonts w:ascii="Times New Roman;serif" w:hAnsi="Times New Roman;serif"/>
          <w:b w:val="false"/>
          <w:i/>
          <w:color w:val="000000"/>
          <w:sz w:val="20"/>
        </w:rPr>
        <w:t>Accounting Changes</w:t>
      </w:r>
      <w:r>
        <w:rPr>
          <w:color w:val="000000"/>
        </w:rPr>
        <w:t xml:space="preserve"> </w:t>
      </w:r>
      <w:r>
        <w:rPr>
          <w:rFonts w:ascii="Times New Roman;serif" w:hAnsi="Times New Roman;serif"/>
          <w:b w:val="false"/>
          <w:color w:val="000000"/>
          <w:sz w:val="20"/>
        </w:rPr>
        <w:t>to our consolidated financial statements included under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 xml:space="preserve">of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are exposed to market risks, including changes in diesel fuel prices, interest rates and certain commodity prices. We have a variety of strategies to mitigate these market risks, including those discussed below.</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Fuel Price Risk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price and supply of fuel are unpredictable and fluctuate based on events beyond our control, including among others, geopolitical developments, supply and demand for oil and gas, actions by the Organization of the Petroleum Exporting Countries and other oil and gas producers, war and unrest in oil producing countries and regional production patterns. Fuel is needed to run our fleet of trucks, equipment and other aspects of our operations, and price escalations for fuel increase our operating expenses. We have fuel cost recovery programs, primarily the energy component of our energy and environmental fee (“E&amp;E Fee(s)”), which is designed to offset some or all of the impact of diesel fuel price increases above a periodically reset floor and contemplates a minimum customer participation level to cover changes in our fuel costs. The energy component of the E&amp;E Fee floats on a monthly basis based upon changes in a published diesel fuel price index and is tied to a price escalation index with a look-back provision, which results in a timing lag in our ability to match the changes in the fuel cost component of the fee to diesel fuel price fluctuations during periods of rapid price changes. In certain circumstances, a substantial rise or drop in fuel costs could materially affect our revenue and costs of operations. However, a substantial rise or drop in fuel costs should not have a material impact on our results of operations. In addition, we are susceptible to increases in fuel surcharges from our vendors.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Based on our consumption levels in the last twelve months ended September 30, 2025, combined with our expected fuel consumption related to recently closed acquisitions, and after considering physically settled fuel contracts, we believe a $0.40 cent per gallon change in the price of diesel fuel would change our direct fuel costs by approximately $6.1 million per year. Offsetting these changes in direct fuel expense would be changes in the energy component of the E&amp;E Fees charged to our customers. Based on participation rates as of September 30, 2025 and considering recently closed acquisitions, we believe a $0.40 cent per gallon change in the price of diesel fuel would change the energy component of the E&amp;E Fee by approximately $5.6 million per year. In addition to direct fuel costs related to our consumption levels, we are also subject to fuel surcharge expense from third party transportation providers. Other operational costs and capital expenditures may also be impacted by fuel prices.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three and nine months ended September 30, 2025, our fuel costs were $17.2 million, or 3.6% of revenues, and $48.3 million, or 3.5% of revenues, respectively, as compared to $14.4 million, or 3.5% of revenues, and $41.2 million, or 3.7% of revenues, in the three and nine months ended September 30,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market a variety of materials, including fibers such as old corrugated cardboard and old newsprint, plastics, glass, ferrous and aluminum metals. We may use a number of strategies to mitigate impacts from these recycled material commodity price fluctuations including: (1) charging collection customers a floating sustainability recycling adjustment fee to reduce recycling commodity risks; (2) providing in-bound material recovery facilities (“MRF”) customers with a revenue share or indexed materials purchases in higher commodity price markets, or charging these same customers a processing cost or tipping fee per ton in lower commodity price markets; (3) selling recycled commodities to out-bound MRF customers through floor price or fixed price agreements; or (4) entering into fixed price contracts or hedges that mitigate the variability in cash flows generated from the sales of recycled paper at floating prices. Although we have introduced these risk mitigation programs to help offset volatility in commodity prices and to offset higher labor or capital costs to meet more stringent contamination standards, we cannot provide assurance that we can use these programs with our customers in all circumstances or that they will mitigate these risks in an evolving recycling environment. We do not use financial instruments for trading purposes and are not a party to any leveraged derivatives. As of September 30, 2025, we were not party to any commodity hedging agreements.</w:t>
      </w:r>
    </w:p>
    <w:p>
      <w:pPr>
        <w:pStyle w:val="TextBody"/>
        <w:bidi w:val="0"/>
        <w:spacing w:lineRule="auto" w:line="288" w:before="120" w:after="120"/>
        <w:jc w:val="left"/>
        <w:rPr/>
      </w:pPr>
      <w:r>
        <w:rPr>
          <w:rFonts w:ascii="Times New Roman;serif" w:hAnsi="Times New Roman;serif"/>
          <w:b w:val="false"/>
          <w:color w:val="000000"/>
          <w:sz w:val="20"/>
        </w:rPr>
        <w:t>The impact of commodity price risk as of September 30, 2025 does not differ materially from that discussed in Item 7A.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of our Annual Report on Form 10-K for the fiscal year ended December 31, 2024.</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Interest Rate Risk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(loss) income,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pStyle w:val="TextBody"/>
        <w:bidi w:val="0"/>
        <w:spacing w:lineRule="auto" w:line="288" w:before="120" w:after="120"/>
        <w:jc w:val="left"/>
        <w:rPr/>
      </w:pPr>
      <w:r>
        <w:rPr>
          <w:rFonts w:ascii="Times New Roman;serif" w:hAnsi="Times New Roman;serif"/>
          <w:b w:val="false"/>
          <w:color w:val="000000"/>
          <w:sz w:val="20"/>
        </w:rPr>
        <w:t>The impact of interest rate risk as of September 30, 2025 does not differ materially from that discussed in Item 7A.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of our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jc w:val="left"/>
        <w:rPr/>
      </w:pPr>
      <w:r>
        <w:rPr>
          <w:rFonts w:ascii="Times New Roman;serif" w:hAnsi="Times New Roman;serif"/>
          <w:b w:val="false"/>
          <w:i/>
          <w:color w:val="000000"/>
          <w:sz w:val="20"/>
        </w:rPr>
        <w:t>Evaluation of disclosure controls and procedures</w:t>
      </w:r>
      <w:r>
        <w:rPr>
          <w:rFonts w:ascii="Times New Roman;serif" w:hAnsi="Times New Roman;serif"/>
          <w:b w:val="false"/>
          <w:color w:val="000000"/>
          <w:sz w:val="20"/>
        </w:rPr>
        <w:t>. Our management, with the participation of our chief executive officer and chief financial officer, evaluated the effectiveness of our disclosure controls and procedures as of September 30, 2025.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2025, our chief executive officer and chief financial officer concluded that, as of such date, our disclosure controls and procedures were effective at the reasonable assurance level.</w:t>
      </w:r>
    </w:p>
    <w:p>
      <w:pPr>
        <w:pStyle w:val="TextBody"/>
        <w:bidi w:val="0"/>
        <w:spacing w:lineRule="auto" w:line="288" w:before="120" w:after="120"/>
        <w:jc w:val="left"/>
        <w:rPr/>
      </w:pPr>
      <w:r>
        <w:rPr>
          <w:rFonts w:ascii="Times New Roman;serif" w:hAnsi="Times New Roman;serif"/>
          <w:b w:val="false"/>
          <w:i/>
          <w:color w:val="000000"/>
          <w:sz w:val="20"/>
        </w:rPr>
        <w:t>Changes in internal controls over financial reporting.</w:t>
      </w:r>
      <w:r>
        <w:rPr>
          <w:color w:val="000000"/>
        </w:rPr>
        <w:t xml:space="preserve"> </w:t>
      </w:r>
      <w:r>
        <w:rPr>
          <w:rFonts w:ascii="Times New Roman;serif" w:hAnsi="Times New Roman;serif"/>
          <w:b w:val="false"/>
          <w:color w:val="000000"/>
          <w:sz w:val="20"/>
        </w:rPr>
        <w:t>No change in our internal control over financial reporting (as defined in Rules 13a-15(f) and 15d-15(f) under the Exchange Act) occurred during the three months ended September 30,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20"/>
        <w:jc w:val="left"/>
        <w:rPr/>
      </w:pPr>
      <w:r>
        <w:rPr>
          <w:rFonts w:ascii="Times New Roman;serif" w:hAnsi="Times New Roman;serif"/>
          <w:b w:val="false"/>
          <w:color w:val="000000"/>
          <w:sz w:val="20"/>
        </w:rPr>
        <w:t xml:space="preserve">The information required by this Item is provided in Note 8,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of this Quarterly Report on Form 10-Q.</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Legal Proceedings over Certain Environmental Matters Involving Governmental Authorities with Possible Sanctions of $1,000,000 or More</w:t>
      </w:r>
    </w:p>
    <w:p>
      <w:pPr>
        <w:pStyle w:val="TextBody"/>
        <w:bidi w:val="0"/>
        <w:spacing w:lineRule="auto" w:line="288" w:before="120" w:after="120"/>
        <w:jc w:val="left"/>
        <w:rPr/>
      </w:pPr>
      <w:r>
        <w:rPr>
          <w:rFonts w:ascii="Times New Roman;serif" w:hAnsi="Times New Roman;serif"/>
          <w:b w:val="false"/>
          <w:color w:val="000000"/>
          <w:sz w:val="20"/>
        </w:rPr>
        <w:t xml:space="preserve">Item 103 of the Securities and Exchange Commission's Regulation S-K requires disclosure of certain environmental matters when a governmental authority is a party to the proceedings and the proceedings involve potential monetary sanctions unless we reasonably believe the monetary sanctions, exclusive of interest and costs, will not equal or exceed a specified threshold which we determine is reasonably designed to result in disclosure of any such proceeding that is material to our business or financial condition. Pursuant to Item 103, we have determined such disclosure threshold to be $1,000,000. Information relating to environmental proceedings is provided in Note 8,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to our consolidated financial statements included in Part I.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jc w:val="left"/>
        <w:rPr/>
      </w:pPr>
      <w:r>
        <w:rPr>
          <w:rFonts w:ascii="Times New Roman;serif" w:hAnsi="Times New Roman;serif"/>
          <w:b w:val="false"/>
          <w:color w:val="000000"/>
          <w:sz w:val="20"/>
        </w:rPr>
        <w:t>Our business is subject to a number of risks, including those identified in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our Annual Report on Form 10-K for the fiscal year ended December 31, 2024, that could have a material effect on our business, results of operations, financial condition and/or liquidity and that could cause our operating results to vary significantly from period to period. We may disclose additional changes to our risk factors or disclose additional factors from time to time in our future filings with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120"/>
        <w:ind w:left="0" w:right="0" w:hanging="1440"/>
        <w:jc w:val="left"/>
        <w:rPr>
          <w:rFonts w:ascii="Times New Roman;serif" w:hAnsi="Times New Roman;serif"/>
          <w:b w:val="false"/>
          <w:i/>
          <w:color w:val="000000"/>
          <w:sz w:val="20"/>
        </w:rPr>
      </w:pPr>
      <w:r>
        <w:rPr>
          <w:rFonts w:ascii="Times New Roman;serif" w:hAnsi="Times New Roman;serif"/>
          <w:b w:val="false"/>
          <w:i/>
          <w:color w:val="000000"/>
          <w:sz w:val="20"/>
        </w:rPr>
        <w:t>Director and Officer Trading Arrangements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None of our directors or officers (as defined in Rule 16a-1(f) under the Securities Exchange Act of 1934, as amended) adopted or terminated a Rule 10b5-1 trading arrangement or a non-Rule 10b5-1 trading arrangement (as defined in Item 408(c) of Regulation S-K) during the three months ended September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3"/>
        <w:gridCol w:w="221"/>
        <w:gridCol w:w="223"/>
        <w:gridCol w:w="109"/>
        <w:gridCol w:w="109"/>
        <w:gridCol w:w="109"/>
        <w:gridCol w:w="3023"/>
        <w:gridCol w:w="2931"/>
        <w:gridCol w:w="2961"/>
        <w:gridCol w:w="109"/>
        <w:gridCol w:w="157"/>
      </w:tblGrid>
      <w:tr>
        <w:trPr/>
        <w:tc>
          <w:tcPr>
            <w:tcW w:w="2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3"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101093025.htm">
              <w:r>
                <w:rPr>
                  <w:rStyle w:val="InternetLink"/>
                  <w:rFonts w:ascii="Times New Roman;serif" w:hAnsi="Times New Roman;serif"/>
                  <w:b w:val="false"/>
                  <w:color w:val="000080"/>
                  <w:sz w:val="20"/>
                  <w:u w:val="single"/>
                </w:rPr>
                <w:t>S</w:t>
              </w:r>
            </w:hyperlink>
            <w:hyperlink w:anchor="cwst-ex101093025.htm">
              <w:r>
                <w:rPr>
                  <w:rStyle w:val="InternetLink"/>
                  <w:rFonts w:ascii="Times New Roman;serif" w:hAnsi="Times New Roman;serif"/>
                  <w:b w:val="false"/>
                  <w:color w:val="000080"/>
                  <w:sz w:val="20"/>
                  <w:u w:val="single"/>
                </w:rPr>
                <w:t>econd Amendment to Employment Agreement</w:t>
              </w:r>
            </w:hyperlink>
            <w:hyperlink w:anchor="cwst-ex101093025.htm">
              <w:r>
                <w:rPr>
                  <w:rStyle w:val="InternetLink"/>
                  <w:rFonts w:ascii="Times New Roman;serif" w:hAnsi="Times New Roman;serif"/>
                  <w:b w:val="false"/>
                  <w:color w:val="000080"/>
                  <w:sz w:val="20"/>
                  <w:u w:val="single"/>
                </w:rPr>
                <w:t xml:space="preserve">, as amended, dated as of August 6, 2025, </w:t>
              </w:r>
            </w:hyperlink>
            <w:hyperlink w:anchor="cwst-ex101093025.htm">
              <w:r>
                <w:rPr>
                  <w:rStyle w:val="InternetLink"/>
                  <w:rFonts w:ascii="Times New Roman;serif" w:hAnsi="Times New Roman;serif"/>
                  <w:b w:val="false"/>
                  <w:color w:val="000080"/>
                  <w:sz w:val="20"/>
                  <w:u w:val="single"/>
                </w:rPr>
                <w:t>b</w:t>
              </w:r>
            </w:hyperlink>
            <w:hyperlink w:anchor="cwst-ex101093025.htm">
              <w:r>
                <w:rPr>
                  <w:rStyle w:val="InternetLink"/>
                  <w:rFonts w:ascii="Times New Roman;serif" w:hAnsi="Times New Roman;serif"/>
                  <w:b w:val="false"/>
                  <w:color w:val="000080"/>
                  <w:sz w:val="20"/>
                  <w:u w:val="single"/>
                </w:rPr>
                <w:t>y and between Casella Waste Systems, Inc. and J</w:t>
              </w:r>
            </w:hyperlink>
            <w:hyperlink w:anchor="cwst-ex101093025.htm">
              <w:r>
                <w:rPr>
                  <w:rStyle w:val="InternetLink"/>
                  <w:rFonts w:ascii="Times New Roman;serif" w:hAnsi="Times New Roman;serif"/>
                  <w:b w:val="false"/>
                  <w:color w:val="000080"/>
                  <w:sz w:val="20"/>
                  <w:u w:val="single"/>
                </w:rPr>
                <w:t>o</w:t>
              </w:r>
            </w:hyperlink>
            <w:hyperlink w:anchor="cwst-ex101093025.htm">
              <w:r>
                <w:rPr>
                  <w:rStyle w:val="InternetLink"/>
                  <w:rFonts w:ascii="Times New Roman;serif" w:hAnsi="Times New Roman;serif"/>
                  <w:b w:val="false"/>
                  <w:color w:val="000080"/>
                  <w:sz w:val="20"/>
                  <w:u w:val="single"/>
                </w:rPr>
                <w:t>hn W. Casella</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102093025.htm">
              <w:r>
                <w:rPr>
                  <w:rStyle w:val="InternetLink"/>
                  <w:rFonts w:ascii="Times New Roman;serif" w:hAnsi="Times New Roman;serif"/>
                  <w:b w:val="false"/>
                  <w:color w:val="000080"/>
                  <w:sz w:val="20"/>
                  <w:u w:val="single"/>
                </w:rPr>
                <w:t>A</w:t>
              </w:r>
            </w:hyperlink>
            <w:hyperlink w:anchor="cwst-ex102093025.htm">
              <w:r>
                <w:rPr>
                  <w:rStyle w:val="InternetLink"/>
                  <w:rFonts w:ascii="Times New Roman;serif" w:hAnsi="Times New Roman;serif"/>
                  <w:b w:val="false"/>
                  <w:color w:val="000080"/>
                  <w:sz w:val="20"/>
                  <w:u w:val="single"/>
                </w:rPr>
                <w:t>mendment to Amended and Restated Employment Agreement, dated as of August 6, 2025, by and between Casella Waste Systems, Inc. and Edmond R Coletta</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A</w:t>
              </w:r>
            </w:hyperlink>
            <w:hyperlink r:id="rId3">
              <w:r>
                <w:rPr>
                  <w:rStyle w:val="InternetLink"/>
                  <w:rFonts w:ascii="Times New Roman;serif" w:hAnsi="Times New Roman;serif"/>
                  <w:b w:val="false"/>
                  <w:color w:val="000080"/>
                  <w:sz w:val="20"/>
                  <w:u w:val="single"/>
                </w:rPr>
                <w:t>mendment No 1, dated as of July 21, 2025, to the Progress Payment Agreement, dated February 25, 2025, between Casella Waste Systems, I</w:t>
              </w:r>
            </w:hyperlink>
            <w:hyperlink r:id="rId4">
              <w:r>
                <w:rPr>
                  <w:rStyle w:val="InternetLink"/>
                  <w:rFonts w:ascii="Times New Roman;serif" w:hAnsi="Times New Roman;serif"/>
                  <w:b w:val="false"/>
                  <w:color w:val="000080"/>
                  <w:sz w:val="20"/>
                  <w:u w:val="single"/>
                </w:rPr>
                <w:t>n</w:t>
              </w:r>
            </w:hyperlink>
            <w:hyperlink r:id="rId5">
              <w:r>
                <w:rPr>
                  <w:rStyle w:val="InternetLink"/>
                  <w:rFonts w:ascii="Times New Roman;serif" w:hAnsi="Times New Roman;serif"/>
                  <w:b w:val="false"/>
                  <w:color w:val="000080"/>
                  <w:sz w:val="20"/>
                  <w:u w:val="single"/>
                </w:rPr>
                <w:t>c. and Banc of America Leasing &amp; Capital, LLC (</w:t>
              </w:r>
            </w:hyperlink>
            <w:hyperlink r:id="rId6">
              <w:r>
                <w:rPr>
                  <w:rStyle w:val="InternetLink"/>
                  <w:rFonts w:ascii="Times New Roman;serif" w:hAnsi="Times New Roman;serif"/>
                  <w:b w:val="false"/>
                  <w:color w:val="000080"/>
                  <w:sz w:val="20"/>
                  <w:u w:val="single"/>
                </w:rPr>
                <w:t>incorporated herein by reference to Exhibit 10.1 to the quarterly report on From 10-Q of Casella</w:t>
              </w:r>
            </w:hyperlink>
            <w:hyperlink r:id="rId7">
              <w:r>
                <w:rPr>
                  <w:rStyle w:val="InternetLink"/>
                  <w:rFonts w:ascii="Times New Roman;serif" w:hAnsi="Times New Roman;serif"/>
                  <w:b w:val="false"/>
                  <w:color w:val="000080"/>
                  <w:sz w:val="20"/>
                  <w:u w:val="single"/>
                </w:rPr>
                <w:t xml:space="preserve"> as filed on July 31, 2025 (file no. 000-23211)).</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80"/>
                  <w:sz w:val="20"/>
                  <w:u w:val="single"/>
                </w:rPr>
                <w:t>F</w:t>
              </w:r>
            </w:hyperlink>
            <w:hyperlink r:id="rId9">
              <w:r>
                <w:rPr>
                  <w:rStyle w:val="InternetLink"/>
                  <w:rFonts w:ascii="Times New Roman;serif" w:hAnsi="Times New Roman;serif"/>
                  <w:b w:val="false"/>
                  <w:color w:val="000080"/>
                  <w:sz w:val="20"/>
                  <w:u w:val="single"/>
                </w:rPr>
                <w:t>irst Amendment t</w:t>
              </w:r>
            </w:hyperlink>
            <w:hyperlink r:id="rId10">
              <w:r>
                <w:rPr>
                  <w:rStyle w:val="InternetLink"/>
                  <w:rFonts w:ascii="Times New Roman;serif" w:hAnsi="Times New Roman;serif"/>
                  <w:b w:val="false"/>
                  <w:color w:val="000080"/>
                  <w:sz w:val="20"/>
                  <w:u w:val="single"/>
                </w:rPr>
                <w:t>o se</w:t>
              </w:r>
            </w:hyperlink>
            <w:hyperlink r:id="rId11">
              <w:r>
                <w:rPr>
                  <w:rStyle w:val="InternetLink"/>
                  <w:rFonts w:ascii="Times New Roman;serif" w:hAnsi="Times New Roman;serif"/>
                  <w:b w:val="false"/>
                  <w:color w:val="000080"/>
                  <w:sz w:val="20"/>
                  <w:u w:val="single"/>
                </w:rPr>
                <w:t xml:space="preserve">cond Amended and Restated Credit Agreement, dated as of July 30, 2025, by and among Casella Waste Systems, Inc. BofA Securities, Inc. and TD Securities (USA) LLC as </w:t>
              </w:r>
            </w:hyperlink>
            <w:hyperlink r:id="rId12">
              <w:r>
                <w:rPr>
                  <w:rStyle w:val="InternetLink"/>
                  <w:rFonts w:ascii="Times New Roman;serif" w:hAnsi="Times New Roman;serif"/>
                  <w:b w:val="false"/>
                  <w:color w:val="000080"/>
                  <w:sz w:val="20"/>
                  <w:u w:val="single"/>
                </w:rPr>
                <w:t>sustai</w:t>
              </w:r>
            </w:hyperlink>
            <w:hyperlink r:id="rId13">
              <w:r>
                <w:rPr>
                  <w:rStyle w:val="InternetLink"/>
                  <w:rFonts w:ascii="Times New Roman;serif" w:hAnsi="Times New Roman;serif"/>
                  <w:b w:val="false"/>
                  <w:color w:val="000080"/>
                  <w:sz w:val="20"/>
                  <w:u w:val="single"/>
                </w:rPr>
                <w:t>nability coordinator</w:t>
              </w:r>
            </w:hyperlink>
            <w:hyperlink r:id="rId14">
              <w:r>
                <w:rPr>
                  <w:rStyle w:val="InternetLink"/>
                  <w:rFonts w:ascii="Times New Roman;serif" w:hAnsi="Times New Roman;serif"/>
                  <w:b w:val="false"/>
                  <w:color w:val="000080"/>
                  <w:sz w:val="20"/>
                  <w:u w:val="single"/>
                </w:rPr>
                <w:t>s and Bank of America N.A., as administrative agent (incorporated herein by reference to Exhibit 10.3 to the quarterly report on Form 10-Q of Casella as filed on July 31, 2025 (file no. 000-23211)).</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311093025.htm">
              <w:r>
                <w:rPr>
                  <w:rStyle w:val="InternetLink"/>
                  <w:rFonts w:ascii="Times New Roman;serif" w:hAnsi="Times New Roman;serif"/>
                  <w:b w:val="false"/>
                  <w:color w:val="0000FF"/>
                  <w:sz w:val="20"/>
                  <w:u w:val="single"/>
                </w:rPr>
                <w:t>Certification of Principal Executive Officer, pursuant to Section 302 of the Sarbanes – 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312093025.htm">
              <w:r>
                <w:rPr>
                  <w:rStyle w:val="InternetLink"/>
                  <w:rFonts w:ascii="Times New Roman;serif" w:hAnsi="Times New Roman;serif"/>
                  <w:b w:val="false"/>
                  <w:color w:val="0000FF"/>
                  <w:sz w:val="20"/>
                  <w:u w:val="single"/>
                </w:rPr>
                <w:t>Certification of Principal Financial Officer, pursuant to Section 302 of the Sarbanes – 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321093025.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 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wst-ex322093025.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 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Submitted Electronically Herewith. Attached as Exhibit 101 to this report are the following formatted in inline XBRL (Extensible Business Reporting Language): (i) Consolidated Balance Sheets as of September 30, 2025 and December 31, 2024, (ii) Consolidated Statements of Operations for the three and nine months ended September 30, 2025 and 2024, (iii) Consolidated Statements of Comprehensive Income (Loss) for the three and nine months ended September 30, 2025 and 2024, (iv) Consolidated Statements of Stockholders’ Equity for the three and nine months ended September 30, 2025 and 2024, (v) Consolidated Statements of Cash Flows for the nine months ended September 30, 2025 and 2024, and (vi) Notes to Consolidated Financial Statements.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776" w:type="dxa"/>
        <w:jc w:val="left"/>
        <w:tblInd w:w="0" w:type="dxa"/>
        <w:tblLayout w:type="fixed"/>
        <w:tblCellMar>
          <w:top w:w="28" w:type="dxa"/>
          <w:left w:w="28" w:type="dxa"/>
          <w:bottom w:w="28" w:type="dxa"/>
          <w:right w:w="28" w:type="dxa"/>
        </w:tblCellMar>
      </w:tblPr>
      <w:tblGrid>
        <w:gridCol w:w="726"/>
        <w:gridCol w:w="640"/>
        <w:gridCol w:w="643"/>
        <w:gridCol w:w="1463"/>
        <w:gridCol w:w="1463"/>
        <w:gridCol w:w="1469"/>
        <w:gridCol w:w="109"/>
        <w:gridCol w:w="109"/>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Casella Waste Systems,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31, 2025</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Kevin Drohan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Drohan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31, 2025</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 /s/ 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10.1</w:t>
      </w:r>
    </w:p>
    <w:p>
      <w:pPr>
        <w:pStyle w:val="TextBody"/>
        <w:bidi w:val="0"/>
        <w:spacing w:lineRule="auto" w:line="288" w:before="120" w:after="120"/>
        <w:jc w:val="center"/>
        <w:rPr>
          <w:rFonts w:ascii="Times New Roman;serif" w:hAnsi="Times New Roman;serif"/>
          <w:b/>
          <w:color w:val="000000"/>
          <w:sz w:val="26"/>
          <w:u w:val="single"/>
        </w:rPr>
      </w:pPr>
      <w:r>
        <w:rPr>
          <w:rFonts w:ascii="Times New Roman;serif" w:hAnsi="Times New Roman;serif"/>
          <w:b/>
          <w:color w:val="000000"/>
          <w:sz w:val="26"/>
          <w:u w:val="single"/>
        </w:rPr>
        <w:t>SECOND AMENDMENT TO EMPLOYMENT AGREEMENT</w:t>
      </w:r>
    </w:p>
    <w:p>
      <w:pPr>
        <w:pStyle w:val="TextBody"/>
        <w:bidi w:val="0"/>
        <w:spacing w:lineRule="auto" w:line="288" w:before="12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Second Amendment (the “Second Amendment”) to the Agreement (as defined below) is dated as of August 6, 2025 (the “Effective Date”), and entered into by and between Casella Waste Systems, Inc., with offices at 25 Greens Hill Lane, Rutland, Vermont 05701 (the “Company”), and John W. Casella (the “Employee”).</w:t>
      </w:r>
    </w:p>
    <w:p>
      <w:pPr>
        <w:pStyle w:val="TextBody"/>
        <w:bidi w:val="0"/>
        <w:spacing w:lineRule="auto" w:line="288" w:before="12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Company and the Employee are parties to that certain Employment Agreement dated as of December 8, 1999, as amended by that certain Amendment to Employment Agreement dated as of December 30, 2008 (the “Agreement”); and</w:t>
      </w:r>
    </w:p>
    <w:p>
      <w:pPr>
        <w:pStyle w:val="TextBody"/>
        <w:bidi w:val="0"/>
        <w:spacing w:lineRule="auto" w:line="288" w:before="12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the Company and the Employee are mutually desirous to enter into this Second Amendment to amend certain terms of the Agreement. </w:t>
      </w:r>
    </w:p>
    <w:p>
      <w:pPr>
        <w:pStyle w:val="TextBody"/>
        <w:bidi w:val="0"/>
        <w:spacing w:lineRule="auto" w:line="288" w:before="12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the Company and the Employee hereby consent and agree to amend the Agreement in accordance with the relevant terms and provisions thereof, including Section 11 thereof, as follows:</w:t>
      </w:r>
    </w:p>
    <w:p>
      <w:pPr>
        <w:pStyle w:val="TextBody"/>
        <w:bidi w:val="0"/>
        <w:spacing w:lineRule="auto" w:line="268" w:before="0" w:after="0"/>
        <w:ind w:left="0" w:right="0" w:hanging="810"/>
        <w:jc w:val="left"/>
        <w:rPr>
          <w:rFonts w:ascii="Times New Roman;serif" w:hAnsi="Times New Roman;serif"/>
          <w:b w:val="false"/>
          <w:color w:val="000000"/>
          <w:sz w:val="24"/>
        </w:rPr>
      </w:pPr>
      <w:r>
        <w:rPr>
          <w:rFonts w:ascii="Times New Roman;serif" w:hAnsi="Times New Roman;serif"/>
          <w:b w:val="false"/>
          <w:color w:val="000000"/>
          <w:sz w:val="24"/>
        </w:rPr>
        <w:t>1.Section “1. Duties.” shall be amended by deleting paragraph 1.1 in its entirety and inserting the following paragraph 1.1 in lieu thereof:.</w:t>
      </w:r>
    </w:p>
    <w:p>
      <w:pPr>
        <w:pStyle w:val="TextBody"/>
        <w:bidi w:val="0"/>
        <w:spacing w:lineRule="auto" w:line="288" w:before="120" w:after="283"/>
        <w:ind w:left="0" w:right="0" w:firstLine="630"/>
        <w:jc w:val="left"/>
        <w:rPr/>
      </w:pPr>
      <w:r>
        <w:rPr>
          <w:rFonts w:ascii="Times New Roman;serif" w:hAnsi="Times New Roman;serif"/>
          <w:b w:val="false"/>
          <w:color w:val="000000"/>
          <w:sz w:val="24"/>
        </w:rPr>
        <w:t xml:space="preserve">1.1 During the Agreement Term (as defined below), the Employee shall be Executive Chairman of the Board of Directors (the “Board”)) and shall faithfully perform for the Company the duties of said office. The Company shall use its best efforts to cause the Employee to be nominated and elected to the Board and the board of directors of any successors to the Company for the duration of the Agreement Term. The Employee shall have such corporate power and authority as are necessary to perform the duties of such office and any other office(s) that are so assigned to him. The Employee shall devote substantially all of his business time and effort to the performance of his duties hereunder, shall use his best efforts to advance the best interests of the Company and shall not engage in outside business activities which materially interfere with the performance of his duties hereunder;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subject to Section 6 below, nothing in this Agreement shall preclude the Employee from devoting reasonable periods required for participating in his family business ventures or in other professional, educational, philanthropic, public interest, charitable, social or community activities.</w:t>
      </w:r>
    </w:p>
    <w:p>
      <w:pPr>
        <w:pStyle w:val="TextBody"/>
        <w:bidi w:val="0"/>
        <w:spacing w:lineRule="auto" w:line="288" w:before="120" w:after="283"/>
        <w:ind w:left="0" w:right="0" w:hanging="810"/>
        <w:jc w:val="left"/>
        <w:rPr>
          <w:rFonts w:ascii="Times New Roman;serif" w:hAnsi="Times New Roman;serif"/>
          <w:b w:val="false"/>
          <w:color w:val="000000"/>
          <w:sz w:val="24"/>
        </w:rPr>
      </w:pPr>
      <w:r>
        <w:rPr>
          <w:rFonts w:ascii="Times New Roman;serif" w:hAnsi="Times New Roman;serif"/>
          <w:b w:val="false"/>
          <w:color w:val="000000"/>
          <w:sz w:val="24"/>
        </w:rPr>
        <w:t>2.     Section “3. Compensation.” shall be amended by deleting paragraphs 3.1 and 3.2 in their entirety and inserting the following paragraphs 3.1 and 3.2 in lieu thereof:</w:t>
      </w:r>
    </w:p>
    <w:p>
      <w:pPr>
        <w:pStyle w:val="TextBody"/>
        <w:bidi w:val="0"/>
        <w:spacing w:lineRule="auto" w:line="288" w:before="120" w:after="283"/>
        <w:ind w:left="0" w:right="0" w:firstLine="630"/>
        <w:jc w:val="left"/>
        <w:rPr>
          <w:rFonts w:ascii="Times New Roman;serif" w:hAnsi="Times New Roman;serif"/>
          <w:b w:val="false"/>
          <w:color w:val="000000"/>
          <w:sz w:val="24"/>
        </w:rPr>
      </w:pPr>
      <w:r>
        <w:rPr>
          <w:rFonts w:ascii="Times New Roman;serif" w:hAnsi="Times New Roman;serif"/>
          <w:b w:val="false"/>
          <w:color w:val="000000"/>
          <w:sz w:val="24"/>
        </w:rPr>
        <w:t xml:space="preserve">3.1 Base Salary. Between the Effective Date and December 31, 2025, the Employee shall continue to be compensated at his then-current annual base rate of pay. For fiscal years 2026 and 2027, the Employee shall be compensated at an annual rate of not less than $750,000 (“Base Salary”), payable on a bi-weekly basis in accordance with the Company's standard payroll procedures. For any fiscal year thereafter, the Base Salary will be as determined by the Compensation and Human Capital Committee of the Board (the “Compensation Committee”). </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0"/>
        <w:ind w:left="0" w:right="0" w:firstLine="630"/>
        <w:jc w:val="left"/>
        <w:rPr>
          <w:rFonts w:ascii="Times New Roman;serif" w:hAnsi="Times New Roman;serif"/>
          <w:b w:val="false"/>
          <w:color w:val="000000"/>
          <w:sz w:val="24"/>
        </w:rPr>
      </w:pPr>
      <w:r>
        <w:rPr>
          <w:rFonts w:ascii="Times New Roman;serif" w:hAnsi="Times New Roman;serif"/>
          <w:b w:val="false"/>
          <w:color w:val="000000"/>
          <w:sz w:val="24"/>
        </w:rPr>
        <w:t>3.2 Incentive Compensation. In addition to the Base Salary, for fiscal years 2026 and 2027, subject to annual reviews in accordance with Company policy, and also subject to the overall performance of Company, Employee shall be eligible but not guaranteed to receive a bonus ("Bonus") consisting of (i) a cash bonus, which shall be at least one hundred percent (100%) of the Employee’s Base Salary (a “Cash Bonus”), (ii) stock options, restricted stock units (“RSUs”) or performance-based stock units (“PSUs”) of the Company (an “Annual Equity Award”) or (iii) a combination of both a Cash Bonus and an Annual Equity Award in an amount to be determined prior to the conclusion of each such fiscal year of the Company in the sole discretion of the Compensation Committee. Should a Cash Bonus be payable to Employee, it is expected that it will be payable no later than 2 ½ months after the end of the later of the Company’s fiscal year or the Employee’s taxable year during which the Cash Bonus was earned. For each of fiscal years 2026 and 2027, Employee will receive an Annual Equity Award having an aggregate grant date value, as determined by the Compensation Committee in its discretion, of $2.0 million. For each fiscal year thereafter, the Bonus will be as determined by the Compensation Committee.</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This Second Amendment constitutes an amendment to the Agreement. In the event the terms of this Second Amendment conflict with any provision of the Agreement, the terms of this Second Amendment shall control. The Employee understands that, except as explicitly set forth above, the terms and conditions of the Agreement shall continue in full force and effect. Furthermore, the Employee agrees and acknowledges that none of the changes made to the Agreement by this Second Amendment shall give rise to Qualified Good Reason (as described in the Agreement) and that he shall not be entitled to any severance benefits or payments under the Agreement as a result of entering into this Second Amendment.</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This Second Amendment may be executed in counterparts, each of which shall be deemed an original, but all of which together shall constitute one and the same instrument.</w:t>
      </w:r>
    </w:p>
    <w:p>
      <w:pPr>
        <w:pStyle w:val="TextBody"/>
        <w:bidi w:val="0"/>
        <w:spacing w:lineRule="auto" w:line="288" w:before="36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duly executed this Second Amendment to be effective as of the Effective Date.</w:t>
      </w:r>
    </w:p>
    <w:p>
      <w:pPr>
        <w:pStyle w:val="TextBody"/>
        <w:bidi w:val="0"/>
        <w:spacing w:before="120" w:after="120"/>
        <w:jc w:val="both"/>
        <w:rPr/>
      </w:pPr>
      <w:r>
        <w:rPr/>
      </w:r>
    </w:p>
    <w:tbl>
      <w:tblPr>
        <w:tblW w:w="5470" w:type="dxa"/>
        <w:jc w:val="left"/>
        <w:tblInd w:w="0" w:type="dxa"/>
        <w:tblLayout w:type="fixed"/>
        <w:tblCellMar>
          <w:top w:w="28" w:type="dxa"/>
          <w:left w:w="28" w:type="dxa"/>
          <w:bottom w:w="28" w:type="dxa"/>
          <w:right w:w="28" w:type="dxa"/>
        </w:tblCellMar>
      </w:tblPr>
      <w:tblGrid>
        <w:gridCol w:w="1005"/>
        <w:gridCol w:w="883"/>
        <w:gridCol w:w="886"/>
        <w:gridCol w:w="109"/>
        <w:gridCol w:w="109"/>
        <w:gridCol w:w="109"/>
        <w:gridCol w:w="693"/>
        <w:gridCol w:w="693"/>
        <w:gridCol w:w="983"/>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Casella Waste Systems,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John W. Casella</w:t>
            </w:r>
          </w:p>
        </w:tc>
      </w:tr>
      <w:tr>
        <w:trPr/>
        <w:tc>
          <w:tcPr>
            <w:tcW w:w="277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By: /s/ Edmond R. Coletta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By: /s/ John W. Casella</w:t>
            </w:r>
          </w:p>
        </w:tc>
      </w:tr>
      <w:tr>
        <w:trPr/>
        <w:tc>
          <w:tcPr>
            <w:tcW w:w="27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Name: Edmond R. Coletta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Dated: 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Dated: August 6, 2025</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120" w:after="120"/>
        <w:jc w:val="right"/>
        <w:rPr>
          <w:rFonts w:ascii="Times New Roman;serif" w:hAnsi="Times New Roman;serif"/>
          <w:b/>
          <w:color w:val="000000"/>
          <w:sz w:val="20"/>
        </w:rPr>
      </w:pPr>
      <w:r>
        <w:rPr>
          <w:rFonts w:ascii="Times New Roman;serif" w:hAnsi="Times New Roman;serif"/>
          <w:b/>
          <w:color w:val="000000"/>
          <w:sz w:val="20"/>
        </w:rPr>
        <w:t>Exhibit 10.2</w:t>
      </w:r>
    </w:p>
    <w:p>
      <w:pPr>
        <w:pStyle w:val="TextBody"/>
        <w:bidi w:val="0"/>
        <w:spacing w:lineRule="auto" w:line="288" w:before="240" w:after="120"/>
        <w:jc w:val="center"/>
        <w:rPr>
          <w:rFonts w:ascii="Times New Roman;serif" w:hAnsi="Times New Roman;serif"/>
          <w:b/>
          <w:color w:val="000000"/>
          <w:sz w:val="26"/>
          <w:u w:val="single"/>
        </w:rPr>
      </w:pPr>
      <w:r>
        <w:rPr>
          <w:rFonts w:ascii="Times New Roman;serif" w:hAnsi="Times New Roman;serif"/>
          <w:b/>
          <w:color w:val="000000"/>
          <w:sz w:val="26"/>
          <w:u w:val="single"/>
        </w:rPr>
        <w:t>AMENDMENT TO EMPLOYMENT AGREEMENT</w:t>
      </w:r>
    </w:p>
    <w:p>
      <w:pPr>
        <w:pStyle w:val="TextBody"/>
        <w:bidi w:val="0"/>
        <w:spacing w:lineRule="auto" w:line="288" w:before="36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Amendment (the “Amendment”) to the Agreement (as defined below) is dated as of August 6, 2025 (the “Effective Date”), and entered into by and between Casella Waste Systems, Inc., with offices at 25 Greens Hill Lane, Rutland, Vermont 05701 (the “Company”), and Edmond R. Coletta (“Employee”).</w:t>
      </w:r>
    </w:p>
    <w:p>
      <w:pPr>
        <w:pStyle w:val="TextBody"/>
        <w:bidi w:val="0"/>
        <w:spacing w:lineRule="auto" w:line="288" w:before="18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Company and Employee are parties to that certain Amended and Restated Employment Agreement dated as of June 20, 2022 (the “Agreement”); and</w:t>
      </w:r>
    </w:p>
    <w:p>
      <w:pPr>
        <w:pStyle w:val="TextBody"/>
        <w:bidi w:val="0"/>
        <w:spacing w:lineRule="auto" w:line="288" w:before="180" w:after="283"/>
        <w:ind w:left="0" w:right="0" w:firstLine="839"/>
        <w:jc w:val="left"/>
        <w:rPr>
          <w:rFonts w:ascii="Times New Roman;serif" w:hAnsi="Times New Roman;serif"/>
          <w:b w:val="false"/>
          <w:color w:val="000000"/>
          <w:sz w:val="24"/>
        </w:rPr>
      </w:pPr>
      <w:r>
        <w:rPr>
          <w:rFonts w:ascii="Times New Roman;serif" w:hAnsi="Times New Roman;serif"/>
          <w:b w:val="false"/>
          <w:color w:val="000000"/>
          <w:sz w:val="24"/>
        </w:rPr>
        <w:t xml:space="preserve">WHEREAS, the Company and the Employee are mutually desirous to enter into this Amendment to amend certain terms of the Agreement. </w:t>
      </w:r>
    </w:p>
    <w:p>
      <w:pPr>
        <w:pStyle w:val="TextBody"/>
        <w:bidi w:val="0"/>
        <w:spacing w:lineRule="auto" w:line="288" w:before="180" w:after="283"/>
        <w:ind w:left="0" w:right="0" w:firstLine="839"/>
        <w:jc w:val="left"/>
        <w:rPr>
          <w:rFonts w:ascii="Times New Roman;serif" w:hAnsi="Times New Roman;serif"/>
          <w:b w:val="false"/>
          <w:color w:val="000000"/>
          <w:sz w:val="24"/>
        </w:rPr>
      </w:pPr>
      <w:r>
        <w:rPr>
          <w:rFonts w:ascii="Times New Roman;serif" w:hAnsi="Times New Roman;serif"/>
          <w:b w:val="false"/>
          <w:color w:val="000000"/>
          <w:sz w:val="24"/>
        </w:rPr>
        <w:t>NOW, THEREFORE, the Company and Employee hereby consent and agree to amend the Agreement in accordance with the relevant terms and provisions thereof, including Section 14 thereof, as follows:</w:t>
      </w:r>
    </w:p>
    <w:p>
      <w:pPr>
        <w:pStyle w:val="TextBody"/>
        <w:bidi w:val="0"/>
        <w:spacing w:lineRule="auto" w:line="288" w:before="180" w:after="283"/>
        <w:ind w:left="0" w:right="0" w:hanging="810"/>
        <w:jc w:val="left"/>
        <w:rPr/>
      </w:pPr>
      <w:r>
        <w:rPr>
          <w:rFonts w:ascii="Times New Roman;serif" w:hAnsi="Times New Roman;serif"/>
          <w:b w:val="false"/>
          <w:color w:val="000000"/>
          <w:sz w:val="24"/>
        </w:rPr>
        <w:t>1.</w:t>
      </w:r>
      <w:r>
        <w:rPr>
          <w:color w:val="000000"/>
        </w:rPr>
        <w:t xml:space="preserve"> </w:t>
      </w:r>
      <w:r>
        <w:rPr>
          <w:rFonts w:ascii="Times New Roman;serif" w:hAnsi="Times New Roman;serif"/>
          <w:b w:val="false"/>
          <w:color w:val="000000"/>
          <w:sz w:val="24"/>
        </w:rPr>
        <w:t>Section “1. Duties.” shall be amended by deleting paragraph 1.1 in its entirety and inserting the following paragraph 1.1 in lieu thereof:.</w:t>
      </w:r>
    </w:p>
    <w:p>
      <w:pPr>
        <w:pStyle w:val="TextBody"/>
        <w:bidi w:val="0"/>
        <w:spacing w:lineRule="auto" w:line="288" w:before="180" w:after="283"/>
        <w:ind w:left="0" w:right="0" w:firstLine="630"/>
        <w:jc w:val="left"/>
        <w:rPr/>
      </w:pPr>
      <w:r>
        <w:rPr>
          <w:rFonts w:ascii="Times New Roman;serif" w:hAnsi="Times New Roman;serif"/>
          <w:b w:val="false"/>
          <w:color w:val="000000"/>
          <w:sz w:val="24"/>
        </w:rPr>
        <w:t xml:space="preserve">1.1 During the Agreement Term (as defined below), Employee is the President and Chief Executive Officer (or such other and comparable titles and positions as shall be given Employee by the Board of Directors of Company (the “Board”)), and shall faithfully perform for Company the duties of said office. Employee shall have such corporate power and authority as are necessary to perform the duties of such office and any other office(s) that are so assigned to him. Employee shall report to the Board. Employee shall devote substantially all of his business time and effort to the performance of his duties hereunder, shall use all reasonable efforts to advance the best interests of Company and shall not engage in outside business activities which materially interfere with the performance of his duties hereunder;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subject to Sections 5 and 6 below, nothing in this Agreement shall preclude Employee from devoting reasonable periods required for participating in professional, educational, philanthropic, public interest, charitable, social or community activities.</w:t>
      </w:r>
    </w:p>
    <w:p>
      <w:pPr>
        <w:pStyle w:val="TextBody"/>
        <w:bidi w:val="0"/>
        <w:spacing w:lineRule="auto" w:line="288" w:before="180" w:after="283"/>
        <w:jc w:val="left"/>
        <w:rPr>
          <w:rFonts w:ascii="Times New Roman;serif" w:hAnsi="Times New Roman;serif"/>
          <w:b w:val="false"/>
          <w:color w:val="000000"/>
          <w:sz w:val="24"/>
        </w:rPr>
      </w:pPr>
      <w:r>
        <w:rPr>
          <w:rFonts w:ascii="Times New Roman;serif" w:hAnsi="Times New Roman;serif"/>
          <w:b w:val="false"/>
          <w:color w:val="000000"/>
          <w:sz w:val="24"/>
        </w:rPr>
        <w:t>The duties to be performed by Employee hereunder shall be performed primarily in Rutland, Vermont, subject to reasonable travel requirements on behalf of Company.</w:t>
      </w:r>
    </w:p>
    <w:p>
      <w:pPr>
        <w:pStyle w:val="TextBody"/>
        <w:bidi w:val="0"/>
        <w:spacing w:lineRule="auto" w:line="288" w:before="180" w:after="283"/>
        <w:ind w:left="0" w:right="0" w:hanging="810"/>
        <w:jc w:val="left"/>
        <w:rPr>
          <w:rFonts w:ascii="Times New Roman;serif" w:hAnsi="Times New Roman;serif"/>
          <w:b w:val="false"/>
          <w:color w:val="000000"/>
          <w:sz w:val="24"/>
        </w:rPr>
      </w:pPr>
      <w:r>
        <w:rPr>
          <w:rFonts w:ascii="Times New Roman;serif" w:hAnsi="Times New Roman;serif"/>
          <w:b w:val="false"/>
          <w:color w:val="000000"/>
          <w:sz w:val="24"/>
        </w:rPr>
        <w:t>2.     Section “3. “Compensation.” shall be amended by deleting paragraphs 3.1.1 and 3.2 in their entirety and inserting the following paragraphs 3.1 and 3.2 in lieu thereof:</w:t>
      </w:r>
    </w:p>
    <w:p>
      <w:pPr>
        <w:pStyle w:val="TextBody"/>
        <w:bidi w:val="0"/>
        <w:spacing w:lineRule="auto" w:line="288" w:before="180" w:after="283"/>
        <w:ind w:left="0" w:right="0" w:firstLine="630"/>
        <w:jc w:val="left"/>
        <w:rPr>
          <w:rFonts w:ascii="Times New Roman;serif" w:hAnsi="Times New Roman;serif"/>
          <w:b w:val="false"/>
          <w:color w:val="000000"/>
          <w:sz w:val="24"/>
        </w:rPr>
      </w:pPr>
      <w:r>
        <w:rPr>
          <w:rFonts w:ascii="Times New Roman;serif" w:hAnsi="Times New Roman;serif"/>
          <w:b w:val="false"/>
          <w:color w:val="000000"/>
          <w:sz w:val="24"/>
        </w:rPr>
        <w:t xml:space="preserve">3.1 Base Salary. Between the Effective Date and December 31, 2025, Employee shall continue to be compensated at his then-current annual base rate of pay. Effective as of January 1, 2026, Employee shall be compensated at the annual rate of Seven Hundred Fifty Thousand Dollars ($750,000) ("Base Salary"), payable on a bi-weekly basis in accordance with Company's standard payroll procedures.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18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The Base Salary will be subject to annual reviews in accordance with Company policy. Such reviews shall form the basis for any increase in Base Salary. </w:t>
      </w:r>
    </w:p>
    <w:p>
      <w:pPr>
        <w:pStyle w:val="TextBody"/>
        <w:bidi w:val="0"/>
        <w:spacing w:lineRule="auto" w:line="288" w:before="180" w:after="283"/>
        <w:ind w:left="0" w:right="0" w:firstLine="630"/>
        <w:jc w:val="left"/>
        <w:rPr>
          <w:rFonts w:ascii="Times New Roman;serif" w:hAnsi="Times New Roman;serif"/>
          <w:b w:val="false"/>
          <w:color w:val="000000"/>
          <w:sz w:val="24"/>
        </w:rPr>
      </w:pPr>
      <w:r>
        <w:rPr>
          <w:rFonts w:ascii="Times New Roman;serif" w:hAnsi="Times New Roman;serif"/>
          <w:b w:val="false"/>
          <w:color w:val="000000"/>
          <w:sz w:val="24"/>
        </w:rPr>
        <w:t>3.2 Incentive Compensation. In addition to the Base Salary, on an annual basis, subject to annual reviews in accordance with Company policy, and also subject to the overall performance of Company, Employee shall be eligible but not guaranteed to receive a bonus ("Bonus") consisting of (i) a cash bonus, which, as of January 1, 2026, shall be of at least one hundred fifty percent (150%) of Employee’s Base Salary (a “Cash Bonus”), (ii) stock options, restricted stock units (“RSUs”) or performance-based stock units (“PSUs”) of Company (an “Annual Equity Award”) or (iii) a combination of both a Cash Bonus and an Annual Equity Award in an amount to be determined prior to the conclusion of each fiscal year of Company during the Agreement Term in the sole discretion of the Compensation and Human Capital Committee of the Board (the “Compensation Committee”). Should a Cash Bonus be payable to Employee, it is expected that it will be payable no later than 2 ½ months after the end of the later of Company’s fiscal year or Employee’s taxable year during which the Cash Bonus was earned. For fiscal year 2026, Employee will receive an Annual Equity Award having an aggregate grant date value, as determined by the Compensation Committee in its discretion, of $2.5 million, delivered 25% in RSUs and 75% in PSUs.</w:t>
      </w:r>
    </w:p>
    <w:p>
      <w:pPr>
        <w:pStyle w:val="TextBody"/>
        <w:bidi w:val="0"/>
        <w:spacing w:lineRule="auto" w:line="288" w:before="18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This Amendment constitutes an amendment to the Agreement. In the event the terms of this Amendment conflict with any provision of the Agreement, the terms of this Amendment shall control. Employee understands that, except as explicitly set forth above, the terms and conditions of the Agreement shall continue in full force and effect. </w:t>
      </w:r>
    </w:p>
    <w:p>
      <w:pPr>
        <w:pStyle w:val="TextBody"/>
        <w:bidi w:val="0"/>
        <w:spacing w:lineRule="auto" w:line="288" w:before="18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This Amendment may be executed in counterparts, each of which shall be deemed an original, but all of which together shall constitute one and the same instrument. </w:t>
      </w:r>
    </w:p>
    <w:p>
      <w:pPr>
        <w:pStyle w:val="TextBody"/>
        <w:bidi w:val="0"/>
        <w:spacing w:lineRule="auto" w:line="288" w:before="360" w:after="283"/>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duly executed this Amendment to be effective as of the Effective Date.</w:t>
      </w:r>
    </w:p>
    <w:p>
      <w:pPr>
        <w:pStyle w:val="TextBody"/>
        <w:bidi w:val="0"/>
        <w:spacing w:before="120" w:after="120"/>
        <w:jc w:val="both"/>
        <w:rPr/>
      </w:pPr>
      <w:r>
        <w:rPr/>
      </w:r>
    </w:p>
    <w:tbl>
      <w:tblPr>
        <w:tblW w:w="7016" w:type="dxa"/>
        <w:jc w:val="left"/>
        <w:tblInd w:w="0" w:type="dxa"/>
        <w:tblLayout w:type="fixed"/>
        <w:tblCellMar>
          <w:top w:w="28" w:type="dxa"/>
          <w:left w:w="28" w:type="dxa"/>
          <w:bottom w:w="28" w:type="dxa"/>
          <w:right w:w="28" w:type="dxa"/>
        </w:tblCellMar>
      </w:tblPr>
      <w:tblGrid>
        <w:gridCol w:w="1462"/>
        <w:gridCol w:w="1284"/>
        <w:gridCol w:w="1289"/>
        <w:gridCol w:w="109"/>
        <w:gridCol w:w="109"/>
        <w:gridCol w:w="109"/>
        <w:gridCol w:w="776"/>
        <w:gridCol w:w="776"/>
        <w:gridCol w:w="1102"/>
      </w:tblGrid>
      <w:tr>
        <w:trPr/>
        <w:tc>
          <w:tcPr>
            <w:tcW w:w="146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Casella Waste Systems,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Edmond R. Coletta</w:t>
            </w:r>
          </w:p>
        </w:tc>
      </w:tr>
      <w:tr>
        <w:trPr/>
        <w:tc>
          <w:tcPr>
            <w:tcW w:w="403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By: /s/ John W. Casella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By: /s/ Edmond R. Coletta</w:t>
            </w:r>
          </w:p>
        </w:tc>
      </w:tr>
      <w:tr>
        <w:trPr/>
        <w:tc>
          <w:tcPr>
            <w:tcW w:w="40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Name: John W. Casella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Chairman of the Board of Directors</w:t>
              <w:br/>
              <w:t>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4"/>
              </w:rPr>
            </w:pPr>
            <w:r>
              <w:rPr>
                <w:rFonts w:ascii="Times New Roman;serif" w:hAnsi="Times New Roman;serif"/>
                <w:b w:val="false"/>
                <w:color w:val="000000"/>
                <w:sz w:val="24"/>
              </w:rPr>
              <w:t>Dated: 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Dated: August 6, 2025</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John W. Casella, certify that: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Casella Waste Systems, Inc.;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620" w:type="dxa"/>
        <w:jc w:val="left"/>
        <w:tblInd w:w="0" w:type="dxa"/>
        <w:tblLayout w:type="fixed"/>
        <w:tblCellMar>
          <w:top w:w="28" w:type="dxa"/>
          <w:left w:w="28" w:type="dxa"/>
          <w:bottom w:w="28" w:type="dxa"/>
          <w:right w:w="28" w:type="dxa"/>
        </w:tblCellMar>
      </w:tblPr>
      <w:tblGrid>
        <w:gridCol w:w="726"/>
        <w:gridCol w:w="640"/>
        <w:gridCol w:w="643"/>
        <w:gridCol w:w="1078"/>
        <w:gridCol w:w="1078"/>
        <w:gridCol w:w="1083"/>
        <w:gridCol w:w="109"/>
        <w:gridCol w:w="109"/>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31, 2025</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John W. Casella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W. Casella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Chairman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Bradford J. Helgeson, certify that: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Casella Waste Systems, Inc.;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836" w:type="dxa"/>
        <w:jc w:val="left"/>
        <w:tblInd w:w="0" w:type="dxa"/>
        <w:tblLayout w:type="fixed"/>
        <w:tblCellMar>
          <w:top w:w="28" w:type="dxa"/>
          <w:left w:w="28" w:type="dxa"/>
          <w:bottom w:w="28" w:type="dxa"/>
          <w:right w:w="28" w:type="dxa"/>
        </w:tblCellMar>
      </w:tblPr>
      <w:tblGrid>
        <w:gridCol w:w="726"/>
        <w:gridCol w:w="640"/>
        <w:gridCol w:w="643"/>
        <w:gridCol w:w="1483"/>
        <w:gridCol w:w="1483"/>
        <w:gridCol w:w="1489"/>
        <w:gridCol w:w="109"/>
        <w:gridCol w:w="109"/>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31, 2025</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Casella Waste Systems, Inc. for the period ended September 30, 2025 as filed with the Securities and Exchange Commission on the date hereof (“Report”), the undersigned, John W. Casella, Chairman and Chief Executive Officer, hereby certifies, pursuant to 18 U.S.C. Section 1350, that, to his knowledge: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our financial condition and results of operations.</w:t>
      </w:r>
    </w:p>
    <w:tbl>
      <w:tblPr>
        <w:tblW w:w="5590" w:type="dxa"/>
        <w:jc w:val="left"/>
        <w:tblInd w:w="0" w:type="dxa"/>
        <w:tblLayout w:type="fixed"/>
        <w:tblCellMar>
          <w:top w:w="28" w:type="dxa"/>
          <w:left w:w="28" w:type="dxa"/>
          <w:bottom w:w="28" w:type="dxa"/>
          <w:right w:w="28" w:type="dxa"/>
        </w:tblCellMar>
      </w:tblPr>
      <w:tblGrid>
        <w:gridCol w:w="726"/>
        <w:gridCol w:w="640"/>
        <w:gridCol w:w="643"/>
        <w:gridCol w:w="1068"/>
        <w:gridCol w:w="1068"/>
        <w:gridCol w:w="1073"/>
        <w:gridCol w:w="109"/>
        <w:gridCol w:w="109"/>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31, 2025</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John W. Casella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Casella Waste Systems, Inc. for the period ended September 30, 2025 as filed with the Securities and Exchange Commission on the date hereof (“Report”), the undersigned, Bradford J. Helgeson, Executive Vice President and Chief Financial Officer, hereby certifies, pursuant to 18 U.S.C. Section 1350, that, to his knowledge: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our financial condition and results of operations.</w:t>
      </w:r>
    </w:p>
    <w:tbl>
      <w:tblPr>
        <w:tblW w:w="6776" w:type="dxa"/>
        <w:jc w:val="left"/>
        <w:tblInd w:w="0" w:type="dxa"/>
        <w:tblLayout w:type="fixed"/>
        <w:tblCellMar>
          <w:top w:w="28" w:type="dxa"/>
          <w:left w:w="28" w:type="dxa"/>
          <w:bottom w:w="28" w:type="dxa"/>
          <w:right w:w="28" w:type="dxa"/>
        </w:tblCellMar>
      </w:tblPr>
      <w:tblGrid>
        <w:gridCol w:w="726"/>
        <w:gridCol w:w="640"/>
        <w:gridCol w:w="643"/>
        <w:gridCol w:w="1463"/>
        <w:gridCol w:w="1463"/>
        <w:gridCol w:w="1469"/>
        <w:gridCol w:w="109"/>
        <w:gridCol w:w="109"/>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31, 2025</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Bradford J. Helgeson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11177/000162828025036993/cwst-ex101063025.htm" TargetMode="External"/><Relationship Id="rId3" Type="http://schemas.openxmlformats.org/officeDocument/2006/relationships/hyperlink" Target="https://www.sec.gov/Archives/edgar/data/911177/000162828025036993/cwst-ex101063025.htm" TargetMode="External"/><Relationship Id="rId4" Type="http://schemas.openxmlformats.org/officeDocument/2006/relationships/hyperlink" Target="https://www.sec.gov/Archives/edgar/data/911177/000162828025036993/cwst-ex101063025.htm" TargetMode="External"/><Relationship Id="rId5" Type="http://schemas.openxmlformats.org/officeDocument/2006/relationships/hyperlink" Target="https://www.sec.gov/Archives/edgar/data/911177/000162828025036993/cwst-ex101063025.htm" TargetMode="External"/><Relationship Id="rId6" Type="http://schemas.openxmlformats.org/officeDocument/2006/relationships/hyperlink" Target="https://www.sec.gov/Archives/edgar/data/911177/000162828025036993/cwst-ex101063025.htm" TargetMode="External"/><Relationship Id="rId7" Type="http://schemas.openxmlformats.org/officeDocument/2006/relationships/hyperlink" Target="https://www.sec.gov/Archives/edgar/data/911177/000162828025036993/cwst-ex101063025.htm" TargetMode="External"/><Relationship Id="rId8" Type="http://schemas.openxmlformats.org/officeDocument/2006/relationships/hyperlink" Target="https://www.sec.gov/Archives/edgar/data/911177/000162828025036993/cwst-ex103063025.htm" TargetMode="External"/><Relationship Id="rId9" Type="http://schemas.openxmlformats.org/officeDocument/2006/relationships/hyperlink" Target="https://www.sec.gov/Archives/edgar/data/911177/000162828025036993/cwst-ex103063025.htm" TargetMode="External"/><Relationship Id="rId10" Type="http://schemas.openxmlformats.org/officeDocument/2006/relationships/hyperlink" Target="https://www.sec.gov/Archives/edgar/data/911177/000162828025036993/cwst-ex103063025.htm" TargetMode="External"/><Relationship Id="rId11" Type="http://schemas.openxmlformats.org/officeDocument/2006/relationships/hyperlink" Target="https://www.sec.gov/Archives/edgar/data/911177/000162828025036993/cwst-ex103063025.htm" TargetMode="External"/><Relationship Id="rId12" Type="http://schemas.openxmlformats.org/officeDocument/2006/relationships/hyperlink" Target="https://www.sec.gov/Archives/edgar/data/911177/000162828025036993/cwst-ex103063025.htm" TargetMode="External"/><Relationship Id="rId13" Type="http://schemas.openxmlformats.org/officeDocument/2006/relationships/hyperlink" Target="https://www.sec.gov/Archives/edgar/data/911177/000162828025036993/cwst-ex103063025.htm" TargetMode="External"/><Relationship Id="rId14" Type="http://schemas.openxmlformats.org/officeDocument/2006/relationships/hyperlink" Target="https://www.sec.gov/Archives/edgar/data/911177/000162828025036993/cwst-ex103063025.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26572</Words>
  <Characters>147985</Characters>
  <CharactersWithSpaces>172671</CharactersWithSpaces>
  <Paragraphs>4276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