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29845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87630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400" w:right="340" w:hanging="374"/>
        <w:spacing w:after="0" w:line="238" w:lineRule="auto"/>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400" w:right="320" w:hanging="374"/>
        <w:spacing w:after="0" w:line="238" w:lineRule="auto"/>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1"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36830</wp:posOffset>
            </wp:positionV>
            <wp:extent cx="2777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CASELLA WASTE SYSTEMS,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2" w:lineRule="exact"/>
        <w:rPr>
          <w:sz w:val="24"/>
          <w:szCs w:val="24"/>
          <w:color w:val="auto"/>
        </w:rPr>
      </w:pPr>
    </w:p>
    <w:tbl>
      <w:tblPr>
        <w:tblLayout w:type="fixed"/>
        <w:tblInd w:w="2760" w:type="dxa"/>
        <w:tblCellMar>
          <w:top w:w="0" w:type="dxa"/>
          <w:left w:w="0" w:type="dxa"/>
          <w:bottom w:w="0" w:type="dxa"/>
          <w:right w:w="0" w:type="dxa"/>
        </w:tblCellMar>
      </w:tblPr>
      <w:tr>
        <w:trPr>
          <w:trHeight w:val="190"/>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00" w:type="dxa"/>
            <w:vAlign w:val="bottom"/>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03-0338873</w:t>
            </w:r>
          </w:p>
        </w:tc>
      </w:tr>
      <w:tr>
        <w:trPr>
          <w:trHeight w:val="158"/>
        </w:trPr>
        <w:tc>
          <w:tcPr>
            <w:tcW w:w="3180" w:type="dxa"/>
            <w:vAlign w:val="bottom"/>
          </w:tcPr>
          <w:p>
            <w:pPr>
              <w:jc w:val="center"/>
              <w:ind w:right="708"/>
              <w:spacing w:after="0" w:line="15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900" w:type="dxa"/>
            <w:vAlign w:val="bottom"/>
          </w:tcPr>
          <w:p>
            <w:pPr>
              <w:jc w:val="center"/>
              <w:ind w:left="708"/>
              <w:spacing w:after="0" w:line="15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3"/>
        </w:trPr>
        <w:tc>
          <w:tcPr>
            <w:tcW w:w="3180" w:type="dxa"/>
            <w:vAlign w:val="bottom"/>
          </w:tcPr>
          <w:p>
            <w:pPr>
              <w:jc w:val="center"/>
              <w:ind w:right="708"/>
              <w:spacing w:after="0"/>
              <w:rPr>
                <w:sz w:val="20"/>
                <w:szCs w:val="20"/>
                <w:color w:val="auto"/>
              </w:rPr>
            </w:pPr>
            <w:r>
              <w:rPr>
                <w:rFonts w:ascii="Times New Roman" w:cs="Times New Roman" w:eastAsia="Times New Roman" w:hAnsi="Times New Roman"/>
                <w:sz w:val="14"/>
                <w:szCs w:val="14"/>
                <w:b w:val="1"/>
                <w:bCs w:val="1"/>
                <w:color w:val="auto"/>
              </w:rPr>
              <w:t>25 Greens Hill Lane,</w:t>
            </w:r>
          </w:p>
        </w:tc>
        <w:tc>
          <w:tcPr>
            <w:tcW w:w="1900" w:type="dxa"/>
            <w:vAlign w:val="bottom"/>
          </w:tcPr>
          <w:p>
            <w:pPr>
              <w:spacing w:after="0"/>
              <w:rPr>
                <w:sz w:val="24"/>
                <w:szCs w:val="24"/>
                <w:color w:val="auto"/>
              </w:rPr>
            </w:pP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Rutland, Vermont</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05701</w:t>
            </w:r>
          </w:p>
        </w:tc>
      </w:tr>
      <w:tr>
        <w:trPr>
          <w:trHeight w:val="203"/>
        </w:trPr>
        <w:tc>
          <w:tcPr>
            <w:tcW w:w="3180" w:type="dxa"/>
            <w:vAlign w:val="bottom"/>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90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71120</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ind w:right="40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44"/>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38"/>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3"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184" w:lineRule="exact"/>
        <w:tabs>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15, 2022:</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Class A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50,692,053</w:t>
            </w:r>
          </w:p>
        </w:tc>
      </w:tr>
      <w:tr>
        <w:trPr>
          <w:trHeight w:val="216"/>
        </w:trPr>
        <w:tc>
          <w:tcPr>
            <w:tcW w:w="600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Class B common stock, $0.01 par value per share:</w:t>
            </w:r>
          </w:p>
        </w:tc>
        <w:tc>
          <w:tcPr>
            <w:tcW w:w="5240" w:type="dxa"/>
            <w:vAlign w:val="bottom"/>
          </w:tcPr>
          <w:p>
            <w:pPr>
              <w:jc w:val="right"/>
              <w:ind w:right="3279"/>
              <w:spacing w:after="0"/>
              <w:rPr>
                <w:sz w:val="20"/>
                <w:szCs w:val="20"/>
                <w:color w:val="auto"/>
              </w:rPr>
            </w:pPr>
            <w:r>
              <w:rPr>
                <w:rFonts w:ascii="Times New Roman" w:cs="Times New Roman" w:eastAsia="Times New Roman" w:hAnsi="Times New Roman"/>
                <w:sz w:val="16"/>
                <w:szCs w:val="16"/>
                <w:color w:val="auto"/>
              </w:rPr>
              <w:t>988,200</w:t>
            </w:r>
          </w:p>
        </w:tc>
      </w:tr>
      <w:tr>
        <w:trPr>
          <w:trHeight w:val="128"/>
        </w:trPr>
        <w:tc>
          <w:tcPr>
            <w:tcW w:w="6000" w:type="dxa"/>
            <w:vAlign w:val="bottom"/>
            <w:tcBorders>
              <w:bottom w:val="single" w:sz="8" w:color="auto"/>
            </w:tcBorders>
          </w:tcPr>
          <w:p>
            <w:pPr>
              <w:spacing w:after="0"/>
              <w:rPr>
                <w:sz w:val="11"/>
                <w:szCs w:val="11"/>
                <w:color w:val="auto"/>
              </w:rPr>
            </w:pPr>
          </w:p>
        </w:tc>
        <w:tc>
          <w:tcPr>
            <w:tcW w:w="5240" w:type="dxa"/>
            <w:vAlign w:val="bottom"/>
            <w:tcBorders>
              <w:bottom w:val="single" w:sz="8" w:color="auto"/>
            </w:tcBorders>
          </w:tcPr>
          <w:p>
            <w:pPr>
              <w:spacing w:after="0"/>
              <w:rPr>
                <w:sz w:val="11"/>
                <w:szCs w:val="11"/>
                <w:color w:val="auto"/>
              </w:rPr>
            </w:pPr>
          </w:p>
        </w:tc>
      </w:tr>
      <w:tr>
        <w:trPr>
          <w:trHeight w:val="34"/>
        </w:trPr>
        <w:tc>
          <w:tcPr>
            <w:tcW w:w="600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675"/>
        </w:trPr>
        <w:tc>
          <w:tcPr>
            <w:tcW w:w="600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52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$4,265 and $3,276, respectively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86,979</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146,479</w:t>
            </w: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and amortization of $1,038,576 and $973,094,</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685,348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644,604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93,799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232,860</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93,723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14,772</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6"/>
        </w:trPr>
        <w:tc>
          <w:tcPr>
            <w:tcW w:w="824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r>
      <w:tr>
        <w:trPr>
          <w:trHeight w:val="23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63,086</w:t>
            </w:r>
          </w:p>
        </w:tc>
      </w:tr>
      <w:tr>
        <w:trPr>
          <w:trHeight w:val="229"/>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22,210</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r>
      <w:tr>
        <w:trPr>
          <w:trHeight w:val="230"/>
        </w:trPr>
        <w:tc>
          <w:tcPr>
            <w:tcW w:w="8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r>
      <w:tr>
        <w:trPr>
          <w:trHeight w:val="229"/>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Current accrued final capping, closure and post-closure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7,915</w:t>
            </w:r>
          </w:p>
        </w:tc>
      </w:tr>
      <w:tr>
        <w:trPr>
          <w:trHeight w:val="230"/>
        </w:trPr>
        <w:tc>
          <w:tcPr>
            <w:tcW w:w="82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36,328</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542,503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final capping, closure and post-closure costs, less current portion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78,999</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824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per share; 100,000,000 shares authorized; 50,692,000 and</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50,423,000 shares issued and outstanding, respectively</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r>
      <w:tr>
        <w:trPr>
          <w:trHeight w:val="175"/>
        </w:trPr>
        <w:tc>
          <w:tcPr>
            <w:tcW w:w="824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per share; 1,000,000 shares authorized; 988,000 shares issued</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and outstanding, respectively; 10 votes per share</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652,045</w:t>
            </w:r>
          </w:p>
        </w:tc>
      </w:tr>
      <w:tr>
        <w:trPr>
          <w:trHeight w:val="230"/>
        </w:trPr>
        <w:tc>
          <w:tcPr>
            <w:tcW w:w="8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(224,999)</w:t>
            </w:r>
          </w:p>
        </w:tc>
      </w:tr>
      <w:tr>
        <w:trPr>
          <w:trHeight w:val="230"/>
        </w:trPr>
        <w:tc>
          <w:tcPr>
            <w:tcW w:w="8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r>
      <w:tr>
        <w:trPr>
          <w:trHeight w:val="223"/>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422,457</w:t>
            </w: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1,283,580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52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4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647,375</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419,583</w:t>
            </w: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87,336</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74,510</w:t>
            </w: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Environmental remediation charge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Southbridge Landfill closure charge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258,980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586,032</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61,343</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14,912</w:t>
            </w:r>
          </w:p>
        </w:tc>
        <w:tc>
          <w:tcPr>
            <w:tcW w:w="0" w:type="dxa"/>
            <w:vAlign w:val="bottom"/>
          </w:tcPr>
          <w:p>
            <w:pPr>
              <w:spacing w:after="0"/>
              <w:rPr>
                <w:sz w:val="1"/>
                <w:szCs w:val="1"/>
                <w:color w:val="auto"/>
              </w:rPr>
            </w:pP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0" w:type="dxa"/>
            <w:vAlign w:val="bottom"/>
          </w:tcPr>
          <w:p>
            <w:pPr>
              <w:spacing w:after="0"/>
              <w:rPr>
                <w:sz w:val="1"/>
                <w:szCs w:val="1"/>
                <w:color w:val="auto"/>
              </w:rPr>
            </w:pPr>
          </w:p>
        </w:tc>
      </w:tr>
      <w:tr>
        <w:trPr>
          <w:trHeight w:val="196"/>
        </w:trPr>
        <w:tc>
          <w:tcPr>
            <w:tcW w:w="5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22,672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15,861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44,658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31,955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4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22,672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Hedging activity:</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5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rate swap settlements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229"/>
        </w:trPr>
        <w:tc>
          <w:tcPr>
            <w:tcW w:w="5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rate swap amounts reclassified into 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r>
      <w:tr>
        <w:trPr>
          <w:trHeight w:val="176"/>
        </w:trPr>
        <w:tc>
          <w:tcPr>
            <w:tcW w:w="520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rPr>
              <w:t>Unrealized gain resulting from changes in fair value of</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derivative instruments</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17,362</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5,866</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r>
      <w:tr>
        <w:trPr>
          <w:trHeight w:val="175"/>
        </w:trPr>
        <w:tc>
          <w:tcPr>
            <w:tcW w:w="52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Income tax provision related to items of other comprehensive</w:t>
            </w: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6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26,582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16,753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57,691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36,442</w:t>
            </w:r>
          </w:p>
        </w:tc>
      </w:tr>
      <w:tr>
        <w:trPr>
          <w:trHeight w:val="21"/>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58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0" w:type="dxa"/>
            <w:vAlign w:val="bottom"/>
          </w:tcPr>
          <w:p>
            <w:pPr>
              <w:spacing w:after="0"/>
              <w:rPr>
                <w:sz w:val="1"/>
                <w:szCs w:val="1"/>
                <w:color w:val="auto"/>
              </w:rPr>
            </w:pPr>
          </w:p>
        </w:tc>
      </w:tr>
      <w:tr>
        <w:trPr>
          <w:trHeight w:val="41"/>
        </w:trPr>
        <w:tc>
          <w:tcPr>
            <w:tcW w:w="3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3"/>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3"/>
                <w:szCs w:val="3"/>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3"/>
                <w:szCs w:val="3"/>
                <w:color w:val="auto"/>
              </w:rPr>
            </w:pPr>
          </w:p>
        </w:tc>
        <w:tc>
          <w:tcPr>
            <w:tcW w:w="1060" w:type="dxa"/>
            <w:vAlign w:val="bottom"/>
            <w:vMerge w:val="restart"/>
          </w:tcPr>
          <w:p>
            <w:pPr>
              <w:jc w:val="center"/>
              <w:ind w:right="69"/>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0" w:type="dxa"/>
            <w:vAlign w:val="bottom"/>
          </w:tcPr>
          <w:p>
            <w:pPr>
              <w:spacing w:after="0"/>
              <w:rPr>
                <w:sz w:val="1"/>
                <w:szCs w:val="1"/>
                <w:color w:val="auto"/>
              </w:rPr>
            </w:pPr>
          </w:p>
        </w:tc>
      </w:tr>
      <w:tr>
        <w:trPr>
          <w:trHeight w:val="61"/>
        </w:trPr>
        <w:tc>
          <w:tcPr>
            <w:tcW w:w="3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0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422,457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652,045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(224,999)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6,143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6,143</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2022</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435,050</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50,650</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654,303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(220,809)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937</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17,796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7"/>
                <w:szCs w:val="17"/>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2,980</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2022</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457,566</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656,042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(203,013)</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2022</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486,559</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50,692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658,453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(180,341)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60"/>
              <w:spacing w:after="0"/>
              <w:rPr>
                <w:sz w:val="20"/>
                <w:szCs w:val="20"/>
                <w:color w:val="auto"/>
              </w:rPr>
            </w:pPr>
            <w:r>
              <w:rPr>
                <w:rFonts w:ascii="Times New Roman" w:cs="Times New Roman" w:eastAsia="Times New Roman" w:hAnsi="Times New Roman"/>
                <w:sz w:val="13"/>
                <w:szCs w:val="13"/>
                <w:b w:val="1"/>
                <w:bCs w:val="1"/>
                <w:color w:val="auto"/>
              </w:rPr>
              <w:t>Casella Waste Systems, Inc. Stockholders' Equity</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9"/>
              </w:rPr>
              <w:t>Class A</w:t>
            </w:r>
          </w:p>
        </w:tc>
        <w:tc>
          <w:tcPr>
            <w:tcW w:w="1580" w:type="dxa"/>
            <w:vAlign w:val="bottom"/>
            <w:gridSpan w:val="5"/>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Class B</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5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18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0" w:type="dxa"/>
            <w:vAlign w:val="bottom"/>
          </w:tcPr>
          <w:p>
            <w:pPr>
              <w:spacing w:after="0"/>
              <w:rPr>
                <w:sz w:val="1"/>
                <w:szCs w:val="1"/>
                <w:color w:val="auto"/>
              </w:rPr>
            </w:pPr>
          </w:p>
        </w:tc>
      </w:tr>
      <w:tr>
        <w:trPr>
          <w:trHeight w:val="23"/>
        </w:trPr>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3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Comprehensive Loss</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362,142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639,247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(266,099)</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2,941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4,311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3,830</w:t>
            </w:r>
          </w:p>
        </w:tc>
        <w:tc>
          <w:tcPr>
            <w:tcW w:w="0" w:type="dxa"/>
            <w:vAlign w:val="bottom"/>
          </w:tcPr>
          <w:p>
            <w:pPr>
              <w:spacing w:after="0"/>
              <w:rPr>
                <w:sz w:val="1"/>
                <w:szCs w:val="1"/>
                <w:color w:val="auto"/>
              </w:rPr>
            </w:pPr>
          </w:p>
        </w:tc>
      </w:tr>
      <w:tr>
        <w:trPr>
          <w:trHeight w:val="18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March 31, 2021</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373,336</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50,374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642,297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(261,788)</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3,116</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84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2021</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388,492</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645,905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(250,005)</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(7,922)</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2,655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15,861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8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Hedging activity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892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69"/>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September 30, 2021</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407,951</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50,410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648,611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(234,144)</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(7,030)</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44,658</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31,955</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93,106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74,510</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 accretion on landfill and environmental remediation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5,915</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Gain on sale of property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expense from acquisition activities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assets and liabilities, net of effects of acquisitions and divestitures: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receivable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(10,943)</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Landfill operating lease contract expenditures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Prepaid expenses, inventories and other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(14,391)</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Accrued expenses, contract liabilities and 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152,431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134,089</w:t>
            </w:r>
          </w:p>
        </w:tc>
        <w:tc>
          <w:tcPr>
            <w:tcW w:w="0" w:type="dxa"/>
            <w:vAlign w:val="bottom"/>
          </w:tcPr>
          <w:p>
            <w:pPr>
              <w:spacing w:after="0"/>
              <w:rPr>
                <w:sz w:val="1"/>
                <w:szCs w:val="1"/>
                <w:color w:val="auto"/>
              </w:rPr>
            </w:pP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(153,112)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Additions to property, plant and equipment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(87,667)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(81,577)</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(161,059)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(234,096)</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debt borrowings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on debt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(57,407)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of contingent consideration</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the exercise of share based awards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0" w:type="dxa"/>
            <w:vAlign w:val="bottom"/>
          </w:tcPr>
          <w:p>
            <w:pPr>
              <w:spacing w:after="0"/>
              <w:rPr>
                <w:sz w:val="1"/>
                <w:szCs w:val="1"/>
                <w:color w:val="auto"/>
              </w:rPr>
            </w:pPr>
          </w:p>
        </w:tc>
      </w:tr>
      <w:tr>
        <w:trPr>
          <w:trHeight w:val="18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(7,854)</w:t>
            </w: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14,125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(107,861)</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33,809</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154,342</w:t>
            </w:r>
          </w:p>
        </w:tc>
        <w:tc>
          <w:tcPr>
            <w:tcW w:w="0" w:type="dxa"/>
            <w:vAlign w:val="bottom"/>
          </w:tcPr>
          <w:p>
            <w:pPr>
              <w:spacing w:after="0"/>
              <w:rPr>
                <w:sz w:val="1"/>
                <w:szCs w:val="1"/>
                <w:color w:val="auto"/>
              </w:rPr>
            </w:pPr>
          </w:p>
        </w:tc>
      </w:tr>
      <w:tr>
        <w:trPr>
          <w:trHeight w:val="221"/>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46,481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Cash interest payments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14,378</w:t>
            </w:r>
          </w:p>
        </w:tc>
        <w:tc>
          <w:tcPr>
            <w:tcW w:w="0" w:type="dxa"/>
            <w:vAlign w:val="bottom"/>
          </w:tcPr>
          <w:p>
            <w:pPr>
              <w:spacing w:after="0"/>
              <w:rPr>
                <w:sz w:val="1"/>
                <w:szCs w:val="1"/>
                <w:color w:val="auto"/>
              </w:rPr>
            </w:pPr>
          </w:p>
        </w:tc>
      </w:tr>
      <w:tr>
        <w:trPr>
          <w:trHeight w:val="195"/>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Cash income tax payments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financing lease obligations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0" w:type="dxa"/>
            <w:vAlign w:val="bottom"/>
          </w:tcPr>
          <w:p>
            <w:pPr>
              <w:spacing w:after="0"/>
              <w:rPr>
                <w:sz w:val="1"/>
                <w:szCs w:val="1"/>
                <w:color w:val="auto"/>
              </w:rPr>
            </w:pPr>
          </w:p>
        </w:tc>
      </w:tr>
      <w:tr>
        <w:trPr>
          <w:trHeight w:val="188"/>
        </w:trPr>
        <w:tc>
          <w:tcPr>
            <w:tcW w:w="824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Right-of-use assets obtained in exchange for operating lease obligations</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CASELLA WASTE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12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Times New Roman" w:cs="Times New Roman" w:eastAsia="Times New Roman" w:hAnsi="Times New Roman"/>
          <w:sz w:val="18"/>
          <w:szCs w:val="18"/>
          <w:i w:val="1"/>
          <w:iCs w:val="1"/>
          <w:color w:val="auto"/>
        </w:rPr>
        <w:t>Financial Statements and Supplementary Data</w:t>
      </w:r>
      <w:r>
        <w:rPr>
          <w:rFonts w:ascii="Times New Roman" w:cs="Times New Roman" w:eastAsia="Times New Roman" w:hAnsi="Times New Roman"/>
          <w:sz w:val="18"/>
          <w:szCs w:val="18"/>
          <w:color w:val="auto"/>
        </w:rPr>
        <w:t>" of our Annual Report on Form 10-K for the fiscal year ended December 31, 2021 ("fiscal year 2021"), which was filed with the SEC on February 18, 2022.</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2022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evaluated subsequent events or transactions that have occurred after the consolidated balance sheet date of September 30, 2022 through the date of filing of the consolidated financial statements with the SEC on this Quarterly Report on Form 10-Q. We have determined that there are no subsequent events that require disclosure in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ACCOUNTING CHANGES</w:t>
      </w:r>
    </w:p>
    <w:p>
      <w:pPr>
        <w:spacing w:after="0" w:line="121"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A table providing a brief description of recent Accounting Standards Updates ("ASUs") to the Accounting Standards Codification ("ASC") issued by the Financial Accounting Standards Board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5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40" w:type="dxa"/>
            <w:vAlign w:val="bottom"/>
          </w:tcPr>
          <w:p>
            <w:pPr>
              <w:jc w:val="center"/>
              <w:ind w:left="468"/>
              <w:spacing w:after="0" w:line="150" w:lineRule="exact"/>
              <w:rPr>
                <w:sz w:val="20"/>
                <w:szCs w:val="20"/>
                <w:color w:val="auto"/>
              </w:rPr>
            </w:pPr>
            <w:r>
              <w:rPr>
                <w:rFonts w:ascii="Times New Roman" w:cs="Times New Roman" w:eastAsia="Times New Roman" w:hAnsi="Times New Roman"/>
                <w:sz w:val="14"/>
                <w:szCs w:val="14"/>
                <w:b w:val="1"/>
                <w:bCs w:val="1"/>
                <w:color w:val="auto"/>
              </w:rPr>
              <w:t>Effect on the Financial Statements or Other</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191"/>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Accounting standards issued pending adoption</w:t>
            </w:r>
          </w:p>
        </w:tc>
        <w:tc>
          <w:tcPr>
            <w:tcW w:w="29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ectPr>
          <w:pgSz w:w="11900" w:h="16838" w:orient="portrait"/>
          <w:cols w:equalWidth="0" w:num="1">
            <w:col w:w="11240"/>
          </w:cols>
          <w:pgMar w:left="320" w:top="1103" w:right="339" w:bottom="1440" w:gutter="0" w:footer="0" w:header="0"/>
        </w:sectPr>
      </w:pPr>
    </w:p>
    <w:p>
      <w:pPr>
        <w:ind w:left="20"/>
        <w:spacing w:after="0" w:line="236" w:lineRule="auto"/>
        <w:rPr>
          <w:sz w:val="20"/>
          <w:szCs w:val="20"/>
          <w:color w:val="auto"/>
        </w:rPr>
      </w:pPr>
      <w:r>
        <w:rPr>
          <w:rFonts w:ascii="Times New Roman" w:cs="Times New Roman" w:eastAsia="Times New Roman" w:hAnsi="Times New Roman"/>
          <w:sz w:val="17"/>
          <w:szCs w:val="17"/>
          <w:color w:val="auto"/>
        </w:rPr>
        <w:t>ASU No. 2020-04: Reference Rate Reform (Topic 848), as amended through</w:t>
      </w:r>
    </w:p>
    <w:p>
      <w:pPr>
        <w:ind w:left="20"/>
        <w:spacing w:after="0"/>
        <w:rPr>
          <w:sz w:val="20"/>
          <w:szCs w:val="20"/>
          <w:color w:val="auto"/>
        </w:rPr>
      </w:pPr>
      <w:r>
        <w:rPr>
          <w:rFonts w:ascii="Times New Roman" w:cs="Times New Roman" w:eastAsia="Times New Roman" w:hAnsi="Times New Roman"/>
          <w:sz w:val="18"/>
          <w:szCs w:val="18"/>
          <w:color w:val="auto"/>
        </w:rPr>
        <w:t>January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right="100"/>
        <w:spacing w:after="0" w:line="236" w:lineRule="auto"/>
        <w:rPr>
          <w:sz w:val="20"/>
          <w:szCs w:val="20"/>
          <w:color w:val="auto"/>
        </w:rPr>
      </w:pPr>
      <w:r>
        <w:rPr>
          <w:rFonts w:ascii="Times New Roman" w:cs="Times New Roman" w:eastAsia="Times New Roman" w:hAnsi="Times New Roman"/>
          <w:sz w:val="17"/>
          <w:szCs w:val="17"/>
          <w:color w:val="auto"/>
        </w:rPr>
        <w:t>ASU No. 2021-08: Accounting for Contract Assets and Contract Liabilities</w:t>
      </w:r>
    </w:p>
    <w:p>
      <w:pPr>
        <w:ind w:left="20" w:right="200"/>
        <w:spacing w:after="0" w:line="226" w:lineRule="auto"/>
        <w:rPr>
          <w:sz w:val="20"/>
          <w:szCs w:val="20"/>
          <w:color w:val="auto"/>
        </w:rPr>
      </w:pPr>
      <w:r>
        <w:rPr>
          <w:rFonts w:ascii="Times New Roman" w:cs="Times New Roman" w:eastAsia="Times New Roman" w:hAnsi="Times New Roman"/>
          <w:sz w:val="18"/>
          <w:szCs w:val="18"/>
          <w:color w:val="auto"/>
        </w:rPr>
        <w:t>from Contracts with Customers (Topic 805)</w:t>
      </w:r>
    </w:p>
    <w:p>
      <w:pPr>
        <w:spacing w:after="0" w:line="20" w:lineRule="exact"/>
        <w:rPr>
          <w:sz w:val="20"/>
          <w:szCs w:val="20"/>
          <w:color w:val="auto"/>
        </w:rPr>
      </w:pPr>
      <w:r>
        <w:rPr>
          <w:sz w:val="20"/>
          <w:szCs w:val="20"/>
          <w:color w:val="auto"/>
        </w:rPr>
        <w:br w:type="column"/>
      </w:r>
    </w:p>
    <w:p>
      <w:pPr>
        <w:ind w:right="360"/>
        <w:spacing w:after="0" w:line="222" w:lineRule="auto"/>
        <w:rPr>
          <w:sz w:val="20"/>
          <w:szCs w:val="20"/>
          <w:color w:val="auto"/>
        </w:rPr>
      </w:pPr>
      <w:r>
        <w:rPr>
          <w:rFonts w:ascii="Times New Roman" w:cs="Times New Roman" w:eastAsia="Times New Roman" w:hAnsi="Times New Roman"/>
          <w:sz w:val="18"/>
          <w:szCs w:val="18"/>
          <w:color w:val="auto"/>
        </w:rPr>
        <w:t>Provides temporary optional guidance to ease the potential burden in applying GAAP to contract</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modifications and hedging relationships that reference London Inter-Bank Offered Rate ("LIBOR") or another reference rate expected to be discontinued,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meeting certain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Requires entities to apply ASC 606 to recognize and measure contract assets and contract liabilities in a</w:t>
      </w:r>
    </w:p>
    <w:p>
      <w:pPr>
        <w:ind w:right="280"/>
        <w:spacing w:after="0" w:line="220" w:lineRule="auto"/>
        <w:rPr>
          <w:sz w:val="20"/>
          <w:szCs w:val="20"/>
          <w:color w:val="auto"/>
        </w:rPr>
      </w:pPr>
      <w:r>
        <w:rPr>
          <w:rFonts w:ascii="Times New Roman" w:cs="Times New Roman" w:eastAsia="Times New Roman" w:hAnsi="Times New Roman"/>
          <w:sz w:val="17"/>
          <w:szCs w:val="17"/>
          <w:color w:val="auto"/>
        </w:rPr>
        <w:t>business combination. This guidance improves comparability after the business combination by providing consistent recognition and measurement</w:t>
      </w:r>
    </w:p>
    <w:p>
      <w:pPr>
        <w:spacing w:after="0" w:line="2" w:lineRule="exact"/>
        <w:rPr>
          <w:sz w:val="20"/>
          <w:szCs w:val="20"/>
          <w:color w:val="auto"/>
        </w:rPr>
      </w:pPr>
    </w:p>
    <w:p>
      <w:pPr>
        <w:ind w:right="220"/>
        <w:spacing w:after="0" w:line="208" w:lineRule="auto"/>
        <w:rPr>
          <w:sz w:val="20"/>
          <w:szCs w:val="20"/>
          <w:color w:val="auto"/>
        </w:rPr>
      </w:pPr>
      <w:r>
        <w:rPr>
          <w:rFonts w:ascii="Times New Roman" w:cs="Times New Roman" w:eastAsia="Times New Roman" w:hAnsi="Times New Roman"/>
          <w:sz w:val="18"/>
          <w:szCs w:val="18"/>
          <w:color w:val="auto"/>
        </w:rPr>
        <w:t>guidance for revenue contracts with customers acquired in a business combination and revenue contracts with customers not acquired in a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20" w:lineRule="exact"/>
        <w:rPr>
          <w:sz w:val="20"/>
          <w:szCs w:val="20"/>
          <w:color w:val="auto"/>
        </w:rPr>
      </w:pPr>
      <w:r>
        <w:rPr>
          <w:sz w:val="20"/>
          <w:szCs w:val="20"/>
          <w:color w:val="auto"/>
        </w:rPr>
        <w:br w:type="column"/>
      </w:r>
    </w:p>
    <w:p>
      <w:pPr>
        <w:ind w:right="40"/>
        <w:spacing w:after="0" w:line="222" w:lineRule="auto"/>
        <w:rPr>
          <w:sz w:val="20"/>
          <w:szCs w:val="20"/>
          <w:color w:val="auto"/>
        </w:rPr>
      </w:pPr>
      <w:r>
        <w:rPr>
          <w:rFonts w:ascii="Times New Roman" w:cs="Times New Roman" w:eastAsia="Times New Roman" w:hAnsi="Times New Roman"/>
          <w:sz w:val="18"/>
          <w:szCs w:val="18"/>
          <w:color w:val="auto"/>
        </w:rPr>
        <w:t>We currently have interest rate derivative agreements with hedging relationships that reference LIBOR. This</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guidance provides optional expedients and exceptions for applying GAAP to contracts, hedging relationships, and other transactions affected by</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reference rate reform if certain criteria are met. We are currently reviewing and updating our existing contracts, as applicable, for transition or fallback</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language that specifies how a replacement rate for LIBOR will be identified. We are also no longer using LIBOR as a reference rate for any new contracts. We</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do not expect that the adoption of this guidance will have a material impact on our consolidated financial statements and related disclosures. This guidance will</w:t>
      </w:r>
    </w:p>
    <w:p>
      <w:pPr>
        <w:spacing w:after="0" w:line="2" w:lineRule="exact"/>
        <w:rPr>
          <w:sz w:val="20"/>
          <w:szCs w:val="20"/>
          <w:color w:val="auto"/>
        </w:rPr>
      </w:pPr>
    </w:p>
    <w:p>
      <w:pPr>
        <w:ind w:right="100"/>
        <w:spacing w:after="0" w:line="208" w:lineRule="auto"/>
        <w:rPr>
          <w:sz w:val="20"/>
          <w:szCs w:val="20"/>
          <w:color w:val="auto"/>
        </w:rPr>
      </w:pPr>
      <w:r>
        <w:rPr>
          <w:rFonts w:ascii="Times New Roman" w:cs="Times New Roman" w:eastAsia="Times New Roman" w:hAnsi="Times New Roman"/>
          <w:sz w:val="18"/>
          <w:szCs w:val="18"/>
          <w:color w:val="auto"/>
        </w:rPr>
        <w:t>be in effect from March 12, 2020 through December 31, 2022. See Note 7, Debt for further disclosure over our interest rate derivative agreements and debt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instruments that reference LIBOR.</w:t>
      </w:r>
    </w:p>
    <w:p>
      <w:pPr>
        <w:spacing w:after="0" w:line="57"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17"/>
          <w:szCs w:val="17"/>
          <w:color w:val="auto"/>
        </w:rPr>
        <w:t>We have made in the past, and we may make in the future, acquisitions to densify existing operations,</w:t>
      </w:r>
    </w:p>
    <w:p>
      <w:pPr>
        <w:ind w:right="20"/>
        <w:spacing w:after="0" w:line="208" w:lineRule="auto"/>
        <w:rPr>
          <w:sz w:val="20"/>
          <w:szCs w:val="20"/>
          <w:color w:val="auto"/>
        </w:rPr>
      </w:pPr>
      <w:r>
        <w:rPr>
          <w:rFonts w:ascii="Times New Roman" w:cs="Times New Roman" w:eastAsia="Times New Roman" w:hAnsi="Times New Roman"/>
          <w:sz w:val="18"/>
          <w:szCs w:val="18"/>
          <w:color w:val="auto"/>
        </w:rPr>
        <w:t>expand service areas, and grow services for our customers, and these acquisitions may include contract assets or contract liabilities. We do not expect that the</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adoption of this guidance will have a material impact on our consolidated financial statements and related disclosures. This guidance is effective January 1,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early adoption permitted.</w:t>
      </w:r>
    </w:p>
    <w:p>
      <w:pPr>
        <w:spacing w:after="0" w:line="200" w:lineRule="exact"/>
        <w:rPr>
          <w:sz w:val="20"/>
          <w:szCs w:val="20"/>
          <w:color w:val="auto"/>
        </w:rPr>
      </w:pPr>
    </w:p>
    <w:p>
      <w:pPr>
        <w:sectPr>
          <w:pgSz w:w="11900" w:h="16838" w:orient="portrait"/>
          <w:cols w:equalWidth="0" w:num="3">
            <w:col w:w="3000" w:space="180"/>
            <w:col w:w="3920" w:space="160"/>
            <w:col w:w="3980"/>
          </w:cols>
          <w:pgMar w:left="320" w:top="1103" w:right="33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services are derived from processing and non-processing services.</w:t>
      </w:r>
    </w:p>
    <w:p>
      <w:pPr>
        <w:spacing w:after="0" w:line="6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revenues disaggregated by service line and timing of revenue recognition by operating segment for each of the three and nine months ended September 30, 2022 and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52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121,464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295,268</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7"/>
                <w:szCs w:val="17"/>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0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48,951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24,823</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221,703</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5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24"/>
                <w:szCs w:val="24"/>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172,671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228,239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400,910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81,486</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101,304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251,720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332,626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812,962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331,159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764,864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251,720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332,626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812,962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Revenues</w:t>
            </w:r>
          </w:p>
        </w:tc>
      </w:tr>
      <w:tr>
        <w:trPr>
          <w:trHeight w:val="23"/>
        </w:trPr>
        <w:tc>
          <w:tcPr>
            <w:tcW w:w="5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66,479</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station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67,345</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gas-to-energy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72,475</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104,958</w:t>
            </w: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647,375</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Transferred at a point-in-time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601,002</w:t>
            </w:r>
          </w:p>
        </w:tc>
      </w:tr>
      <w:tr>
        <w:trPr>
          <w:trHeight w:val="22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188,557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647,375</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$5,460 and $15,162 in the three and nine months ended September 30, 2022, respectively, and $4,341 and $8,440 in the three and nine months ended September 30, 2021, respectively. Rebates are generally recorded as a reduction of revenues upon the sale of such materials, or upon receipt of the recycled materials at our facilities. We did not record any revenues in the three and nine months ended September 30, 2022 or September 30, 2021 from performance obligations satisfied in previous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receivables, which are included in Accounts receivable, net are recorded when billed or when related revenue is earned, if earlier, and represent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against third-parties that will be settled in cash. Accounts receivable, net includes gross receivables from contracts of $111,256 and $89,232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 respectively. Certain customers are billed in advance and, accordingly, recognition of the related revenues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as a contract liability until the services are provided and control transferred to the customer. We recognized contract liabilities of $3,891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$3,404 as of September 30, 2022 and December 31, 2021, respectively. Due to the short term nature of advanced billings, substantially all of the deferred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as a contract liability as of December 31, 2021 and December 31, 2020 was recognized as revenue during the nine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September 30, 2021, respectively, when the services were performed.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BUSINESS COMBINATIONS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nine months ended September 30, 2022, we acquired twelve businesses, including: an organic materials management business and a full service solid waste collection, recycling and transportation business in our Resource Solutions operating segment; a closed waste-to-energy facility that is being decommissioned and rebuilt as a transfer station, a transfer station, and six tuck-in solid waste collection businesses in our Western region; a portable toilets business in our Eastern region; and a scrap metal collection business whose assets are allocated between our Eastern region and Resource Solutions operating segments. In the nine months ended September 30, 2021, we acquired eight businesses, including: a residential, commercial and roll-off collection business in eastern Connecticut that operates a rail-served construction and demolition processing and waste transfer facility, a waste transfer station, a single-stream recycling facility, and several other recycling operations whose assets and liabilities are allocated between our Eastern region and Resource Solutions operating segments; a septic and portable toilet business, a tuck-in solid waste collection business and a solid waste collection business that operates a waste transfer station in our Eastern region; and a waste composting and food-scrap hauling business, a solid waste collection business that operates a waste transfer station, and two tuck-in solid waste collection businesses in our Western region.</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Acquired intangible assets other than goodwill that are subject to amortization include customer relationships, trade names and covenants not-to-compete. Such assets are amortized over a two-year to ten-year period from the date of acquisition. All amounts recorded to goodwill are expected to be deductible for tax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 summary of the purchase price paid and the purchase price allocation for acquisitions follows:</w:t>
      </w:r>
    </w:p>
    <w:p>
      <w:pPr>
        <w:spacing w:after="0" w:line="43"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4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Price: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used in acquisitions, net of cash acquired</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72,731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150,364</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non-cash consideration</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Holdbacks to sellers and contingent consideration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155,229</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as follows: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Land</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Finance lease right-of-use-assets</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w:t>
            </w: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30"/>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42,458</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Trade names</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r>
      <w:tr>
        <w:trPr>
          <w:trHeight w:val="229"/>
        </w:trPr>
        <w:tc>
          <w:tcPr>
            <w:tcW w:w="82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Covenants not-to-compete</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r>
      <w:tr>
        <w:trPr>
          <w:trHeight w:val="230"/>
        </w:trPr>
        <w:tc>
          <w:tcPr>
            <w:tcW w:w="82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Customer relationships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30,340</w:t>
            </w: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lease liabilities, less current portion</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assets acquired and liabilities assumed</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39,372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122,228</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purchase price allocated to goodwill</w:t>
            </w:r>
          </w:p>
        </w:tc>
        <w:tc>
          <w:tcPr>
            <w:tcW w:w="8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38,691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33,001</w:t>
            </w:r>
          </w:p>
        </w:tc>
      </w:tr>
      <w:tr>
        <w:trPr>
          <w:trHeight w:val="20"/>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Certain purchase price allocations are preliminary and are based on information existing at the acquisition dates or upon closing the transaction. Accordingly, the purchase price allocations are subject to change. Unaudited pro forma combined information that shows our operational results as though each acquisition completed since the beginning of the prior fiscal year had occurred as of January 1, 2021 is as follows:</w:t>
      </w:r>
    </w:p>
    <w:tbl>
      <w:tblPr>
        <w:tblLayout w:type="fixed"/>
        <w:tblInd w:w="0" w:type="dxa"/>
        <w:tblCellMar>
          <w:top w:w="0" w:type="dxa"/>
          <w:left w:w="0" w:type="dxa"/>
          <w:bottom w:w="0" w:type="dxa"/>
          <w:right w:w="0" w:type="dxa"/>
        </w:tblCellMar>
      </w:tblPr>
      <w:tr>
        <w:trPr>
          <w:trHeight w:val="148"/>
        </w:trPr>
        <w:tc>
          <w:tcPr>
            <w:tcW w:w="5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00" w:type="dxa"/>
            <w:vAlign w:val="bottom"/>
            <w:gridSpan w:val="5"/>
          </w:tcPr>
          <w:p>
            <w:pPr>
              <w:ind w:left="380"/>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2"/>
                <w:szCs w:val="12"/>
                <w:color w:val="auto"/>
              </w:rPr>
            </w:pPr>
          </w:p>
        </w:tc>
        <w:tc>
          <w:tcPr>
            <w:tcW w:w="2400" w:type="dxa"/>
            <w:vAlign w:val="bottom"/>
            <w:gridSpan w:val="4"/>
          </w:tcPr>
          <w:p>
            <w:pPr>
              <w:jc w:val="right"/>
              <w:ind w:right="652"/>
              <w:spacing w:after="0" w:line="148"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5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733,819</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common stockholders:</w:t>
            </w:r>
          </w:p>
        </w:tc>
        <w:tc>
          <w:tcPr>
            <w:tcW w:w="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common stockholders:</w:t>
            </w: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940" w:type="dxa"/>
            <w:vAlign w:val="bottom"/>
            <w:tcBorders>
              <w:top w:val="single" w:sz="8" w:color="CCEEFF"/>
            </w:tcBorders>
            <w:gridSpan w:val="2"/>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tcBorders>
              <w:top w:val="single" w:sz="8" w:color="CCEEFF"/>
            </w:tcBorders>
            <w:vMerge w:val="continue"/>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510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ind w:right="380"/>
        <w:spacing w:after="0" w:line="261" w:lineRule="auto"/>
        <w:rPr>
          <w:sz w:val="20"/>
          <w:szCs w:val="20"/>
          <w:color w:val="auto"/>
        </w:rPr>
      </w:pPr>
      <w:r>
        <w:rPr>
          <w:rFonts w:ascii="Times New Roman" w:cs="Times New Roman" w:eastAsia="Times New Roman" w:hAnsi="Times New Roman"/>
          <w:sz w:val="18"/>
          <w:szCs w:val="18"/>
          <w:color w:val="auto"/>
        </w:rPr>
        <w:t>The unaudited pro forma results set forth in the table above have been prepared for comparative purposes only and are not necessarily indicative of the actual results of operations had the acquisitions occurred as of January 1, 2021 or of the results of our future operations. Furthermore, the unaudited</w:t>
      </w:r>
    </w:p>
    <w:p>
      <w:pPr>
        <w:ind w:right="140"/>
        <w:spacing w:after="0" w:line="260" w:lineRule="auto"/>
        <w:rPr>
          <w:sz w:val="20"/>
          <w:szCs w:val="20"/>
          <w:color w:val="auto"/>
        </w:rPr>
      </w:pPr>
      <w:r>
        <w:rPr>
          <w:rFonts w:ascii="Times New Roman" w:cs="Times New Roman" w:eastAsia="Times New Roman" w:hAnsi="Times New Roman"/>
          <w:sz w:val="18"/>
          <w:szCs w:val="18"/>
          <w:color w:val="auto"/>
        </w:rPr>
        <w:t>pro forma results do not give effect to all cost savings or incremental costs that may occur as a result of the integration and consolidation of the completed acquisitions.</w:t>
      </w:r>
    </w:p>
    <w:p>
      <w:pPr>
        <w:spacing w:after="0" w:line="1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and balances related to goodwill by operating segment is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 to</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8"/>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40" w:type="dxa"/>
            <w:vAlign w:val="bottom"/>
            <w:tcBorders>
              <w:top w:val="single" w:sz="8" w:color="auto"/>
            </w:tcBorders>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52,072</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52,406</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181,270</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38,766</w:t>
            </w: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3"/>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272,442</w:t>
            </w:r>
          </w:p>
        </w:tc>
        <w:tc>
          <w:tcPr>
            <w:tcW w:w="0" w:type="dxa"/>
            <w:vAlign w:val="bottom"/>
          </w:tcPr>
          <w:p>
            <w:pPr>
              <w:spacing w:after="0"/>
              <w:rPr>
                <w:sz w:val="1"/>
                <w:szCs w:val="1"/>
                <w:color w:val="auto"/>
              </w:rPr>
            </w:pPr>
          </w:p>
        </w:tc>
      </w:tr>
      <w:tr>
        <w:trPr>
          <w:trHeight w:val="21"/>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Summaries of intangible assets by type follows:</w:t>
            </w: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165,534</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(23,609)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(43,254)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(70,742)</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83,118</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Covenants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Customer Relationships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Trade Names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Not-to-Compete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152,132</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(34,809)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80,196</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$4,281 and $12,333 during the three and nine months ended September 30, 2022, respectively, and $3,133 and $7,175 during the three and nine months ended September 30, 2021,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intangible amortization expense estimated for the five fiscal years following fiscal year 2021 and thereafter follows: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Estimated Future Amortization Expense as of September 30,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2022</w:t>
            </w:r>
          </w:p>
        </w:tc>
        <w:tc>
          <w:tcPr>
            <w:tcW w:w="3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2023</w:t>
            </w:r>
          </w:p>
        </w:tc>
        <w:tc>
          <w:tcPr>
            <w:tcW w:w="3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15,918</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2024</w:t>
            </w:r>
          </w:p>
        </w:tc>
        <w:tc>
          <w:tcPr>
            <w:tcW w:w="3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15,278</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2025</w:t>
            </w:r>
          </w:p>
        </w:tc>
        <w:tc>
          <w:tcPr>
            <w:tcW w:w="3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ending December 31, 2026</w:t>
            </w:r>
          </w:p>
        </w:tc>
        <w:tc>
          <w:tcPr>
            <w:tcW w:w="39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9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32,579</w:t>
            </w:r>
          </w:p>
        </w:tc>
      </w:tr>
    </w:tbl>
    <w:p>
      <w:pPr>
        <w:spacing w:after="0" w:line="2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FINAL CAPPING, CLOSURE AND POST CLOSURE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 summary of the changes to accrued final capping, closure and post-closure liabilities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86,914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82,533</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Revision in estimates </w:t>
            </w:r>
            <w:r>
              <w:rPr>
                <w:rFonts w:ascii="Times New Roman" w:cs="Times New Roman" w:eastAsia="Times New Roman" w:hAnsi="Times New Roman"/>
                <w:sz w:val="14"/>
                <w:szCs w:val="14"/>
                <w:color w:val="auto"/>
              </w:rPr>
              <w:t>(1)</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w:t>
            </w: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(3,027)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94,607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86,273</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Relates to a change in estimates concerning anticipated capping costs at one of our landfills.</w:t>
      </w:r>
    </w:p>
    <w:p>
      <w:pPr>
        <w:spacing w:after="0" w:line="63"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May include amounts that are being processed through accounts payable as a part of our disbursements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debt is as follows:</w:t>
      </w:r>
    </w:p>
    <w:p>
      <w:pPr>
        <w:spacing w:after="0" w:line="43" w:lineRule="exact"/>
        <w:rPr>
          <w:sz w:val="20"/>
          <w:szCs w:val="20"/>
          <w:color w:val="auto"/>
        </w:rPr>
      </w:pPr>
    </w:p>
    <w:p>
      <w:pPr>
        <w:jc w:val="right"/>
        <w:ind w:right="30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ectPr>
          <w:pgSz w:w="11900" w:h="16838" w:orient="portrait"/>
          <w:cols w:equalWidth="0" w:num="1">
            <w:col w:w="11240"/>
          </w:cols>
          <w:pgMar w:left="320" w:top="1103"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8260" w:val="left"/>
        </w:tabs>
        <w:rPr>
          <w:sz w:val="20"/>
          <w:szCs w:val="20"/>
          <w:color w:val="auto"/>
        </w:rPr>
      </w:pPr>
      <w:r>
        <w:rPr>
          <w:rFonts w:ascii="Times New Roman" w:cs="Times New Roman" w:eastAsia="Times New Roman" w:hAnsi="Times New Roman"/>
          <w:sz w:val="18"/>
          <w:szCs w:val="18"/>
          <w:color w:val="auto"/>
        </w:rPr>
        <w:t>Term loan A facility ("Term Loan Facility") due December 2026; bearing interest at LIBOR plus 1.375%</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 w:lineRule="exact"/>
        <w:rPr>
          <w:sz w:val="20"/>
          <w:szCs w:val="20"/>
          <w:color w:val="auto"/>
        </w:rPr>
      </w:pPr>
    </w:p>
    <w:p>
      <w:pPr>
        <w:ind w:left="20" w:right="640"/>
        <w:spacing w:after="0" w:line="234" w:lineRule="auto"/>
        <w:rPr>
          <w:sz w:val="20"/>
          <w:szCs w:val="20"/>
          <w:color w:val="auto"/>
        </w:rPr>
      </w:pPr>
      <w:r>
        <w:rPr>
          <w:rFonts w:ascii="Times New Roman" w:cs="Times New Roman" w:eastAsia="Times New Roman" w:hAnsi="Times New Roman"/>
          <w:sz w:val="18"/>
          <w:szCs w:val="18"/>
          <w:color w:val="auto"/>
        </w:rPr>
        <w:t>Revolving credit facility ("Revolving Credit Facility") due December 2026; bearing interest at LIBOR plus 1.375%</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Tax-Exempt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11" w:lineRule="exact"/>
        <w:rPr>
          <w:sz w:val="20"/>
          <w:szCs w:val="20"/>
          <w:color w:val="auto"/>
        </w:rPr>
      </w:pPr>
    </w:p>
    <w:p>
      <w:pPr>
        <w:jc w:val="both"/>
        <w:ind w:left="20" w:right="28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2014 ("New York Bonds 2014R-1") due December 2044 - fixed rate interest period through 2029; bearing interest at 2.875%</w:t>
      </w:r>
    </w:p>
    <w:p>
      <w:pPr>
        <w:spacing w:after="0" w:line="2" w:lineRule="exact"/>
        <w:rPr>
          <w:sz w:val="20"/>
          <w:szCs w:val="20"/>
          <w:color w:val="auto"/>
        </w:rPr>
      </w:pPr>
    </w:p>
    <w:p>
      <w:pPr>
        <w:ind w:left="20" w:right="380"/>
        <w:spacing w:after="0" w:line="236"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2014R-2 ("New York Bonds 2014R-2") due December 2044 - fixed rate interest period through 2026; bearing interest at</w:t>
      </w:r>
    </w:p>
    <w:p>
      <w:pPr>
        <w:ind w:left="20"/>
        <w:spacing w:after="0"/>
        <w:rPr>
          <w:sz w:val="20"/>
          <w:szCs w:val="20"/>
          <w:color w:val="auto"/>
        </w:rPr>
      </w:pPr>
      <w:r>
        <w:rPr>
          <w:rFonts w:ascii="Times New Roman" w:cs="Times New Roman" w:eastAsia="Times New Roman" w:hAnsi="Times New Roman"/>
          <w:sz w:val="18"/>
          <w:szCs w:val="18"/>
          <w:color w:val="auto"/>
        </w:rPr>
        <w:t>3.125%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320"/>
        <w:spacing w:after="0" w:line="253" w:lineRule="auto"/>
        <w:rPr>
          <w:sz w:val="20"/>
          <w:szCs w:val="20"/>
          <w:color w:val="auto"/>
        </w:rPr>
      </w:pPr>
      <w:r>
        <w:rPr>
          <w:rFonts w:ascii="Times New Roman" w:cs="Times New Roman" w:eastAsia="Times New Roman" w:hAnsi="Times New Roman"/>
          <w:sz w:val="17"/>
          <w:szCs w:val="17"/>
          <w:color w:val="auto"/>
        </w:rPr>
        <w:t>New York State Environmental Facilities Corporation Solid Waste Disposal Revenue Bonds Series 2020 ("New York Bonds 2020") due September 2050 - fixed rate interest period through 2025; bearing interest at 2.750%</w:t>
      </w:r>
    </w:p>
    <w:p>
      <w:pPr>
        <w:spacing w:after="0" w:line="2"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2005R-3 ("FAME Bonds 2005R-3") due January 2025 - fixed rate interest period through 2025; bearing interest at 5.25%</w:t>
      </w:r>
    </w:p>
    <w:p>
      <w:pPr>
        <w:spacing w:after="0" w:line="10"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2015R-1 ("FAME Bonds 2015R-1") due August 2035 - fixed rate interest period through 2025; bearing interest at 5.125%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right="140"/>
        <w:spacing w:after="0" w:line="237" w:lineRule="auto"/>
        <w:rPr>
          <w:sz w:val="20"/>
          <w:szCs w:val="20"/>
          <w:color w:val="auto"/>
        </w:rPr>
      </w:pPr>
      <w:r>
        <w:rPr>
          <w:rFonts w:ascii="Times New Roman" w:cs="Times New Roman" w:eastAsia="Times New Roman" w:hAnsi="Times New Roman"/>
          <w:sz w:val="18"/>
          <w:szCs w:val="18"/>
          <w:color w:val="auto"/>
        </w:rPr>
        <w:t>Finance Authority of Maine Solid Waste Disposal Revenue Bonds Series 2015R-2 ("FAME Bonds 2015R-2") due August 2035 - fixed rate interest period through 2025; bearing interest at 4.375%</w:t>
      </w:r>
    </w:p>
    <w:p>
      <w:pPr>
        <w:spacing w:after="0" w:line="10" w:lineRule="exact"/>
        <w:rPr>
          <w:sz w:val="20"/>
          <w:szCs w:val="20"/>
          <w:color w:val="auto"/>
        </w:rPr>
      </w:pPr>
    </w:p>
    <w:p>
      <w:pPr>
        <w:ind w:left="20" w:right="520"/>
        <w:spacing w:after="0" w:line="256" w:lineRule="auto"/>
        <w:rPr>
          <w:sz w:val="20"/>
          <w:szCs w:val="20"/>
          <w:color w:val="auto"/>
        </w:rPr>
      </w:pPr>
      <w:r>
        <w:rPr>
          <w:rFonts w:ascii="Times New Roman" w:cs="Times New Roman" w:eastAsia="Times New Roman" w:hAnsi="Times New Roman"/>
          <w:sz w:val="17"/>
          <w:szCs w:val="17"/>
          <w:color w:val="auto"/>
        </w:rPr>
        <w:t>Vermont Economic Development Authority Solid Waste Disposal Long-Term Revenue Bonds Series 2013 ("Vermont Bonds 2013") due April 2036 - fixed rate interest period through 2028; bearing interest at 4.625%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both"/>
        <w:ind w:left="20" w:right="380"/>
        <w:spacing w:after="0" w:line="256" w:lineRule="auto"/>
        <w:rPr>
          <w:sz w:val="20"/>
          <w:szCs w:val="20"/>
          <w:color w:val="auto"/>
        </w:rPr>
      </w:pPr>
      <w:r>
        <w:rPr>
          <w:rFonts w:ascii="Times New Roman" w:cs="Times New Roman" w:eastAsia="Times New Roman" w:hAnsi="Times New Roman"/>
          <w:sz w:val="17"/>
          <w:szCs w:val="17"/>
          <w:color w:val="auto"/>
        </w:rPr>
        <w:t>Vermont Economic Development Authority Solid Waste Disposal Long-Term Revenue Bonds Series 2022A-1 ("Vermont Bonds 2022A-1") due June 2052 - fixed rate interest period through 2027; bearing interest at 5.00%</w:t>
      </w:r>
    </w:p>
    <w:p>
      <w:pPr>
        <w:spacing w:after="0" w:line="1" w:lineRule="exact"/>
        <w:rPr>
          <w:sz w:val="20"/>
          <w:szCs w:val="20"/>
          <w:color w:val="auto"/>
        </w:rPr>
      </w:pPr>
    </w:p>
    <w:p>
      <w:pPr>
        <w:jc w:val="both"/>
        <w:ind w:left="20" w:right="420"/>
        <w:spacing w:after="0" w:line="254" w:lineRule="auto"/>
        <w:rPr>
          <w:sz w:val="20"/>
          <w:szCs w:val="20"/>
          <w:color w:val="auto"/>
        </w:rPr>
      </w:pPr>
      <w:r>
        <w:rPr>
          <w:rFonts w:ascii="Times New Roman" w:cs="Times New Roman" w:eastAsia="Times New Roman" w:hAnsi="Times New Roman"/>
          <w:sz w:val="17"/>
          <w:szCs w:val="17"/>
          <w:color w:val="auto"/>
        </w:rPr>
        <w:t>Business Finance Authority of the State of New Hampshire Solid Waste Disposal Revenue Bonds Series 2013 ("New Hampshire Bonds") due April 2029 - fixed rate interest period through 2029; bearing interest at 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right="1380"/>
        <w:spacing w:after="0" w:line="276" w:lineRule="auto"/>
        <w:rPr>
          <w:sz w:val="20"/>
          <w:szCs w:val="20"/>
          <w:color w:val="auto"/>
        </w:rPr>
      </w:pPr>
      <w:r>
        <w:rPr>
          <w:rFonts w:ascii="Times New Roman" w:cs="Times New Roman" w:eastAsia="Times New Roman" w:hAnsi="Times New Roman"/>
          <w:sz w:val="18"/>
          <w:szCs w:val="18"/>
          <w:color w:val="auto"/>
        </w:rPr>
        <w:t>Finance leases maturing through December 2107; bearing interest at a weighted average of 3.6% Notes payable maturing through August 2024; bearing interest at a weighted average of 1.6%</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350,000</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4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59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419"/>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418"/>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454"/>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49,070</w:t>
            </w:r>
          </w:p>
        </w:tc>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45,724</w:t>
            </w:r>
          </w:p>
        </w:tc>
      </w:tr>
      <w:tr>
        <w:trPr>
          <w:trHeight w:val="232"/>
        </w:trPr>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4,846</w:t>
            </w:r>
          </w:p>
        </w:tc>
      </w:tr>
    </w:tbl>
    <w:p>
      <w:pPr>
        <w:spacing w:after="0" w:line="20" w:lineRule="exact"/>
        <w:rPr>
          <w:sz w:val="20"/>
          <w:szCs w:val="20"/>
          <w:color w:val="auto"/>
        </w:rPr>
      </w:pPr>
    </w:p>
    <w:p>
      <w:pPr>
        <w:sectPr>
          <w:pgSz w:w="11900" w:h="16838" w:orient="portrait"/>
          <w:cols w:equalWidth="0" w:num="2">
            <w:col w:w="8380" w:space="660"/>
            <w:col w:w="2200"/>
          </w:cols>
          <w:pgMar w:left="320" w:top="1103"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8260" w:type="dxa"/>
            <w:vAlign w:val="bottom"/>
            <w:tcBorders>
              <w:top w:val="single" w:sz="8" w:color="CCEEFF"/>
            </w:tcBorders>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Principal amount of debt</w:t>
            </w: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596,782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562,570</w:t>
            </w:r>
          </w:p>
        </w:tc>
      </w:tr>
      <w:tr>
        <w:trPr>
          <w:trHeight w:val="243"/>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xml:space="preserve">Less—unamortized debt issuance costs </w:t>
            </w:r>
            <w:r>
              <w:rPr>
                <w:rFonts w:ascii="Times New Roman" w:cs="Times New Roman" w:eastAsia="Times New Roman" w:hAnsi="Times New Roman"/>
                <w:sz w:val="14"/>
                <w:szCs w:val="14"/>
                <w:color w:val="auto"/>
              </w:rPr>
              <w:t>(1)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less unamortized debt issuance costs</w:t>
            </w: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586,799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552,404</w:t>
            </w:r>
          </w:p>
        </w:tc>
      </w:tr>
      <w:tr>
        <w:trPr>
          <w:trHeight w:val="230"/>
        </w:trPr>
        <w:tc>
          <w:tcPr>
            <w:tcW w:w="8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Less—current maturities of debt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r>
      <w:tr>
        <w:trPr>
          <w:trHeight w:val="248"/>
        </w:trPr>
        <w:tc>
          <w:tcPr>
            <w:tcW w:w="826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(1)</w:t>
            </w:r>
          </w:p>
        </w:tc>
        <w:tc>
          <w:tcPr>
            <w:tcW w:w="7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summary of unamortized debt issuance costs by debt instrument follows:</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64"/>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4"/>
                <w:szCs w:val="14"/>
                <w:color w:val="auto"/>
              </w:rPr>
            </w:pPr>
          </w:p>
        </w:tc>
        <w:tc>
          <w:tcPr>
            <w:tcW w:w="11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and Term Loan Facility (collectively, the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Bonds 2014R-1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 Bonds 2014R-2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Bonds 2020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FAME Bonds 2005R-3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FAME Bonds 2015R-1</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FAME Bonds 2015R-2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Vermont Bonds 2013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Vermont Bonds 2022A-1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New Hampshire Bonds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In the nine months ended September 30, 2022, we completed the issuance of $35,000 aggregate principal amount of Vermont Bonds 2022A-1. The Vermont Bonds 2022A-1, which are unsecured and guaranteed jointly and severally, fully and unconditionally by all of our significant wholly-owned subsidiaries, accrue interest at 5.00% per annum from June 1, 2022 through May 31, 2027, at which time they may be converted to a variable interest rate period or to a new term interest rate period. The Vermont Bonds 2022A-1 mature on June 1, 2052. We borrowed and used the proceeds from the Vermont Bonds 2022A-1 to finance or reimburse certain noncurrent asset costs associated with capital projects in the State of Vermont.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party to an amended and restated credit agreement ("Credit Agreement"), which provides for a $350,000 aggregate principal amount Term Loan Facility and a $300,000 Revolving Credit Facility, with a $75,000 sublimit for letters of credit. We have the right to request, at our discretion, an increase in the amount of loans under the Credit Facility by an aggregate amount of $125,000, subject to the terms and conditions set forth in the Credit Agreement. The Credit Facility has a 5-year term that matures in December 2026 and bears interest at a rate of LIBOR plus 1.375% per annum, which will be reduced to a rate of LIBOR plus as low as 1.125% upon us reaching a consolidated net leverage ratio of less than 2.25x. The Credit Agreement contains customary benchmark replacement provisions pursuant to which, upon certain triggering events, the LIBOR benchmark used to calculate the LIBOR rate will be replaced with a secured overnight financing rate, as adjusted, on the terms and conditions in the Credit Agreement. The Credit Facility is guaranteed jointly and severally, fully and unconditionally by all of our significant wholly-owned subsidiaries and secured by substantially all of our assets. As of September 30, 2022, further advances were available under the Revolving Credit Facility in the amount of $271,805. The available amount is net of outstanding irrevocable letters of credit totaling $28,195, and as of September 30, 2022 no amount had been drawn.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their fair value is recorded in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our active interest rate derivative agreements had total notional amounts of $190,000 and $195,000, respectively. According to the terms of the agreements, we receive interest based on the 1-month LIBOR index, in some instances restricted by a 0.0% floor, and pay interest at a weighted average rate of approximately 2.20%. The agreements mature between May 2023 and June 2027.</w:t>
      </w:r>
    </w:p>
    <w:p>
      <w:pPr>
        <w:spacing w:after="0" w:line="6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As of December 31, 2021, we had forward starting interest rate derivative agreements with a total notional amount of $85,000 outstanding. As of September 30, 2022, we have a forward starting interest rate derivative agreement with a total notional amount of $20,000 after considering any forward starting interest rate derivative agreements that became effective in the current period. According to the terms of this agreement, we will receive interest based on the 1-month LIBOR index, restricted by a 0.0% floor, and will pay interest at a rate of 1.29%. The agreement matures in May 2028.</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 summary of the effect of cash flow hedges related to derivative instruments on the consolidated balance sheet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1"/>
                <w:szCs w:val="11"/>
                <w:color w:val="auto"/>
              </w:rPr>
            </w:pPr>
          </w:p>
        </w:tc>
        <w:tc>
          <w:tcPr>
            <w:tcW w:w="1340" w:type="dxa"/>
            <w:vAlign w:val="bottom"/>
            <w:gridSpan w:val="2"/>
          </w:tcPr>
          <w:p>
            <w:pPr>
              <w:ind w:left="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1"/>
                <w:szCs w:val="11"/>
                <w:color w:val="auto"/>
              </w:rPr>
            </w:pPr>
          </w:p>
        </w:tc>
        <w:tc>
          <w:tcPr>
            <w:tcW w:w="1140" w:type="dxa"/>
            <w:vAlign w:val="bottom"/>
          </w:tcPr>
          <w:p>
            <w:pPr>
              <w:jc w:val="right"/>
              <w:ind w:right="21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8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accordance with FASB ASC 450 - Contingencies, we accrue for legal proceedings, inclusive of legal costs, when losses become probable and reasonably estimable. We have recorded an aggregate accrual of $1,071 relating to our outstanding legal proceedings as of September 30, 2022.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Country Environmental Services Expansion Permit</w:t>
      </w:r>
    </w:p>
    <w:p>
      <w:pPr>
        <w:spacing w:after="0" w:line="11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October 9, 2020, our subsidiary, North Country Environmental Services, Inc. ("NCES"), received a Type I-A Permit Modification ("Permit") for Expansion in the Stage VI area of the NCES landfill located in Bethlehem, New Hampshire. On November 9, 2020, the Conservation Law Foundation ("CLF") filed an appeal of the Permit to the New Hampshire Waste Management Council (“Council”) on the grounds it failed to meet the public benefit criteria.</w:t>
      </w:r>
    </w:p>
    <w:p>
      <w:pPr>
        <w:spacing w:after="0" w:line="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Throughout 2021 and early 2022 a number of motions were filed by both NCES and CLF with the Council and in February 2022 the Council held a hearing on the CLF appeal.</w:t>
      </w:r>
    </w:p>
    <w:p>
      <w:pPr>
        <w:spacing w:after="0" w:line="5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Council ruled in favor of NCES on all motions concerning questions of fact, and indicating that a written decision incorporating the Hearing Officer’s decision as to questions of law would follow. On May 11, 2022, an Order was issued denying all of CLF’s arguments on appeal, with the exception of one; the Hearing Officer held that based on his interpretation of the relevant statute, the public benefit determination made by the New Hampshire Department of Environmental Services (“DES”), in issuing the Permit to NCES, was unlawful, and remanded the Permit to the DES with regard to this determination.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220"/>
        <w:spacing w:after="0" w:line="266" w:lineRule="auto"/>
        <w:rPr>
          <w:sz w:val="20"/>
          <w:szCs w:val="20"/>
          <w:color w:val="auto"/>
        </w:rPr>
      </w:pPr>
      <w:r>
        <w:rPr>
          <w:rFonts w:ascii="Times New Roman" w:cs="Times New Roman" w:eastAsia="Times New Roman" w:hAnsi="Times New Roman"/>
          <w:sz w:val="18"/>
          <w:szCs w:val="18"/>
          <w:color w:val="auto"/>
        </w:rPr>
        <w:t>DES filed a Motion for Reconsideration with the Council on May 31, 2022 (“DES Reconsideration Motion”) and NCES filed a Motion for Rehearing on June 10, 2022 (“NCES Rehearing Motion”). The Hearing Officer suspended his May 11, 2022 decision by Order dated June 20, 2022, pending consideration of the DES Reconsideration Motion and NCES Rehearing Motion.</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September 20, 2022, NCES and our subsidiary, Granite State Landfill, LLC (“GSL”), filed a Petition for Declaratory Judgment ("Petition") in Merrimack Superior Court seeking a determination of the meaning and constitutionality of New Hampshire’s public benefit requirement. On September 21, 2022, NCES filed a Motion to Stay the Council proceedings pending resolution of the Petition action. DES assented to the relief sought by that motion, and CLF filed an Objection to the Motion to Stay on September 26, 2022. On October 3, 2022, NCES filed a Motion for Leave to File Reply together with its Reply to CLF’s Objection to Motion to Stay. The aforesaid Motions remain pending before the Council as does the Petition before the Merrimack Superior Court. NCES will continue to vigorously defend the litigation before the Council and together with GSL will continue to pursue Declaratory Judgment before the Merrimack Superior Court.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8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inflate the estimated costs in current dollars to the expected time of payment and discount the total cost to present value using a risk-free interest rate. The risk-free interest rates associated with our environmental remediation liabilities as of September 30, 2022 range between 1.5% and 4.1%. A summary of the changes to the aggregate environmental remediation liabilities for the nine months ended September 30, 2022 and 2021 follows:</w:t>
      </w:r>
    </w:p>
    <w:p>
      <w:pPr>
        <w:spacing w:after="0" w:line="102"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60" w:type="dxa"/>
            <w:vAlign w:val="bottom"/>
            <w:tcBorders>
              <w:bottom w:val="single" w:sz="8" w:color="CCEEFF"/>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r>
      <w:tr>
        <w:trPr>
          <w:trHeight w:val="229"/>
        </w:trPr>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incurred </w:t>
            </w:r>
            <w:r>
              <w:rPr>
                <w:rFonts w:ascii="Times New Roman" w:cs="Times New Roman" w:eastAsia="Times New Roman" w:hAnsi="Times New Roman"/>
                <w:sz w:val="14"/>
                <w:szCs w:val="14"/>
                <w:color w:val="auto"/>
              </w:rPr>
              <w:t>(1)</w:t>
            </w:r>
          </w:p>
        </w:tc>
        <w:tc>
          <w:tcPr>
            <w:tcW w:w="1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Obligations settled </w:t>
            </w:r>
            <w:r>
              <w:rPr>
                <w:rFonts w:ascii="Times New Roman" w:cs="Times New Roman" w:eastAsia="Times New Roman" w:hAnsi="Times New Roman"/>
                <w:sz w:val="14"/>
                <w:szCs w:val="14"/>
                <w:color w:val="auto"/>
              </w:rPr>
              <w:t>(2)</w:t>
            </w:r>
          </w:p>
        </w:tc>
        <w:tc>
          <w:tcPr>
            <w:tcW w:w="1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5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152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Associated with the investigation of potential remediation at an inactive waste disposal site that adjoins one of the landfills that we operate.</w:t>
      </w:r>
    </w:p>
    <w:p>
      <w:pPr>
        <w:spacing w:after="0" w:line="11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May include amounts paid and amounts that are being processed through accounts payable as a part of our disbursement cycle.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9" w:name="page20"/>
    <w:bookmarkEnd w:id="19"/>
    <w:p>
      <w:pPr>
        <w:ind w:right="860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Stock Based Compensation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2022, there were 793 Class A common stock equivalents available for future grant under the 2016 Plan.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Stock options are granted at a price equal to the prevailing fair value of our Class A common stock at the date of grant. Generally, stock options granted have a term not to exceed ten years and vest over a one-year to five-year period from the date of grant.</w:t>
      </w:r>
    </w:p>
    <w:p>
      <w:pPr>
        <w:spacing w:after="0" w:line="5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September 30, 2022</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stock options was $89 and $122 during the three and nine months ended September 30, 2022, respectively, as compared to $11 during both the three and nine months ended September 30, 2021. As of September 30, 2022, we had $2,225 of unrecognized stock-based compensation expense related to outstanding stock options to be recognized over a weighted average period of 4.7 years.</w:t>
      </w:r>
    </w:p>
    <w:p>
      <w:pPr>
        <w:spacing w:after="0" w:line="68"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aggregate intrinsic value of stock options exercised was zero dollars and $1,467,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Stock Awards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typically three years,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A summary of restricted stock award, restricted stock unit and performance stock unit activity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Stock Awards,</w:t>
            </w:r>
          </w:p>
        </w:tc>
        <w:tc>
          <w:tcPr>
            <w:tcW w:w="15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2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52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and Performance Stock Units</w:t>
            </w:r>
          </w:p>
        </w:tc>
        <w:tc>
          <w:tcPr>
            <w:tcW w:w="920" w:type="dxa"/>
            <w:vAlign w:val="bottom"/>
          </w:tcPr>
          <w:p>
            <w:pPr>
              <w:jc w:val="center"/>
              <w:ind w:left="37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920" w:type="dxa"/>
            <w:vAlign w:val="bottom"/>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Term (years)</w:t>
            </w:r>
          </w:p>
        </w:tc>
        <w:tc>
          <w:tcPr>
            <w:tcW w:w="20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September 30, 2022</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31,751</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right="460" w:hanging="652"/>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performance stock unit grants are included at the 100% attainment level. Attainment of the maximum performance targets and market achievements would result in the issuance of an additional 184 shares of Class A common stock currently included in unvested.</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restricted stock awards, restricted stock units and performance stock units was $2,225 and $5,204 during the three and nine months ended September 30, 2022, respectively, as compared to $2,576 and $8,505 during the three and nine months ended September 30, 2021,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 total fair value of other stock awards vested was $218 and $5,577, respectively.</w:t>
      </w:r>
    </w:p>
    <w:p>
      <w:pPr>
        <w:spacing w:after="0" w:line="11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As of September 30, 2022, total unrecognized stock-based compensation expense related to outstanding restricted stock awards was $46, which will be recognized over a weighted average period of 1.3 years. As of September 30, 2022, total unrecognized stock-based compensation expense related to outstanding restricted stock units was $4,611, which will be recognized over a weighted average period of 1.8 years. As of September 30, 2022, total expected unrecognized stock-based compensation expense related to outstanding performance stock units was $5,592 to be recognized over a weighted average period of 1.6 years.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recorded $97 and $262 of stock-based compensation expense related to our Amended and Restated 1997 Employee Stock Purchase Plan during the three and nine months ended September 30, 2022, respectively, as compared to $67 and $196 during the three and nine months ended September 30, 2021,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 Net of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balances of each component of accumulated other comprehensive income (loss), net of tax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Interest Rate Swaps</w:t>
            </w:r>
          </w:p>
        </w:tc>
      </w:tr>
      <w:tr>
        <w:trPr>
          <w:trHeight w:val="23"/>
        </w:trPr>
        <w:tc>
          <w:tcPr>
            <w:tcW w:w="9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w:t>
            </w:r>
          </w:p>
        </w:tc>
      </w:tr>
      <w:tr>
        <w:trPr>
          <w:trHeight w:val="230"/>
        </w:trPr>
        <w:tc>
          <w:tcPr>
            <w:tcW w:w="9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15,138</w:t>
            </w:r>
          </w:p>
        </w:tc>
      </w:tr>
      <w:tr>
        <w:trPr>
          <w:trHeight w:val="229"/>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9"/>
        </w:trPr>
        <w:tc>
          <w:tcPr>
            <w:tcW w:w="9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 related to items of other comprehensive income</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23"/>
        </w:trPr>
        <w:tc>
          <w:tcPr>
            <w:tcW w:w="9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current-period other comprehensive income</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5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7,930</w:t>
            </w:r>
          </w:p>
        </w:tc>
      </w:tr>
      <w:tr>
        <w:trPr>
          <w:trHeight w:val="20"/>
        </w:trPr>
        <w:tc>
          <w:tcPr>
            <w:tcW w:w="9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reclassifications out of accumulated other comprehensive income (loss), net of tax into earnings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9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180" w:type="dxa"/>
            <w:vAlign w:val="bottom"/>
          </w:tcPr>
          <w:p>
            <w:pPr>
              <w:spacing w:after="0"/>
              <w:rPr>
                <w:sz w:val="13"/>
                <w:szCs w:val="13"/>
                <w:color w:val="auto"/>
              </w:rPr>
            </w:pPr>
          </w:p>
        </w:tc>
      </w:tr>
      <w:tr>
        <w:trPr>
          <w:trHeight w:val="196"/>
        </w:trPr>
        <w:tc>
          <w:tcPr>
            <w:tcW w:w="3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7"/>
                <w:szCs w:val="17"/>
                <w:color w:val="auto"/>
              </w:rPr>
            </w:pPr>
          </w:p>
        </w:tc>
        <w:tc>
          <w:tcPr>
            <w:tcW w:w="1940" w:type="dxa"/>
            <w:vAlign w:val="bottom"/>
            <w:gridSpan w:val="4"/>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180" w:type="dxa"/>
            <w:vAlign w:val="bottom"/>
          </w:tcPr>
          <w:p>
            <w:pPr>
              <w:spacing w:after="0"/>
              <w:rPr>
                <w:sz w:val="17"/>
                <w:szCs w:val="17"/>
                <w:color w:val="auto"/>
              </w:rPr>
            </w:pPr>
          </w:p>
        </w:tc>
      </w:tr>
      <w:tr>
        <w:trPr>
          <w:trHeight w:val="196"/>
        </w:trPr>
        <w:tc>
          <w:tcPr>
            <w:tcW w:w="36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180" w:type="dxa"/>
            <w:vAlign w:val="bottom"/>
          </w:tcPr>
          <w:p>
            <w:pPr>
              <w:spacing w:after="0"/>
              <w:rPr>
                <w:sz w:val="17"/>
                <w:szCs w:val="17"/>
                <w:color w:val="auto"/>
              </w:rPr>
            </w:pPr>
          </w:p>
        </w:tc>
      </w:tr>
      <w:tr>
        <w:trPr>
          <w:trHeight w:val="135"/>
        </w:trPr>
        <w:tc>
          <w:tcPr>
            <w:tcW w:w="3600" w:type="dxa"/>
            <w:vAlign w:val="bottom"/>
          </w:tcPr>
          <w:p>
            <w:pPr>
              <w:jc w:val="center"/>
              <w:ind w:right="2"/>
              <w:spacing w:after="0" w:line="135" w:lineRule="exact"/>
              <w:rPr>
                <w:sz w:val="20"/>
                <w:szCs w:val="20"/>
                <w:color w:val="auto"/>
              </w:rPr>
            </w:pPr>
            <w:r>
              <w:rPr>
                <w:rFonts w:ascii="Times New Roman" w:cs="Times New Roman" w:eastAsia="Times New Roman" w:hAnsi="Times New Roman"/>
                <w:sz w:val="14"/>
                <w:szCs w:val="14"/>
                <w:b w:val="1"/>
                <w:bCs w:val="1"/>
                <w:color w:val="auto"/>
              </w:rPr>
              <w:t>Details About Accumulated Other Comprehensive</w:t>
            </w:r>
          </w:p>
        </w:tc>
        <w:tc>
          <w:tcPr>
            <w:tcW w:w="160" w:type="dxa"/>
            <w:vAlign w:val="bottom"/>
          </w:tcPr>
          <w:p>
            <w:pPr>
              <w:spacing w:after="0"/>
              <w:rPr>
                <w:sz w:val="11"/>
                <w:szCs w:val="11"/>
                <w:color w:val="auto"/>
              </w:rPr>
            </w:pPr>
          </w:p>
        </w:tc>
        <w:tc>
          <w:tcPr>
            <w:tcW w:w="4260" w:type="dxa"/>
            <w:vAlign w:val="bottom"/>
            <w:gridSpan w:val="10"/>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Amounts Reclassified Out of Accumulated Other Comprehensive</w:t>
            </w:r>
          </w:p>
        </w:tc>
        <w:tc>
          <w:tcPr>
            <w:tcW w:w="3180" w:type="dxa"/>
            <w:vAlign w:val="bottom"/>
          </w:tcPr>
          <w:p>
            <w:pPr>
              <w:ind w:left="440"/>
              <w:spacing w:after="0" w:line="135" w:lineRule="exact"/>
              <w:rPr>
                <w:sz w:val="20"/>
                <w:szCs w:val="20"/>
                <w:color w:val="auto"/>
              </w:rPr>
            </w:pPr>
            <w:r>
              <w:rPr>
                <w:rFonts w:ascii="Times New Roman" w:cs="Times New Roman" w:eastAsia="Times New Roman" w:hAnsi="Times New Roman"/>
                <w:sz w:val="14"/>
                <w:szCs w:val="14"/>
                <w:b w:val="1"/>
                <w:bCs w:val="1"/>
                <w:color w:val="auto"/>
              </w:rPr>
              <w:t>Affected Line Item in the Consolidated</w:t>
            </w:r>
          </w:p>
        </w:tc>
      </w:tr>
      <w:tr>
        <w:trPr>
          <w:trHeight w:val="196"/>
        </w:trPr>
        <w:tc>
          <w:tcPr>
            <w:tcW w:w="360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Income (Loss), Net of Tax Components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 Net of Tax</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r>
      <w:tr>
        <w:trPr>
          <w:trHeight w:val="236"/>
        </w:trPr>
        <w:tc>
          <w:tcPr>
            <w:tcW w:w="36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center"/>
              <w:ind w:left="479"/>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r>
      <w:tr>
        <w:trPr>
          <w:trHeight w:val="223"/>
        </w:trPr>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center"/>
              <w:ind w:left="439"/>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r>
      <w:tr>
        <w:trPr>
          <w:trHeight w:val="229"/>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379"/>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3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3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color w:val="auto"/>
                <w:w w:val="99"/>
              </w:rPr>
              <w:t>(14)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3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3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A summary of the numerator and denominators used in the computation of earnings per share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2400" w:type="dxa"/>
            <w:vAlign w:val="bottom"/>
            <w:gridSpan w:val="4"/>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8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22,672</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15,861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44,658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Denominators:</w:t>
            </w: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shares outstanding, end of period:</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50,692</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50,410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50,410</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B common stock</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weighted average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51,677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51,389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Impact of potentially dilutive securities: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 and other stock awards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51,806</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51,586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potentially issuable shares</w:t>
            </w: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right="8200" w:firstLine="8"/>
        <w:spacing w:after="0" w:line="400" w:lineRule="auto"/>
        <w:tabs>
          <w:tab w:leader="none" w:pos="395"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ITEMS AND CHARGES Expense from Acquisition Activities</w:t>
      </w: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2022, we recorded charges of $816 and $3,878, respectively, and in the three and nine months ended September 30, 2021, we recorded charges of $1,904 and $3,950, respectively, comprised primarily of legal, consulting and other similar costs associated with due diligence and the acquisition and integration of acquired businesses or select development projects.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Remediation Charge</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2022, we recorded a charge of $759 associated with the investigation of potential remediation at an inactive waste disposal site that adjoins one of the landfills we operate.</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Accounted for at Fair Value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one-month LIBOR yield curves that are observable at commonly quoted intervals for the full term of the swaps. We recognize all derivatives accounted for on the balance sheet at fair value.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Summaries of our financial assets and liabilities that are measured at fair value on a recurring basis follow: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80" w:type="dxa"/>
            <w:vAlign w:val="bottom"/>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at September 30, 2022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59"/>
              <w:spacing w:after="0" w:line="146"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2"/>
                <w:szCs w:val="12"/>
                <w:color w:val="auto"/>
              </w:rPr>
            </w:pPr>
          </w:p>
        </w:tc>
        <w:tc>
          <w:tcPr>
            <w:tcW w:w="15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6"/>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6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7"/>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2021 Using:</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 w:type="dxa"/>
            <w:vAlign w:val="bottom"/>
          </w:tcPr>
          <w:p>
            <w:pPr>
              <w:spacing w:after="0"/>
              <w:rPr>
                <w:sz w:val="11"/>
                <w:szCs w:val="11"/>
                <w:color w:val="auto"/>
              </w:rPr>
            </w:pPr>
          </w:p>
        </w:tc>
        <w:tc>
          <w:tcPr>
            <w:tcW w:w="1500" w:type="dxa"/>
            <w:vAlign w:val="bottom"/>
          </w:tcPr>
          <w:p>
            <w:pPr>
              <w:jc w:val="center"/>
              <w:ind w:right="59"/>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6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September 30, 2022, the fair value of our fixed rate debt, including our FAME Bonds 2005R-3, FAME Bonds 2015R-1, FAME Bonds 2015R-2, Vermont Bonds 2013, Vermont Bonds 2022A-1, New York Bonds 2014R-1, New York Bonds 2014R-2, New York Bonds 2020 and New Hampshire Bonds (collectively, the "Industrial Revenue Bonds") was approximately $185,533 and the carrying value was $197,000. The fair value of the Industrial Revenue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7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September 30, 2022, the carrying value of our Term Loan Facility was $350,000 and the carrying value of our Revolving Credit Facility was zero dollars. Their fair values are based on current borrowing rates for similar types of borrowing arrangements, or Level 2 inputs, and approximate their carrying values.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have determined the estimated fair value amounts of the Industrial Revenue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report selected information about our reportable operating segments in a manner consistent with that used for internal management reporting. We classify our solid waste operations on a geographic basis through regional operating segments, our Eastern and Western regions. Revenues associated with our solid waste operations are derived mainly from solid waste collection and disposal services, including landfill, transfer station and transportation services, landfill gas-to-energy services, and processing services in the northeastern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derived from two lines-of-service: processing and non-processing. Revenues from processing services are derived from customers in the form of processing fees, tipping fees, commodity sales, and organic material sales. Revenues from non-processing services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725,232</w:t>
            </w:r>
          </w:p>
        </w:tc>
        <w:tc>
          <w:tcPr>
            <w:tcW w:w="0" w:type="dxa"/>
            <w:vAlign w:val="bottom"/>
          </w:tcPr>
          <w:p>
            <w:pPr>
              <w:spacing w:after="0"/>
              <w:rPr>
                <w:sz w:val="1"/>
                <w:szCs w:val="1"/>
                <w:color w:val="auto"/>
              </w:rPr>
            </w:pPr>
          </w:p>
        </w:tc>
      </w:tr>
      <w:tr>
        <w:trPr>
          <w:trHeight w:val="229"/>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189,854</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122,311</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1,399,347</w:t>
            </w:r>
          </w:p>
        </w:tc>
        <w:tc>
          <w:tcPr>
            <w:tcW w:w="0" w:type="dxa"/>
            <w:vAlign w:val="bottom"/>
          </w:tcPr>
          <w:p>
            <w:pPr>
              <w:spacing w:after="0"/>
              <w:rPr>
                <w:sz w:val="1"/>
                <w:szCs w:val="1"/>
                <w:color w:val="auto"/>
              </w:rPr>
            </w:pPr>
          </w:p>
        </w:tc>
      </w:tr>
      <w:tr>
        <w:trPr>
          <w:trHeight w:val="21"/>
        </w:trPr>
        <w:tc>
          <w:tcPr>
            <w:tcW w:w="3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gridSpan w:val="4"/>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9"/>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352,067</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673,608</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126,529</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128,193</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1,280,397</w:t>
            </w:r>
          </w:p>
        </w:tc>
        <w:tc>
          <w:tcPr>
            <w:tcW w:w="0" w:type="dxa"/>
            <w:vAlign w:val="bottom"/>
          </w:tcPr>
          <w:p>
            <w:pPr>
              <w:spacing w:after="0"/>
              <w:rPr>
                <w:sz w:val="1"/>
                <w:szCs w:val="1"/>
                <w:color w:val="auto"/>
              </w:rPr>
            </w:pPr>
          </w:p>
        </w:tc>
      </w:tr>
      <w:tr>
        <w:trPr>
          <w:trHeight w:val="20"/>
        </w:trPr>
        <w:tc>
          <w:tcPr>
            <w:tcW w:w="3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370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251,720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361,950</w:t>
            </w:r>
          </w:p>
        </w:tc>
        <w:tc>
          <w:tcPr>
            <w:tcW w:w="0" w:type="dxa"/>
            <w:vAlign w:val="bottom"/>
          </w:tcPr>
          <w:p>
            <w:pPr>
              <w:spacing w:after="0"/>
              <w:rPr>
                <w:sz w:val="1"/>
                <w:szCs w:val="1"/>
                <w:color w:val="auto"/>
              </w:rPr>
            </w:pPr>
          </w:p>
        </w:tc>
      </w:tr>
      <w:tr>
        <w:trPr>
          <w:trHeight w:val="230"/>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725,232</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189,854</w:t>
            </w:r>
          </w:p>
        </w:tc>
        <w:tc>
          <w:tcPr>
            <w:tcW w:w="0" w:type="dxa"/>
            <w:vAlign w:val="bottom"/>
          </w:tcPr>
          <w:p>
            <w:pPr>
              <w:spacing w:after="0"/>
              <w:rPr>
                <w:sz w:val="1"/>
                <w:szCs w:val="1"/>
                <w:color w:val="auto"/>
              </w:rPr>
            </w:pPr>
          </w:p>
        </w:tc>
      </w:tr>
      <w:tr>
        <w:trPr>
          <w:trHeight w:val="229"/>
        </w:trPr>
        <w:tc>
          <w:tcPr>
            <w:tcW w:w="3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122,311</w:t>
            </w:r>
          </w:p>
        </w:tc>
        <w:tc>
          <w:tcPr>
            <w:tcW w:w="0" w:type="dxa"/>
            <w:vAlign w:val="bottom"/>
          </w:tcPr>
          <w:p>
            <w:pPr>
              <w:spacing w:after="0"/>
              <w:rPr>
                <w:sz w:val="1"/>
                <w:szCs w:val="1"/>
                <w:color w:val="auto"/>
              </w:rPr>
            </w:pPr>
          </w:p>
        </w:tc>
      </w:tr>
      <w:tr>
        <w:trPr>
          <w:trHeight w:val="230"/>
        </w:trPr>
        <w:tc>
          <w:tcPr>
            <w:tcW w:w="37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1,399,347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8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Outside</w:t>
            </w:r>
          </w:p>
        </w:tc>
        <w:tc>
          <w:tcPr>
            <w:tcW w:w="180" w:type="dxa"/>
            <w:vAlign w:val="bottom"/>
          </w:tcPr>
          <w:p>
            <w:pPr>
              <w:spacing w:after="0"/>
              <w:rPr>
                <w:sz w:val="13"/>
                <w:szCs w:val="13"/>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Inter-company</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00" w:type="dxa"/>
            <w:vAlign w:val="bottom"/>
          </w:tcPr>
          <w:p>
            <w:pPr>
              <w:spacing w:after="0"/>
              <w:rPr>
                <w:sz w:val="13"/>
                <w:szCs w:val="13"/>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20" w:type="dxa"/>
            <w:vAlign w:val="bottom"/>
          </w:tcPr>
          <w:p>
            <w:pPr>
              <w:spacing w:after="0"/>
              <w:rPr>
                <w:sz w:val="13"/>
                <w:szCs w:val="13"/>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32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352,067</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673,608</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128,193</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647,375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74,510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61,343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1,280,397</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revenues attributable to services provided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5"/>
        </w:trPr>
        <w:tc>
          <w:tcPr>
            <w:tcW w:w="52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144,117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400,910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142,618</w:t>
            </w: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generation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r>
      <w:tr>
        <w:trPr>
          <w:trHeight w:val="223"/>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215,040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476,696</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65,721</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104,958</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228,616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170,679</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647,375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Financial Condition and Results of Operations</w:t>
      </w:r>
      <w:r>
        <w:rPr>
          <w:rFonts w:ascii="Times New Roman" w:cs="Times New Roman" w:eastAsia="Times New Roman" w:hAnsi="Times New Roman"/>
          <w:sz w:val="18"/>
          <w:szCs w:val="18"/>
          <w:color w:val="auto"/>
        </w:rPr>
        <w:t>" appearing in our Annual Report on Form 10-K for the fiscal year ended December 31, 2021 filed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Securities and Exchange Commission on February 18, 2022.</w:t>
      </w:r>
    </w:p>
    <w:p>
      <w:pPr>
        <w:spacing w:after="0" w:line="70"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This Quarterly Report on Form 10-Q and, in particular, this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6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development of additional disposal capacity or expectations regarding permits for existing capacity;</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regulatory matter;</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liquidity and financing plans;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future revenues, operations, expenditures and cash needs;</w:t>
      </w:r>
    </w:p>
    <w:p>
      <w:pPr>
        <w:spacing w:after="0" w:line="117" w:lineRule="exact"/>
        <w:rPr>
          <w:rFonts w:ascii="Times New Roman" w:cs="Times New Roman" w:eastAsia="Times New Roman" w:hAnsi="Times New Roman"/>
          <w:sz w:val="18"/>
          <w:szCs w:val="18"/>
          <w:color w:val="auto"/>
        </w:rPr>
      </w:pPr>
    </w:p>
    <w:p>
      <w:pPr>
        <w:ind w:left="660" w:right="840" w:hanging="652"/>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commodity pricing of our recyclables, increases in landfill tipping fees and fuel costs and general economic and weather conditions;</w:t>
      </w:r>
    </w:p>
    <w:p>
      <w:pPr>
        <w:spacing w:after="0" w:line="53"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obligations related to final capping, closure and post-closure costs of our existing landfills and any disposal facilities which we may own or operate in the future;</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losses and tax positions;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recoverability or impairment of any of our assets or goodwill;</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potential markets for our products and services, including the anticipated drivers for future growth;</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plans or price and volume assumptions;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combinations or divestitures; and</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December 31, 2021 and those included under Part II, Item 1A of this Quarterly Report on Form 10-Q.</w:t>
      </w:r>
    </w:p>
    <w:p>
      <w:pPr>
        <w:spacing w:after="0" w:line="6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w:t>
      </w:r>
    </w:p>
    <w:p>
      <w:pPr>
        <w:spacing w:after="0" w:line="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As of October 15, 2022, we owned and/or operated 49 solid waste collection operations, 65 transfer stations, 26 recycling facilities, eight Subtitle D landfills, three landfill gas-to-energy facilities and one landfill permitted to accept construction and demolition (“C&amp;D”)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services, including landfill, transfer station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property owners or occupants.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and non-processing services. Revenues from processing services are derived from customers in the form of processing fees, tipping fees, and commodity sales, primarily comprised of newspaper, corrugated containers, plastics, ferrous and aluminum, and organic materials such as our earthlife® soils products including fertilizers, composts and mulches. Revenues from non-processing services are derived from brokerage services and overall resource management services providing a wide range of environmental services and resource management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A summary of revenues attributable to services provided (dollars in millions and as a percentage of total revenues)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6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gridSpan w:val="3"/>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1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Collection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18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Solid waste</w:t>
            </w: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Non-processing</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Resource solutions</w:t>
            </w: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48"/>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c>
          <w:tcPr>
            <w:tcW w:w="160" w:type="dxa"/>
            <w:vAlign w:val="bottom"/>
          </w:tcPr>
          <w:p>
            <w:pPr>
              <w:spacing w:after="0"/>
              <w:rPr>
                <w:sz w:val="17"/>
                <w:szCs w:val="17"/>
                <w:color w:val="auto"/>
              </w:rPr>
            </w:pPr>
          </w:p>
        </w:tc>
        <w:tc>
          <w:tcPr>
            <w:tcW w:w="30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Solid waste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million from favorable collection pricing; and</w:t>
      </w:r>
    </w:p>
    <w:p>
      <w:pPr>
        <w:spacing w:after="0" w:line="63" w:lineRule="exact"/>
        <w:rPr>
          <w:rFonts w:ascii="Times New Roman" w:cs="Times New Roman" w:eastAsia="Times New Roman" w:hAnsi="Times New Roman"/>
          <w:sz w:val="18"/>
          <w:szCs w:val="18"/>
          <w:color w:val="auto"/>
        </w:rPr>
      </w:pPr>
    </w:p>
    <w:p>
      <w:pPr>
        <w:ind w:left="460" w:right="520" w:hanging="331"/>
        <w:spacing w:after="0" w:line="282" w:lineRule="auto"/>
        <w:tabs>
          <w:tab w:leader="none" w:pos="4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from favorable disposal pricing associated with our landfills, transfer stations and, to a lesser extent, transportation services in our Western region.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million from favorable collection pricing; and</w:t>
      </w:r>
    </w:p>
    <w:p>
      <w:pPr>
        <w:spacing w:after="0" w:line="63" w:lineRule="exact"/>
        <w:rPr>
          <w:rFonts w:ascii="Times New Roman" w:cs="Times New Roman" w:eastAsia="Times New Roman" w:hAnsi="Times New Roman"/>
          <w:sz w:val="18"/>
          <w:szCs w:val="18"/>
          <w:color w:val="auto"/>
        </w:rPr>
      </w:pPr>
    </w:p>
    <w:p>
      <w:pPr>
        <w:ind w:left="460" w:right="520" w:hanging="331"/>
        <w:spacing w:after="0" w:line="282" w:lineRule="auto"/>
        <w:tabs>
          <w:tab w:leader="none" w:pos="4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million from favorable disposal pricing associated with our landfills, transfer stations and, to a lesser extent, transportation services in our Western region.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Volume.</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volume change component in quarterly solid waste revenues growth from the prior year period is the result of higher disposal volumes ($2.1 million relates to higher third-party landfill volumes, $0.7 million relates to higher transfer station volumes and $0.7 million relates to higher transportation volumes).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volume change component in year-to-date solid waste revenues growth from the prior year period is the result of higher disposal volumes ($3.2 million relates to higher third-party landfill volumes, $2.2 million relates to higher transfer station volumes and $1.5 million relates to higher transportation volumes).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The surcharges and other fees change components in quarterly and year-to-date solid waste revenues growth from the prior year periods are the result of higher energy and environmental fee ("E&amp;E Fee") revenues and higher sustainability recycling adjustment fee ("SRA Fee") revenues. Higher E&amp;E Fee revenues associated with our fuel cost recovery program were a result of higher diesel fuel prices. Higher SRA Fee revenues were a result of lower recycled commodity prices in the quarter and a higher overall customer participation rate. 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E&amp;E Fee and SRA Fee.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commodity price and volume change components in quarterly and year-to-date solid waste revenues growth from the prior year periods are due primarily to favorable energy pricing and, to a lesser extent, higher landfill gas-to-energy and commodity processing volumes.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acquisitions change components in quarterly and year-to-date solid waste revenues growth from the prior year periods are the result of increased acquisition activity within our Eastern and Western region operating segments in line with our growth strategy, including the timing and acquisition of ten businesses in the nine months ended September 30, 2022 and ten businesses in the fiscal year ended December 31,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Resource Solutions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component in quarterly Resource Solutions revenues growth of $17.0 million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from acquisition activity; and</w:t>
      </w:r>
    </w:p>
    <w:p>
      <w:pPr>
        <w:spacing w:after="0" w:line="63" w:lineRule="exact"/>
        <w:rPr>
          <w:rFonts w:ascii="Times New Roman" w:cs="Times New Roman" w:eastAsia="Times New Roman" w:hAnsi="Times New Roman"/>
          <w:sz w:val="18"/>
          <w:szCs w:val="18"/>
          <w:color w:val="auto"/>
        </w:rPr>
      </w:pPr>
    </w:p>
    <w:p>
      <w:pPr>
        <w:ind w:left="460" w:right="140" w:hanging="331"/>
        <w:spacing w:after="0" w:line="281"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million from higher non-processing revenues due to higher volumes on organic business growth, favorable pricing and increased fees; partially offset by</w:t>
      </w:r>
    </w:p>
    <w:p>
      <w:pPr>
        <w:spacing w:after="0" w:line="1" w:lineRule="exact"/>
        <w:rPr>
          <w:rFonts w:ascii="Times New Roman" w:cs="Times New Roman" w:eastAsia="Times New Roman" w:hAnsi="Times New Roman"/>
          <w:sz w:val="18"/>
          <w:szCs w:val="18"/>
          <w:color w:val="auto"/>
        </w:rPr>
      </w:pPr>
    </w:p>
    <w:p>
      <w:pPr>
        <w:ind w:left="460" w:right="300" w:hanging="331"/>
        <w:spacing w:after="0" w:line="281" w:lineRule="auto"/>
        <w:tabs>
          <w:tab w:leader="none" w:pos="4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primarily from the unfavorable impact of decreasing recycled commodity pricing on processing revenues, partially offset by higher tipping fees; and</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from lower processing volumes mainly driven by lower recycled commodity volumes.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component in year-to-date Resource Solutions revenues growth of $58.0 million from the prior year period is the result of the following:</w:t>
      </w:r>
    </w:p>
    <w:p>
      <w:pPr>
        <w:spacing w:after="0" w:line="117" w:lineRule="exact"/>
        <w:rPr>
          <w:sz w:val="20"/>
          <w:szCs w:val="20"/>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$38.0 million from acquisition activity;</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million from higher non-processing revenues due to higher volumes on organic business growth, favorable pricing and increased fees; and</w:t>
      </w:r>
    </w:p>
    <w:p>
      <w:pPr>
        <w:spacing w:after="0" w:line="63" w:lineRule="exact"/>
        <w:rPr>
          <w:rFonts w:ascii="Times New Roman" w:cs="Times New Roman" w:eastAsia="Times New Roman" w:hAnsi="Times New Roman"/>
          <w:sz w:val="18"/>
          <w:szCs w:val="18"/>
          <w:color w:val="auto"/>
        </w:rPr>
      </w:pPr>
    </w:p>
    <w:p>
      <w:pPr>
        <w:ind w:left="460" w:right="100" w:hanging="331"/>
        <w:spacing w:after="0" w:line="281" w:lineRule="auto"/>
        <w:tabs>
          <w:tab w:leader="none" w:pos="4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from the favorable impact of recycled commodity and other processing pricing on processing revenues, partially offset by lower tipping fees, partially offset by</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from lower processing volumes mainly driven by lower recycled commodity volumes.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A summary of cost of operations, general and administration expense, and depreciation and amortization expense (dollars in millions and as a percentage of total revenues) is as follows:</w:t>
      </w: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190.3</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153.9</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538.8</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419.6</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30"/>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34.3</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31.0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97.7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87.3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32.5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27.5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8"/>
                <w:szCs w:val="18"/>
                <w:color w:val="auto"/>
              </w:rPr>
              <w:t>93.1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color w:val="auto"/>
              </w:rPr>
              <w:t>74.5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0"/>
        </w:trPr>
        <w:tc>
          <w:tcPr>
            <w:tcW w:w="24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Cost of operations includes (i) direct costs, which consist of the costs of purchased materials and third-party transportation and disposal costs, including third-party tipping fees, (ii) direct labor costs, which include salaries, wages, incentive compensation and related benefit costs such as health and welfare benefits and workers compensation, (iii) direct operational costs, which include landfill operating costs such as accretion expense related to final capping, closure and post-closure obligations, leachate treatment and disposal costs and depletion of landfill operating lease obligations, vehicle insurance costs, host community fees and royalties, (iv) fuel costs used by our vehicles and in conducting our operations, (v) maintenance and repair costs relating to our vehicles, equipment and containers and (vi) other operational costs including facility costs.</w:t>
      </w:r>
    </w:p>
    <w:p>
      <w:pPr>
        <w:spacing w:after="0" w:line="7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summary of the major components of our cost of operations for the three and nine months ended September 30, 2022 and 2021 (dollars in millions and as a percentage of total revenues)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30"/>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labor costs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operational costs</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 costs</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operational costs</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23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cost of operations during the three and nine months ended September 30, 2022 and 2021 are summarized below:</w:t>
      </w:r>
    </w:p>
    <w:p>
      <w:pPr>
        <w:spacing w:after="0" w:line="1" w:lineRule="exact"/>
        <w:rPr>
          <w:sz w:val="20"/>
          <w:szCs w:val="20"/>
          <w:color w:val="auto"/>
        </w:rPr>
      </w:pPr>
    </w:p>
    <w:p>
      <w:pPr>
        <w:ind w:left="460" w:right="40" w:hanging="331"/>
        <w:spacing w:after="0" w:line="26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increased in aggregate dollars due primarily to higher hauling and third-party transportation and disposal costs on (i) higher solid waste volumes driven by acquisition activity, (ii) higher fuel surcharges from third party haulers due to higher diesel fuel prices, (iii) higher third-party disposal rates due to inflationary pressures and (iv) higher non-processing volumes in our Resource Solutions operating segment; and higher purchased material costs on acquisition activity and higher average commodity prices year-to-date;</w:t>
      </w:r>
    </w:p>
    <w:p>
      <w:pPr>
        <w:spacing w:after="0" w:line="17" w:lineRule="exact"/>
        <w:rPr>
          <w:rFonts w:ascii="Times New Roman" w:cs="Times New Roman" w:eastAsia="Times New Roman" w:hAnsi="Times New Roman"/>
          <w:sz w:val="18"/>
          <w:szCs w:val="18"/>
          <w:color w:val="auto"/>
        </w:rPr>
      </w:pPr>
    </w:p>
    <w:p>
      <w:pPr>
        <w:ind w:left="460" w:right="60" w:hanging="331"/>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in aggregate dollars due primarily to acquisition-related growth, wage inflation and higher workers compensation costs on claims activity associated with an increased headcount;</w:t>
      </w:r>
    </w:p>
    <w:p>
      <w:pPr>
        <w:spacing w:after="0" w:line="1" w:lineRule="exact"/>
        <w:rPr>
          <w:rFonts w:ascii="Times New Roman" w:cs="Times New Roman" w:eastAsia="Times New Roman" w:hAnsi="Times New Roman"/>
          <w:sz w:val="18"/>
          <w:szCs w:val="18"/>
          <w:color w:val="auto"/>
        </w:rPr>
      </w:pPr>
    </w:p>
    <w:p>
      <w:pPr>
        <w:ind w:left="460" w:right="100" w:hanging="331"/>
        <w:spacing w:after="0" w:line="26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decreased as a percentage of revenues, while increasing in aggregate dollars due primarily to (i) higher landfill operating costs in our Western region due to severe winter weather earlier in the year and construction delays compounded with higher landfill volumes, (ii) higher vehicle insurance costs, (iii) acquisition-related growth and (iv) inflationary pressures; partially offset by lower host community and royalty fees;</w:t>
      </w:r>
    </w:p>
    <w:p>
      <w:pPr>
        <w:spacing w:after="0" w:line="17" w:lineRule="exact"/>
        <w:rPr>
          <w:rFonts w:ascii="Times New Roman" w:cs="Times New Roman" w:eastAsia="Times New Roman" w:hAnsi="Times New Roman"/>
          <w:sz w:val="18"/>
          <w:szCs w:val="18"/>
          <w:color w:val="auto"/>
        </w:rPr>
      </w:pPr>
    </w:p>
    <w:p>
      <w:pPr>
        <w:jc w:val="both"/>
        <w:ind w:left="460" w:hanging="331"/>
        <w:spacing w:after="0" w:line="266"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costs increased in aggregate dollars due primarily to higher fuel prices and higher volumes driven by acquisition activity and, to a lesser extent, organic business growth. 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fuel costs;</w:t>
      </w:r>
    </w:p>
    <w:p>
      <w:pPr>
        <w:spacing w:after="0" w:line="13" w:lineRule="exact"/>
        <w:rPr>
          <w:rFonts w:ascii="Times New Roman" w:cs="Times New Roman" w:eastAsia="Times New Roman" w:hAnsi="Times New Roman"/>
          <w:sz w:val="18"/>
          <w:szCs w:val="18"/>
          <w:color w:val="auto"/>
        </w:rPr>
      </w:pPr>
    </w:p>
    <w:p>
      <w:pPr>
        <w:ind w:left="460" w:right="100" w:hanging="331"/>
        <w:spacing w:after="0" w:line="281" w:lineRule="auto"/>
        <w:tabs>
          <w:tab w:leader="none" w:pos="4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in aggregate dollars due primarily to acquisition related growth and higher fleet and container maintenance costs associated with inflationary pressures; and</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in aggregate dollars due primarily to higher facility costs driven by acquisition activity and inflationary pressures.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 includes (i) salaries, wages, incentive compensation and related benefit costs such as health and welfare benefits and workers compensation costs related to management, clerical and administrative functions, (ii) professional service fees, (iii) bad debt expense, and (iv) other overhead costs including those associated with marketing, sales force and community relations efforts.</w:t>
      </w:r>
    </w:p>
    <w:p>
      <w:pPr>
        <w:spacing w:after="0" w:line="6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 summary of the major components of our general and administration expenses for the three and nine months ended September 30, 2022 and 2021 (dollars in millions and as a percentage of total revenues) is as follows:</w:t>
      </w:r>
    </w:p>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97" w:right="4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8"/>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2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40" w:type="dxa"/>
            <w:vAlign w:val="bottom"/>
            <w:gridSpan w:val="3"/>
            <w:vMerge w:val="restart"/>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left="155"/>
              <w:spacing w:after="0"/>
              <w:rPr>
                <w:sz w:val="20"/>
                <w:szCs w:val="20"/>
                <w:color w:val="auto"/>
              </w:rPr>
            </w:pPr>
            <w:r>
              <w:rPr>
                <w:rFonts w:ascii="Times New Roman" w:cs="Times New Roman" w:eastAsia="Times New Roman" w:hAnsi="Times New Roman"/>
                <w:sz w:val="18"/>
                <w:szCs w:val="18"/>
                <w:color w:val="auto"/>
                <w:w w:val="98"/>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bad debt expense</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center"/>
              <w:ind w:left="17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8"/>
        </w:trPr>
        <w:tc>
          <w:tcPr>
            <w:tcW w:w="23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presented by other companies.</w:t>
      </w:r>
    </w:p>
    <w:p>
      <w:pPr>
        <w:spacing w:after="0" w:line="11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most significant items impacting the changes in our general and administration expenses during the three and nine months ended September 30, 2022 and 2021 are summarized below:</w:t>
      </w:r>
    </w:p>
    <w:p>
      <w:pPr>
        <w:spacing w:after="0" w:line="1" w:lineRule="exact"/>
        <w:rPr>
          <w:sz w:val="20"/>
          <w:szCs w:val="20"/>
          <w:color w:val="auto"/>
        </w:rPr>
      </w:pPr>
    </w:p>
    <w:p>
      <w:pPr>
        <w:ind w:left="460" w:right="180" w:hanging="331"/>
        <w:spacing w:after="0" w:line="281"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costs decreased as a percentage of revenues, while increasing in aggregate dollars due primarily to acquisition-related growth, wage inflation and higher accrued incentive compensation on improved performance, partially offset by lower equity compensation costs; and</w:t>
      </w:r>
    </w:p>
    <w:p>
      <w:pPr>
        <w:spacing w:after="0" w:line="1" w:lineRule="exact"/>
        <w:rPr>
          <w:rFonts w:ascii="Times New Roman" w:cs="Times New Roman" w:eastAsia="Times New Roman" w:hAnsi="Times New Roman"/>
          <w:sz w:val="18"/>
          <w:szCs w:val="18"/>
          <w:color w:val="auto"/>
        </w:rPr>
      </w:pPr>
    </w:p>
    <w:p>
      <w:pPr>
        <w:ind w:left="460" w:right="540" w:hanging="331"/>
        <w:spacing w:after="0" w:line="282" w:lineRule="auto"/>
        <w:tabs>
          <w:tab w:leader="none" w:pos="4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increased in aggregate dollars due primarily to inflationary pressures and an increase in general overhead costs to support business growth.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components of depreciation and amortization expense (dollars in millions and as a percentage of total revenues)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2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Landfill amortization</w:t>
            </w: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amortization</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period-to-period increases in depreciation and other amortization expense can be primarily attributed to acquisition activity and increased investments in our fleet, whereas increases in landfill amortization expense can be attributed to increasing landfill volumes throughout the nine months ended September 30, 2022 and the volume mix at our landfills.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from Acquisition Activities</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2022, we recorded charges of $0.8 million and $3.9 million, respectively, and in the three and nine months ended September 30, 2021, we recorded charges of $1.9 million and $4.0 million, respectively, comprised primarily of legal, consulting and other similar costs associated with due diligence and the acquisition and integration of acquired businesses or select development projects.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Remediation Charge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the three and nine months ended September 30, 2022, we recorded a charge of $0.8 million associated with the investigation of potential remediation at an inactive waste disposal site that adjoins one of our landfills.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Our interest expense, net increased $0.9 million quarterly and $1.1 million year-to-date compared to the same periods in the prior year due primarily to rising interest rates and higher average debt balances associated with the issuance in June 2022 of $35.0 million aggregate principal amount of Vermont Economic Development Authority Solid Waste Disposal Long-Term Revenue Bonds Series 2022A-1 ("Vermont Bonds 2022A-1").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Our provision for income taxes increased $2.5 million quarterly and $4.2 million year-to-date as compared to the same periods in the prior year due primarily to higher income from operations between the periods. The provision for income taxes in the nine months ended September 30, 2022 included $4.9 million of current income taxes and $13.8 million of deferred income taxes. For the nine months ended September 30, 2021, the provision included $1.5 million of current income taxes and $13 million of deferred income taxes. The effective rate for the nine months ended September 30, 2022 was 31.2% and was computed based on the statutory rate of 21% adjusted primarily for state taxes and nondeductible officer compensation.</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December 22, 2017, the Tax Cuts and Jobs Act (the “TCJ Act”) was enacted. The TCJ Act significantly changed U.S. corporate income tax laws by, among other things, changing carryforward rules for net operating losses. Our $59.7 million in federal net operating loss carryforwards generated as of the end of 2017 continue to be carried forward for 20 years and are expected to be available to fully offset taxable income earned in the fiscal year ending December 31, 2022 ("fiscal year 2022") and future tax years. Federal net operating losses generated after 2017, totaling $46.5 million carried forward to fiscal year 2022, will be carried forward indefinitely, but generally may only offset up to 80% of taxable income earned in a tax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revenues by operating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5"/>
        </w:trPr>
        <w:tc>
          <w:tcPr>
            <w:tcW w:w="4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17"/>
                <w:szCs w:val="17"/>
                <w:color w:val="auto"/>
              </w:rPr>
            </w:pPr>
          </w:p>
        </w:tc>
        <w:tc>
          <w:tcPr>
            <w:tcW w:w="840" w:type="dxa"/>
            <w:vAlign w:val="bottom"/>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4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6"/>
        </w:trPr>
        <w:tc>
          <w:tcPr>
            <w:tcW w:w="4780" w:type="dxa"/>
            <w:vAlign w:val="bottom"/>
          </w:tcPr>
          <w:p>
            <w:pPr>
              <w:spacing w:after="0"/>
              <w:rPr>
                <w:sz w:val="17"/>
                <w:szCs w:val="17"/>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c>
          <w:tcPr>
            <w:tcW w:w="160" w:type="dxa"/>
            <w:vAlign w:val="bottom"/>
          </w:tcPr>
          <w:p>
            <w:pPr>
              <w:spacing w:after="0"/>
              <w:rPr>
                <w:sz w:val="17"/>
                <w:szCs w:val="17"/>
                <w:color w:val="auto"/>
              </w:rPr>
            </w:pPr>
          </w:p>
        </w:tc>
        <w:tc>
          <w:tcPr>
            <w:tcW w:w="30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r>
      <w:tr>
        <w:trPr>
          <w:trHeight w:val="196"/>
        </w:trPr>
        <w:tc>
          <w:tcPr>
            <w:tcW w:w="478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18.1 %</w:t>
            </w:r>
          </w:p>
        </w:tc>
      </w:tr>
      <w:tr>
        <w:trPr>
          <w:trHeight w:val="223"/>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from favorable collection pricing; and</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from favorable disposal pricing related to transfer stations and, to a lesser extent, landfills.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The price change component in year-to-date solid waste revenues growth from the prior year period is the result of the following:</w:t>
      </w:r>
    </w:p>
    <w:p>
      <w:pPr>
        <w:spacing w:after="0" w:line="117" w:lineRule="exact"/>
        <w:rPr>
          <w:sz w:val="20"/>
          <w:szCs w:val="20"/>
          <w:color w:val="auto"/>
        </w:rPr>
      </w:pPr>
    </w:p>
    <w:p>
      <w:pPr>
        <w:ind w:left="480" w:hanging="310"/>
        <w:spacing w:after="0"/>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million from favorable collection pricing; and</w:t>
      </w:r>
    </w:p>
    <w:p>
      <w:pPr>
        <w:spacing w:after="0" w:line="117" w:lineRule="exact"/>
        <w:rPr>
          <w:rFonts w:ascii="Times New Roman" w:cs="Times New Roman" w:eastAsia="Times New Roman" w:hAnsi="Times New Roman"/>
          <w:sz w:val="18"/>
          <w:szCs w:val="18"/>
          <w:color w:val="auto"/>
        </w:rPr>
      </w:pPr>
    </w:p>
    <w:p>
      <w:pPr>
        <w:ind w:right="3340" w:firstLine="170"/>
        <w:spacing w:after="0" w:line="375" w:lineRule="auto"/>
        <w:tabs>
          <w:tab w:leader="none" w:pos="4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from favorable disposal pricing related to transfer stations and, to a lesser extent, landfills. Volume.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from higher disposal volumes related to landfills, transportation services and, to a lesser extent, transfer stations; and</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from higher collection volumes as a result of organic business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change component in year-to-date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from higher disposal volumes related to transfer stations, landfills and transportation services; and</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from higher collection volumes as a result of organic business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surcharges and other fees change components in quarterly and year-to-date solid waste revenues growth from the prior year periods are due primarily to higher E&amp;E Fees associated with our fuel cost recovery program on higher diesel fuel prices.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acquisitions change components in quarterly and year-to-date solid waste revenues growth from the prior year periods are the result of increased acquisition activity in line with our growth strategy, including the timing and acquisition of two businesses in the nine months ended September 30, 2022 and five businesses in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period-to-period changes in solid waste revenues (dollars in millions and as percentage growth of solid waste revenues)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28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Period-to-Period Change for the Three Months</w:t>
            </w:r>
          </w:p>
        </w:tc>
        <w:tc>
          <w:tcPr>
            <w:tcW w:w="160" w:type="dxa"/>
            <w:vAlign w:val="bottom"/>
          </w:tcPr>
          <w:p>
            <w:pPr>
              <w:spacing w:after="0"/>
              <w:rPr>
                <w:sz w:val="13"/>
                <w:szCs w:val="13"/>
                <w:color w:val="auto"/>
              </w:rPr>
            </w:pPr>
          </w:p>
        </w:tc>
        <w:tc>
          <w:tcPr>
            <w:tcW w:w="3020" w:type="dxa"/>
            <w:vAlign w:val="bottom"/>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Period-to-Period Change for the Nine Months</w:t>
            </w:r>
          </w:p>
        </w:tc>
      </w:tr>
      <w:tr>
        <w:trPr>
          <w:trHeight w:val="195"/>
        </w:trPr>
        <w:tc>
          <w:tcPr>
            <w:tcW w:w="4780" w:type="dxa"/>
            <w:vAlign w:val="bottom"/>
          </w:tcPr>
          <w:p>
            <w:pPr>
              <w:spacing w:after="0"/>
              <w:rPr>
                <w:sz w:val="16"/>
                <w:szCs w:val="16"/>
                <w:color w:val="auto"/>
              </w:rPr>
            </w:pPr>
          </w:p>
        </w:tc>
        <w:tc>
          <w:tcPr>
            <w:tcW w:w="32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c>
          <w:tcPr>
            <w:tcW w:w="160" w:type="dxa"/>
            <w:vAlign w:val="bottom"/>
          </w:tcPr>
          <w:p>
            <w:pPr>
              <w:spacing w:after="0"/>
              <w:rPr>
                <w:sz w:val="16"/>
                <w:szCs w:val="16"/>
                <w:color w:val="auto"/>
              </w:rPr>
            </w:pPr>
          </w:p>
        </w:tc>
        <w:tc>
          <w:tcPr>
            <w:tcW w:w="3020" w:type="dxa"/>
            <w:vAlign w:val="bottom"/>
            <w:gridSpan w:val="3"/>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Ended September 30, 2022 vs. 2021</w:t>
            </w:r>
          </w:p>
        </w:tc>
      </w:tr>
      <w:tr>
        <w:trPr>
          <w:trHeight w:val="195"/>
        </w:trPr>
        <w:tc>
          <w:tcPr>
            <w:tcW w:w="4780" w:type="dxa"/>
            <w:vAlign w:val="bottom"/>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Growth</w:t>
            </w:r>
          </w:p>
        </w:tc>
      </w:tr>
      <w:tr>
        <w:trPr>
          <w:trHeight w:val="22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Price</w:t>
            </w:r>
          </w:p>
        </w:tc>
        <w:tc>
          <w:tcPr>
            <w:tcW w:w="1040" w:type="dxa"/>
            <w:vAlign w:val="bottom"/>
            <w:tcBorders>
              <w:top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price and volume</w:t>
            </w:r>
          </w:p>
        </w:tc>
        <w:tc>
          <w:tcPr>
            <w:tcW w:w="10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Solid waste revenues</w:t>
            </w:r>
          </w:p>
        </w:tc>
        <w:tc>
          <w:tcPr>
            <w:tcW w:w="1040" w:type="dxa"/>
            <w:vAlign w:val="bottom"/>
            <w:tcBorders>
              <w:bottom w:val="single" w:sz="8" w:color="auto"/>
            </w:tcBorders>
          </w:tcPr>
          <w:p>
            <w:pPr>
              <w:jc w:val="right"/>
              <w:ind w:right="8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0"/>
        </w:trPr>
        <w:tc>
          <w:tcPr>
            <w:tcW w:w="47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 million from favorable collection pricing; and</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from favorable disposal pricing related to landfills, transfer stations and, to a lesser extent, transportation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change component in year-to-date solid waste revenues growth from the prior year period is the result of the following:</w:t>
      </w:r>
    </w:p>
    <w:p>
      <w:pPr>
        <w:spacing w:after="0" w:line="63" w:lineRule="exact"/>
        <w:rPr>
          <w:sz w:val="20"/>
          <w:szCs w:val="20"/>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 million from favorable collection pricing; and</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 million from favorable disposal pricing related to landfills, transfer stations and, to a lesser extent, transportation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Volume.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80" w:hanging="310"/>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from higher disposal volumes related to landfills and, to a lesser extent, transfer stations and transportation services; partially offset by</w:t>
      </w:r>
    </w:p>
    <w:p>
      <w:pPr>
        <w:spacing w:after="0" w:line="63" w:lineRule="exact"/>
        <w:rPr>
          <w:rFonts w:ascii="Times New Roman" w:cs="Times New Roman" w:eastAsia="Times New Roman" w:hAnsi="Times New Roman"/>
          <w:sz w:val="18"/>
          <w:szCs w:val="18"/>
          <w:color w:val="auto"/>
        </w:rPr>
      </w:pPr>
    </w:p>
    <w:p>
      <w:pPr>
        <w:ind w:left="500" w:right="520" w:hanging="330"/>
        <w:spacing w:after="0" w:line="282" w:lineRule="auto"/>
        <w:tabs>
          <w:tab w:leader="none" w:pos="4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from lower collection volumes associated with higher customer churn due to higher pricing, implementation of the E&amp;E Fee on additional customers and customer deselection.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volume change component in year-to-date solid waste revenues growth from the prior year period is the result of the following:</w:t>
      </w:r>
    </w:p>
    <w:p>
      <w:pPr>
        <w:spacing w:after="0" w:line="117" w:lineRule="exact"/>
        <w:rPr>
          <w:sz w:val="20"/>
          <w:szCs w:val="20"/>
          <w:color w:val="auto"/>
        </w:rPr>
      </w:pPr>
    </w:p>
    <w:p>
      <w:pPr>
        <w:ind w:left="480" w:hanging="310"/>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from higher disposal volumes related to landfills, transportation, and transfer stations; partially offset by</w:t>
      </w:r>
    </w:p>
    <w:p>
      <w:pPr>
        <w:spacing w:after="0" w:line="103" w:lineRule="exact"/>
        <w:rPr>
          <w:rFonts w:ascii="Times New Roman" w:cs="Times New Roman" w:eastAsia="Times New Roman" w:hAnsi="Times New Roman"/>
          <w:sz w:val="18"/>
          <w:szCs w:val="18"/>
          <w:color w:val="auto"/>
        </w:rPr>
      </w:pPr>
    </w:p>
    <w:p>
      <w:pPr>
        <w:ind w:left="500" w:right="520" w:hanging="330"/>
        <w:spacing w:after="0" w:line="266" w:lineRule="auto"/>
        <w:tabs>
          <w:tab w:leader="none" w:pos="4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from lower collection volumes associated with higher customer churn due to higher pricing, implementation of the E&amp;E Fee on additional customers and customer deselection.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Surcharges and other fees.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surcharges and other fees change components in quarterly and year-to-date solid waste revenues growth from the prior year periods are due primarily to higher E&amp;E Fees associated with our fuel cost recovery program on higher diesel fuel prices.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Commodity price and volume.</w:t>
      </w:r>
    </w:p>
    <w:p>
      <w:pPr>
        <w:spacing w:after="0" w:line="11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commodity price and volume change components in quarterly and year-to-date solid waste revenues growth from the prior year periods are due primarily to favorable landfill gas-to-energy pricing.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acquisitions change components in quarterly and year-to-date solid waste revenues growth from the prior year periods are the result of increased acquisition activity in line with our growth strategy, including the timing and acquisition of eight businesses in the nine months ended September 30, 2022 and five businesses in the fiscal year ended December 31,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income (loss) by segment (in millions)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95"/>
        </w:trPr>
        <w:tc>
          <w:tcPr>
            <w:tcW w:w="4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8"/>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Eastern</w:t>
            </w: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left="435"/>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Resource Solutions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98"/>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entities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8"/>
        </w:trPr>
        <w:tc>
          <w:tcPr>
            <w:tcW w:w="4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700" w:type="dxa"/>
            <w:vAlign w:val="bottom"/>
            <w:tcBorders>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Eastern Region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income increased $4.7 million quarterly and $2.6 million year-to-date from the prior year periods. Excluding the impact of the Southbridge Landfill closure charge and the expense from acquisition activities, our operating performance in the three and nine months ended September 30, 2022 was driven by revenue growth, inclusive of inter-company revenues, more than offsetting the following cost changes.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operations increased $14.6 million quarterly and $59.3 million year-to-date from the prior year periods due to the following:</w:t>
      </w:r>
    </w:p>
    <w:p>
      <w:pPr>
        <w:spacing w:after="0" w:line="63" w:lineRule="exact"/>
        <w:rPr>
          <w:sz w:val="20"/>
          <w:szCs w:val="20"/>
          <w:color w:val="auto"/>
        </w:rPr>
      </w:pPr>
    </w:p>
    <w:p>
      <w:pPr>
        <w:ind w:left="500" w:right="120" w:hanging="330"/>
        <w:spacing w:after="0" w:line="266"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increased in aggregate dollars due primarily to higher hauling and third-party transportation and disposal costs on (i) higher solid waste volumes driven by acquisition activity and, to a lesser extent, organic business growth, (ii) higher fuel surcharges from third party haulers due to higher diesel fuel prices and (iii) higher third-party disposal rates due to inflationary pressures;</w:t>
      </w:r>
    </w:p>
    <w:p>
      <w:pPr>
        <w:spacing w:after="0" w:line="13"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4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in aggregate dollars due primarily to (i) acquisition-related and, to a lesser extent, organic business growth, (ii) wage inflation and (iii) higher workers compensation costs on claims activity associated with an increased headcount;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5" w:name="page36"/>
    <w:bookmarkEnd w:id="35"/>
    <w:p>
      <w:pPr>
        <w:jc w:val="both"/>
        <w:ind w:left="500" w:right="60" w:hanging="330"/>
        <w:spacing w:after="0" w:line="266"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Fuel costs increased in aggregate dollars due primarily to higher fuel prices and higher volumes driven by acquisition activity and, to a lesser extent, organic business growth. 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fuel costs;</w:t>
      </w:r>
    </w:p>
    <w:p>
      <w:pPr>
        <w:spacing w:after="0" w:line="13" w:lineRule="exact"/>
        <w:rPr>
          <w:rFonts w:ascii="Times New Roman" w:cs="Times New Roman" w:eastAsia="Times New Roman" w:hAnsi="Times New Roman"/>
          <w:sz w:val="18"/>
          <w:szCs w:val="18"/>
          <w:color w:val="auto"/>
        </w:rPr>
      </w:pPr>
    </w:p>
    <w:p>
      <w:pPr>
        <w:ind w:left="500" w:right="840" w:hanging="330"/>
        <w:spacing w:after="0" w:line="281"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in aggregate dollars due primarily to higher fleet and container maintenance costs associated with inflationary pressures and acquisition activity;</w:t>
      </w:r>
    </w:p>
    <w:p>
      <w:pPr>
        <w:spacing w:after="0" w:line="1" w:lineRule="exact"/>
        <w:rPr>
          <w:rFonts w:ascii="Times New Roman" w:cs="Times New Roman" w:eastAsia="Times New Roman" w:hAnsi="Times New Roman"/>
          <w:sz w:val="18"/>
          <w:szCs w:val="18"/>
          <w:color w:val="auto"/>
        </w:rPr>
      </w:pPr>
    </w:p>
    <w:p>
      <w:pPr>
        <w:ind w:left="500" w:right="100" w:hanging="330"/>
        <w:spacing w:after="0" w:line="281"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in aggregate dollars due primarily to higher facility costs driven by acquisition activity and inflationary pressures; and</w:t>
      </w:r>
    </w:p>
    <w:p>
      <w:pPr>
        <w:spacing w:after="0" w:line="1" w:lineRule="exact"/>
        <w:rPr>
          <w:rFonts w:ascii="Times New Roman" w:cs="Times New Roman" w:eastAsia="Times New Roman" w:hAnsi="Times New Roman"/>
          <w:sz w:val="18"/>
          <w:szCs w:val="18"/>
          <w:color w:val="auto"/>
        </w:rPr>
      </w:pPr>
    </w:p>
    <w:p>
      <w:pPr>
        <w:ind w:left="500" w:right="700" w:hanging="330"/>
        <w:spacing w:after="0" w:line="282" w:lineRule="auto"/>
        <w:tabs>
          <w:tab w:leader="none" w:pos="4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remained flat quarterly and increased year-to-date in aggregate dollars due to increased vehicle insurance costs and inflationary pressures.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General and administration expense increased $1.5 million quarterly and $5.8 million year-to-date from the prior year periods due primarily to (i) acquisition-related growth, (ii) wage inflation, (iii) higher accrued incentive compensation on improved performance (iv) and an increase in general overhead costs associated with business growth and inflationary pressures; partially offset by lower equity compensation costs.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$2.5 million quarterly and $11.6 million year-to-date from the prior year periods due primarily to acquisition activity, increased investment in our fleet, and higher landfill amortization expense due to higher quarterly landfill volumes and the volume mix at our landfills.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Western Region</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Operating income increased $6.6 million quarterly and $13.1 million year-to-date from the prior year periods. Excluding the impact of the environmental remediation charge and expense from acquisition activities, our improved operating performance in the three and nine months ended September 30, 2022 was driven by revenue growth, inclusive of inter-company revenues, more than offsetting the following cost changes.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operations increased $15.1 million quarterly and $41.1 million year-to-date from the prior year periods due to the following:</w:t>
      </w:r>
    </w:p>
    <w:p>
      <w:pPr>
        <w:spacing w:after="0" w:line="117" w:lineRule="exact"/>
        <w:rPr>
          <w:sz w:val="20"/>
          <w:szCs w:val="20"/>
          <w:color w:val="auto"/>
        </w:rPr>
      </w:pPr>
    </w:p>
    <w:p>
      <w:pPr>
        <w:jc w:val="both"/>
        <w:ind w:left="460" w:right="80" w:hanging="331"/>
        <w:spacing w:after="0" w:line="266" w:lineRule="auto"/>
        <w:tabs>
          <w:tab w:leader="none" w:pos="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increased in aggregate dollars due primarily to higher hauling and third-party transportation and disposal costs on (i) higher solid waste volumes driven by acquisition activity, partially offset by lower collection volumes, (ii) higher fuel surcharges from third party haulers due to higher diesel fuel prices and (iii) higher third-party disposal rates due to inflationary pressures;</w:t>
      </w:r>
    </w:p>
    <w:p>
      <w:pPr>
        <w:spacing w:after="0" w:line="11" w:lineRule="exact"/>
        <w:rPr>
          <w:rFonts w:ascii="Times New Roman" w:cs="Times New Roman" w:eastAsia="Times New Roman" w:hAnsi="Times New Roman"/>
          <w:sz w:val="18"/>
          <w:szCs w:val="18"/>
          <w:color w:val="auto"/>
        </w:rPr>
      </w:pPr>
    </w:p>
    <w:p>
      <w:pPr>
        <w:ind w:left="460" w:right="220" w:hanging="331"/>
        <w:spacing w:after="0" w:line="299" w:lineRule="auto"/>
        <w:tabs>
          <w:tab w:leader="none" w:pos="4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Fuel costs increased in aggregate dollars due to higher fuel prices and higher volumes driven by acquisition activity. See Item 3. </w:t>
      </w:r>
      <w:r>
        <w:rPr>
          <w:rFonts w:ascii="Times New Roman" w:cs="Times New Roman" w:eastAsia="Times New Roman" w:hAnsi="Times New Roman"/>
          <w:sz w:val="17"/>
          <w:szCs w:val="17"/>
          <w:i w:val="1"/>
          <w:iCs w:val="1"/>
          <w:color w:val="auto"/>
        </w:rPr>
        <w:t>"Quantitative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Qualitative Disclosures about Market Risk</w:t>
      </w:r>
      <w:r>
        <w:rPr>
          <w:rFonts w:ascii="Times New Roman" w:cs="Times New Roman" w:eastAsia="Times New Roman" w:hAnsi="Times New Roman"/>
          <w:sz w:val="17"/>
          <w:szCs w:val="17"/>
          <w:color w:val="auto"/>
        </w:rPr>
        <w:t>" included in this Quarterly Report on Form 10-Q for additional information regarding our fuel costs;</w:t>
      </w:r>
    </w:p>
    <w:p>
      <w:pPr>
        <w:ind w:left="460" w:right="80" w:hanging="331"/>
        <w:spacing w:after="0" w:line="298" w:lineRule="auto"/>
        <w:tabs>
          <w:tab w:leader="none" w:pos="4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 labor costs increased in aggregate dollars due primarily to (i) wage inflation, (ii) increased overtime on higher solid waste volumes associated with acquisition activity and (iii) higher workers compensation costs on claim activity associated with an increased headcount year-to-date;</w:t>
      </w:r>
    </w:p>
    <w:p>
      <w:pPr>
        <w:ind w:left="460" w:right="180" w:hanging="331"/>
        <w:spacing w:after="0" w:line="281" w:lineRule="auto"/>
        <w:tabs>
          <w:tab w:leader="none" w:pos="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in aggregate dollars due primarily to higher fleet maintenance costs associated with acquisition activity and inflationary pressures;</w:t>
      </w:r>
    </w:p>
    <w:p>
      <w:pPr>
        <w:spacing w:after="0" w:line="1" w:lineRule="exact"/>
        <w:rPr>
          <w:rFonts w:ascii="Times New Roman" w:cs="Times New Roman" w:eastAsia="Times New Roman" w:hAnsi="Times New Roman"/>
          <w:sz w:val="18"/>
          <w:szCs w:val="18"/>
          <w:color w:val="auto"/>
        </w:rPr>
      </w:pPr>
    </w:p>
    <w:p>
      <w:pPr>
        <w:ind w:left="460" w:right="180" w:hanging="331"/>
        <w:spacing w:after="0" w:line="266" w:lineRule="auto"/>
        <w:tabs>
          <w:tab w:leader="none" w:pos="4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increased in aggregate dollars due to (i) higher landfill operating costs from severe winter weather earlier in the year and construction delays compounded with higher quarterly landfill volumes, (ii) higher vehicle insurance costs and (iii) inflationary pressures; partially offset by lower host community and royalty fees; and</w:t>
      </w:r>
    </w:p>
    <w:p>
      <w:pPr>
        <w:spacing w:after="0" w:line="1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in aggregate dollars due primarily to higher facility costs driven by acquisition activity and inflationary pressures.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General and administration expense decreased $(0.1) million quarterly and increased $0.6 million year-to-date from the prior year periods, with the year-to-date increase due primarily to (i) acquisition-related growth, (ii) wage inflation, (iii) higher accrued incentive compensation on improved performance and</w:t>
      </w:r>
    </w:p>
    <w:p>
      <w:pPr>
        <w:spacing w:after="0" w:line="1"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overhead costs associated with business growth and inflationary pressures; partially offset by lower equity compensation costs.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$1.1 million quarterly and $2.6 million year-to-date from the prior year periods due primarily to acquisition activity and increased investments in our fleet.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 Solutions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Operating income decreased $(2.2) million quarterly and increased $1.7 million year-to-date from the prior year periods. Excluding the impact of the expense from acquisition activities, our operating performance in the three and nine months ended September 30, 2022 was driven by revenue growth, inclusive of inter-company revenues, and the following cost changes.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operations increased $17.7 million quarterly and $48.3 million year-to-date from the prior year periods due to the following:</w:t>
      </w:r>
    </w:p>
    <w:p>
      <w:pPr>
        <w:spacing w:after="0" w:line="63" w:lineRule="exact"/>
        <w:rPr>
          <w:sz w:val="20"/>
          <w:szCs w:val="20"/>
          <w:color w:val="auto"/>
        </w:rPr>
      </w:pPr>
    </w:p>
    <w:p>
      <w:pPr>
        <w:ind w:left="460" w:right="140" w:hanging="331"/>
        <w:spacing w:after="0" w:line="266" w:lineRule="auto"/>
        <w:tabs>
          <w:tab w:leader="none" w:pos="4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increased in aggregate dollars due primarily to (i) higher hauling and third-party transportation costs on higher non-processing volumes (ii) higher fuel surcharges from third party haulers due to higher diesel fuel prices, (iii) inflationary pressures, and (iv) higher purchased material costs on acquisition activity and higher average commodity prices year-to-date;</w:t>
      </w:r>
    </w:p>
    <w:p>
      <w:pPr>
        <w:spacing w:after="0" w:line="13" w:lineRule="exact"/>
        <w:rPr>
          <w:rFonts w:ascii="Times New Roman" w:cs="Times New Roman" w:eastAsia="Times New Roman" w:hAnsi="Times New Roman"/>
          <w:sz w:val="18"/>
          <w:szCs w:val="18"/>
          <w:color w:val="auto"/>
        </w:rPr>
      </w:pPr>
    </w:p>
    <w:p>
      <w:pPr>
        <w:ind w:left="460" w:right="520" w:hanging="331"/>
        <w:spacing w:after="0" w:line="281" w:lineRule="auto"/>
        <w:tabs>
          <w:tab w:leader="none" w:pos="4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labor costs increased in aggregate dollars due primarily to (i) acquisition activity and organic non-processing business growth, (ii) wage inflation and (iii) higher workers compensation costs on claim activity associated with an increased headcount;</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increased in aggregate dollars due primarily to higher facility costs driven by acquisition activity and inflationary pressures;</w:t>
      </w:r>
    </w:p>
    <w:p>
      <w:pPr>
        <w:spacing w:after="0" w:line="63" w:lineRule="exact"/>
        <w:rPr>
          <w:rFonts w:ascii="Times New Roman" w:cs="Times New Roman" w:eastAsia="Times New Roman" w:hAnsi="Times New Roman"/>
          <w:sz w:val="18"/>
          <w:szCs w:val="18"/>
          <w:color w:val="auto"/>
        </w:rPr>
      </w:pPr>
    </w:p>
    <w:p>
      <w:pPr>
        <w:ind w:left="460" w:right="280" w:hanging="331"/>
        <w:spacing w:after="0" w:line="281" w:lineRule="auto"/>
        <w:tabs>
          <w:tab w:leader="none" w:pos="4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 costs increased in aggregate dollars due primarily to higher fleet maintenance costs associated with inflationary pressures, acquisition activity, and organic non-processing business growth;</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operational costs increased in aggregate dollars due primarily to acquisition-related growth and inflationary pressures; and</w:t>
      </w:r>
    </w:p>
    <w:p>
      <w:pPr>
        <w:spacing w:after="0" w:line="61" w:lineRule="exact"/>
        <w:rPr>
          <w:rFonts w:ascii="Times New Roman" w:cs="Times New Roman" w:eastAsia="Times New Roman" w:hAnsi="Times New Roman"/>
          <w:sz w:val="18"/>
          <w:szCs w:val="18"/>
          <w:color w:val="auto"/>
        </w:rPr>
      </w:pPr>
    </w:p>
    <w:p>
      <w:pPr>
        <w:ind w:left="460" w:right="240" w:hanging="331"/>
        <w:spacing w:after="0" w:line="315" w:lineRule="auto"/>
        <w:tabs>
          <w:tab w:leader="none" w:pos="4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Fuel costs increased in aggregate dollars due to higher fuel prices and higher volumes driven by acquisition activity. See Item 3. </w:t>
      </w:r>
      <w:r>
        <w:rPr>
          <w:rFonts w:ascii="Times New Roman" w:cs="Times New Roman" w:eastAsia="Times New Roman" w:hAnsi="Times New Roman"/>
          <w:sz w:val="17"/>
          <w:szCs w:val="17"/>
          <w:i w:val="1"/>
          <w:iCs w:val="1"/>
          <w:color w:val="auto"/>
        </w:rPr>
        <w:t>"Quantitative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Qualitative Disclosures about Market Risk</w:t>
      </w:r>
      <w:r>
        <w:rPr>
          <w:rFonts w:ascii="Times New Roman" w:cs="Times New Roman" w:eastAsia="Times New Roman" w:hAnsi="Times New Roman"/>
          <w:sz w:val="17"/>
          <w:szCs w:val="17"/>
          <w:color w:val="auto"/>
        </w:rPr>
        <w:t>" included in this Quarterly Report on Form 10-Q for additional information regarding our fuel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administration</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and administration expense increased $1.8 million quarterly and $3.6 million year-to-date from the prior year periods due to increased overhead costs associated with (i) acquisition activity and organic non-processing business growth, (ii) wage inflation, (iii) higher accrued incentive compensation on improved performance and (iv) an increase in general overhead costs associated with business growth and inflationary pressures; partially offset by lower equity compensation costs.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and amortization expense increased $1.2 million quarterly and $4.0 million year-to-date from the prior year periods due to acquisition activity.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We have $271.8 million of undrawn capacity from our $300.0 million revolving credit facility ("Revolving Credit Facility") as of September 30, 2022 to help meet our short-term and long-term liquidity needs. We expect existing cash and cash equivalents combined with cash flows from operations and financing activities to continue to be sufficient to fund our operating activities and cash commitments for investing and financing activities for at least the next 12 months and thereafter for the foreseeable future. Our known current- and long-term uses of cash include, among other possible demands: (1) capital expenditures and leases, (2) acquisitions, (3) repayments to service debt and other long-term obligations and (4) payments for final capping, closure and post-closure asset retirement obligations and environmental remediation liabilities.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A summary of the major indicators of our financial condition and liquidity (in millions)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1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6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cash and cash equivalents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liabilities, excluding current maturities of debt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Current maturities of debt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8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Current assets, excluding cash and cash equivalents, increased $30.8 million and current liabilities increased $10.6 million in the nine months ended September 30, 2022, driven primarily by business and revenue growth resulting in a $20.2 million increase in working capital, excluding cash and cash equivalents, from $(39.5) million as of December 31, 2021 to $(19.3) million as of September 30, 2022. We strive to maintain a negative working capital cycle driven by shorter days sales outstanding as compared to days payable outstanding in an effort to collect money at a faster rate than paying bills to facilitate business growth.</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increased $14.1 million in the nine months ended September 30, 2022. A summary of cash flows (in millions)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67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accretion on landfill and environmental remediation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expense from acquisition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8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operating cash flows follows:</w:t>
      </w:r>
    </w:p>
    <w:p>
      <w:pPr>
        <w:spacing w:after="0" w:line="11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$18.3 million in the nine months ended September 30, 2022 as compared to the nine months ended September 30, 2021. This was the result of improved operational performance, partially offset by an increase in the unfavorable cash flow impact associated with the changes in our assets and liabilities, net of effects of acquisitions and divestitures. For discussion of our improved operational performance in the nine months ended September 30, 2022 as compared to the nine months ended September 30, 2021,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above. The increase in the unfavorable cash flow impact associated with the changes in our assets and liabilities, net of effects of acquisitions and divestitures, which are affected by both cost changes and the timing of payments, in the nine months ended September 30, 2022 as compared to the nine months ended September 30, 2021 was due primarily to the following:</w:t>
      </w:r>
    </w:p>
    <w:p>
      <w:pPr>
        <w:spacing w:after="0" w:line="27" w:lineRule="exact"/>
        <w:rPr>
          <w:sz w:val="20"/>
          <w:szCs w:val="20"/>
          <w:color w:val="auto"/>
        </w:rPr>
      </w:pPr>
    </w:p>
    <w:p>
      <w:pPr>
        <w:ind w:left="440" w:hanging="311"/>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$(12.4) million unfavorable impact to operating cash flows associated with the change in accounts payable;</w:t>
      </w:r>
    </w:p>
    <w:p>
      <w:pPr>
        <w:spacing w:after="0" w:line="63"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unfavorable impact to operating cash flows associated with the change in accrued expenses and other liabilities; and</w:t>
      </w:r>
    </w:p>
    <w:p>
      <w:pPr>
        <w:spacing w:after="0" w:line="63" w:lineRule="exact"/>
        <w:rPr>
          <w:rFonts w:ascii="Times New Roman" w:cs="Times New Roman" w:eastAsia="Times New Roman" w:hAnsi="Times New Roman"/>
          <w:sz w:val="18"/>
          <w:szCs w:val="18"/>
          <w:color w:val="auto"/>
        </w:rPr>
      </w:pPr>
    </w:p>
    <w:p>
      <w:pPr>
        <w:ind w:left="460" w:right="300" w:hanging="331"/>
        <w:spacing w:after="0" w:line="281"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$(3.3) million unfavorable impact to operating cash flows associated with the change in accounts receivable associated primarily with increased revenues growth; partially offset by</w:t>
      </w:r>
    </w:p>
    <w:p>
      <w:pPr>
        <w:spacing w:after="0" w:line="1" w:lineRule="exact"/>
        <w:rPr>
          <w:rFonts w:ascii="Times New Roman" w:cs="Times New Roman" w:eastAsia="Times New Roman" w:hAnsi="Times New Roman"/>
          <w:sz w:val="18"/>
          <w:szCs w:val="18"/>
          <w:color w:val="auto"/>
        </w:rPr>
      </w:pPr>
    </w:p>
    <w:p>
      <w:pPr>
        <w:ind w:left="440" w:hanging="311"/>
        <w:spacing w:after="0"/>
        <w:tabs>
          <w:tab w:leader="none" w:pos="4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$8.6 million favorable impact to operating cash flows associated with the change in prepaid expenses, inventories and other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investing cash flows (in millions) follows: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investing cash flows follows:</w:t>
      </w:r>
    </w:p>
    <w:p>
      <w:pPr>
        <w:spacing w:after="0" w:line="11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net of cash acquired. </w:t>
      </w:r>
      <w:r>
        <w:rPr>
          <w:rFonts w:ascii="Times New Roman" w:cs="Times New Roman" w:eastAsia="Times New Roman" w:hAnsi="Times New Roman"/>
          <w:sz w:val="18"/>
          <w:szCs w:val="18"/>
          <w:color w:val="auto"/>
        </w:rPr>
        <w:t>In the nine months ended September 30, 2022, we acquired twelve businesses for total consideration of $78.1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$72.7 million in cash, and paid $1.3 million in holdback payments on businesses previously acquired, as compared to the nine months ended September 30, 2021 during which we acquired eight businesses for total consideration of $155.2 million, including $150.4 million in cash, and paid $2.7 million in holdback payments on businesses previously acquired.</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increased $(6.1) million in the nine months ended September 30, 2022 as compared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2021 due primarily to higher capital spend associated with landfill development, investments in newly acquired operations to drive synergies, the retrofitting of a single-stream material recovery facility and inflationary pressures, partially offset by the completion of construction and development of phase VI at our Subtitle D landfill in Coventry, Vermont in the fiscal year ended December 31,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financing cash flows (in millions) follows:</w:t>
      </w:r>
    </w:p>
    <w:p>
      <w:pPr>
        <w:spacing w:after="0" w:line="3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contingent consideration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the exercise of share based awards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 summary of the most significant items affecting the change in our financing cash flows follows:</w:t>
      </w:r>
    </w:p>
    <w:p>
      <w:pPr>
        <w:spacing w:after="0" w:line="115"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Debt activity</w:t>
      </w:r>
      <w:r>
        <w:rPr>
          <w:rFonts w:ascii="Times New Roman" w:cs="Times New Roman" w:eastAsia="Times New Roman" w:hAnsi="Times New Roman"/>
          <w:sz w:val="18"/>
          <w:szCs w:val="18"/>
          <w:color w:val="auto"/>
        </w:rPr>
        <w:t>. Net cash associated with debt activity increased $32.9 million. The increase in financing cash flows in the nine months ended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is due primarily to the issuance of $35.0 million aggregate principal amount of Vermont Bonds 2022A-1 in June 2022.</w:t>
      </w:r>
    </w:p>
    <w:p>
      <w:pPr>
        <w:spacing w:after="0" w:line="5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Payment of debt issuance costs</w:t>
      </w:r>
      <w:r>
        <w:rPr>
          <w:rFonts w:ascii="Times New Roman" w:cs="Times New Roman" w:eastAsia="Times New Roman" w:hAnsi="Times New Roman"/>
          <w:sz w:val="18"/>
          <w:szCs w:val="18"/>
          <w:color w:val="auto"/>
        </w:rPr>
        <w:t>. We paid $1.2 million of debt issuance costs in the nine months ended September 30, 2022 related to the issuance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Vermont Bonds 2022A-1.</w:t>
      </w:r>
    </w:p>
    <w:p>
      <w:pPr>
        <w:spacing w:after="0" w:line="5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Payment of contingent consideration</w:t>
      </w:r>
      <w:r>
        <w:rPr>
          <w:rFonts w:ascii="Times New Roman" w:cs="Times New Roman" w:eastAsia="Times New Roman" w:hAnsi="Times New Roman"/>
          <w:sz w:val="18"/>
          <w:szCs w:val="18"/>
          <w:color w:val="auto"/>
        </w:rPr>
        <w:t>. We paid $1.0 million of contingent consideration associated with an acquisition based on the completion of a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expansion application.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Long-Term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of September 30, 2022, we had outstanding $350.0 million aggregate principal amount of borrowings under our term loan A facility ("Term Loan Facility") and no borrowings under our $300.0 million Revolving Credit Facility, with a $75.0 million sublimit for letters of credit. The Term Loan Facility and the Revolving Credit Facility (collectively, the "Credit Facility") has a 5-year term that matures in December 2026 and bears interest at a rate of London Inter-Bank Offered Rate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amended and restated credit agreement ("Credit Agreement"). The Credit Facility is guaranteed jointly and severally, fully and unconditionally by all of our significant wholly-owned subsidiaries and secured by substantially all of our assets. As of September 30, 2022, further advances were available under the Revolving Credit Facility in the amount of $271.8 million. The available amount is net of outstanding irrevocable letters of credit totaling $28.2 million, and as of September 30, 2022 no amount had been drawn. We have the right to request, at our discretion, an increase in the amount of loans under the Credit Facility by an aggregate amount of $125.0 million, subject to the terms and conditions set forth in the Credit Agreement.</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requires us to maintain a minimum interest coverage ratio and a maximum consolidated net leverage ratio, to be measured at the end of each fiscal quarter. 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September 30, 2022, we were in compliance with the covenants contained in the Credit Agreement.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Tax-Exempt Financings and Other Debt</w:t>
      </w:r>
    </w:p>
    <w:p>
      <w:pPr>
        <w:spacing w:after="0" w:line="119"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 xml:space="preserve">As of September 30, 2022, we had outstanding $197.0 million aggregate principal amount of tax exempt bonds, including the issuance of $35.0 million aggregate principal amount of Vermont Bonds 2022A-1, $49.1 million aggregate principal amount of finance leases and $0.7 million aggregate principal amount of notes payable. See Note 7,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our consolidated financial statements included in Part I. Item. 1 of this Quarterly Report on Form 10-Q for further disclosure over debt.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Inflationary increases in costs, including current inflationary pressures associated primarily with fuel, labor and certain other cost categories and capital items, have materially affected, and may continue to materially affect, our operating margins and cash flows. While rapid inflation negatively impacted operating results and margins during the three and nine months ended September 30, 2022, we believe that our flexible pricing structures and cost recovery fees are allowing us to recover and will continue to allow us to recover certain inflationary costs from our customer base. Consistent with industry practice, most of our contracts and service agreements provide for a pass-through of certain costs to our customers, including increases in landfill tipping fees and in most cases fuel costs, intended to mitigate the impact of inflation on our operating results. We have also implemented a number of operating efficiency programs that seek to improve productivity and reduce our service costs, and our fuel cost recovery program, which is the energy component of our E&amp;E Fee, is designed to recover escalating fuel price fluctuations above a periodically reset floor. Despite these programs, competitive factors may require us to absorb at least a portion of these cost increases. See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included in this Quarterly Report on Form 10-Q for additional information regarding our fuel cost recovery program. Additionally, management’s estimates associated with inflation have had, and will continue to have, an impact on our accounting for landfill and environmental remediation liabilities.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Regional Economic Conditions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Severe Weather</w:t>
      </w:r>
    </w:p>
    <w:p>
      <w:pPr>
        <w:spacing w:after="0" w:line="121"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processing line-of-business in the Resource Solutions operating segment typically experiences increased volumes of fiber in November and December due to increased retail activity during the holiday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 and Assumptions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of our Annual Report on Form 10-K for the fiscal year ended December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the new accounting standards that may affect us, see Note 2, </w:t>
      </w:r>
      <w:r>
        <w:rPr>
          <w:rFonts w:ascii="Times New Roman" w:cs="Times New Roman" w:eastAsia="Times New Roman" w:hAnsi="Times New Roman"/>
          <w:sz w:val="18"/>
          <w:szCs w:val="18"/>
          <w:i w:val="1"/>
          <w:iCs w:val="1"/>
          <w:color w:val="auto"/>
        </w:rPr>
        <w:t>Accounting Changes</w:t>
      </w:r>
      <w:r>
        <w:rPr>
          <w:rFonts w:ascii="Times New Roman" w:cs="Times New Roman" w:eastAsia="Times New Roman" w:hAnsi="Times New Roman"/>
          <w:sz w:val="18"/>
          <w:szCs w:val="18"/>
          <w:color w:val="auto"/>
        </w:rPr>
        <w:t xml:space="preserve"> to our consolidated financial statements included under Part I. Item 1. of this Quarterly Report on Form 10-Q.</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exposed to market risks, including changes in diesel fuel prices, interest rates and certain commodity prices. We have a variety of strategies to mitigate these market risks, including those discussed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Fuel Price Risk</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price and supply of fuel are unpredictable and fluctuate based on events beyond our control, including among others, geopolitical developments, supply and demand for oil and gas, actions by the Organization of the Petroleum Exporting Countries and other oil and gas producers, war and unrest in oil producing countries and regional production patterns. Because fuel is needed to run our fleet of trucks and other aspects of our operations, price escalations for fuel increase our operating expenses. We have a fuel cost recovery program, which is the energy component of our energy and environmental fee ("E&amp;E Fee") that is designed to offset some or all of the impact of diesel fuel price increases above a periodically reset floor and contemplates a minimum customer participation level to cover changes in our fuel costs. The energy component of the E&amp;E Fee floats on a monthly basis based upon changes in a published diesel fuel price index and is tied to a price escalation index with a lookback provision, which results in a timing lag in our ability to match the changes in the fuel cost component of the fee to diesel fuel price fluctuations during periods of rapid price changes. In certain circumstances, a substantial rise or drop in fuel costs could materially affect our revenue and costs of operations. In addition, we are susceptible to increases in fuel surcharges from our vendors.</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Based on our consumption levels in the last twelve months ended September 30, 2022, after considering physically settled fuel contracts we believe a $0.50 cent per gallon change in the price of diesel fuel would change our direct fuel costs by approximately $4.8 million per year. Offsetting these changes in direct fuel expense would be changes in the energy component of the E&amp;E Fees charged to our customers. Based on participation rates as of September 30, 2022, we believe a $0.50 cent per gallon change in the price of diesel fuel would change the energy component of the E&amp;E Fee by approximately $4.8 million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market a variety of materials, including fibers such as old corrugated cardboard and old newsprint, plastics, glass, ferrous and aluminum metals. We may use a number of strategies to mitigate impacts from these recycled material commodity price fluctuations including: (1) charging collection customers a floating sustainability recycling adjustment fee to reduce recycling commodity risks; (2) providing in-bound material recovery facilities (“MRF”) customers with a revenue share or indexed materials purchases in higher commodity price markets, or charging these same customers a processing cost or tipping fee per ton in lower commodity price markets; (3) selling recycled commodities to out-bound MRF customers through floor price or fixed price agreements; or (4) entering into fixed price contracts or hedges that mitigate the variability in cash flows generated from the sales of recycled paper at floating prices. Although we have introduced these risk mitigation programs to help offset volatility in commodity prices and to offset higher labor or capital costs to meet more stringent contamination standards, we cannot provide assurance that we can use these programs with our customers in all circumstances or that they will mitigate these risks in an evolving recycling environment. We do not use financial instruments for trading purposes and are not a party to any leveraged derivatives. As of September 30, 2022, we were not party to any commodity hedging agreements.</w:t>
      </w:r>
    </w:p>
    <w:p>
      <w:pPr>
        <w:spacing w:after="0" w:line="8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Should recycled material commodity prices change by $10 per ton, we estimate that our annual operating income margin would change by approximately $0.8 million annually, or $0.2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of September 30, 2022, our active interest rate derivative agreements had total notional amounts of $190.0 million. According to the terms of the agreements, we receive interest based on the 1-month London Inter-Bank Offered Rate ("LIBOR") index, in some instances restricted by a 0.0% floor, and pay interest at a weighted average rate of approximately 2.20% as of September 30, 2022. The agreements mature between May 2023 and June 2027. Additionally, as of September 30, 2022, we have a forward starting interest rate derivative agreement with a total notional amount of $20.0 million that matures in May 2028. We will receive interest based on the 1-month LIBOR index, restricted by a 0.0% floor, and will pay interest at a rate of 1.29%.</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sectPr>
      </w:pPr>
    </w:p>
    <w:bookmarkStart w:id="42" w:name="page43"/>
    <w:bookmarkEnd w:id="42"/>
    <w:p>
      <w:pPr>
        <w:spacing w:after="0" w:line="261" w:lineRule="auto"/>
        <w:rPr>
          <w:sz w:val="20"/>
          <w:szCs w:val="20"/>
          <w:color w:val="auto"/>
        </w:rPr>
      </w:pPr>
      <w:r>
        <w:rPr>
          <w:rFonts w:ascii="Times New Roman" w:cs="Times New Roman" w:eastAsia="Times New Roman" w:hAnsi="Times New Roman"/>
          <w:sz w:val="18"/>
          <w:szCs w:val="18"/>
          <w:color w:val="auto"/>
        </w:rPr>
        <w:t>As of September 30, 2022, we had $246.8 million of fixed rate debt in addition to the $190.0 million fixed through our interest rate derivative agreements. We had interest rate risk relating to approximately $160.0 million of long-term debt as of September 30, 2022. The weighted average interest rate on the variable rate portion of long-term debt was approximately 4.2% at September 30, 2022. Should the average interest rate on the variable rate portion of long-term debt change by 100 basis points, we estimate that our annual interest expense would change by up to approximately $1.6 million.</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September 30,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8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Legal Proceedings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this Item is provided in Note 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consolidated financial statements included in Part 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of this Quarterly Report on Form 10-Q.</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over Certain Environmental Matters Involving Governmental Authorities with Possible Sanctions of $1,000,000 or More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Item 103 of the Securities and Exchange Commission's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4" w:name="page45"/>
    <w:bookmarkEnd w:id="4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those identified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fiscal year ended December 31, 2021, and the updated risk factor set forth below,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70"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waste industry is subject to extensive government regulations, including environmental laws and regulations, and we incur substantial costs to comply with such laws and regulations. Failure to comply with environmental or other laws and regulations, as well as enforcement actions and litigation arising from an actual or perceived breach of such laws and regulations, could subject us to fines, penalties, and judgments, and impose limits on our ability to operate and expand.</w:t>
      </w:r>
    </w:p>
    <w:p>
      <w:pPr>
        <w:spacing w:after="0" w:line="7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are subject to potential liability and restrictions under environmental laws and regulations, including potential liability and restrictions arising from or relating to the transportation, handling, recycling, generation, treatment, storage and disposal of wastes, the presence, release, discharge or emission of pollutants, and the investigation, remediation and monitoring of impacts to soil, surface water, groundwater and other environmental media including natural resources, as a result of the actual or alleged presence, release, discharge or emission of hazardous substances, pollutants or contaminants on, at, under or migrating from our properties, or in connection with our operations. The waste management industry has been and will continue to be subject to regulation, including permitting and related financial assurance requirements, as well as attempts to further regulate the industry, including efforts to regulate and limit the emission of greenhouse gases to ameliorate the effect of climate change. Our solid waste operations are subject to a wide range of federal, state and, in some cases, local environmental, odor and noise and land use restrictions. If we are not able to comply with the requirements that apply to a particular facility or if we operate in violation of the terms and conditions of, or without the necessary approvals or permits, we could be subject to administrative or civil, and possibly criminal, fines and penalties, and we may be required to spend substantial capital to bring an operation into compliance, to temporarily or permanently discontinue activities, and/or take corrective actions, possibly including removal of landfilled materials. Those costs or actions could be significant to us and affect our results of operations, cash flows, and available capital. Environmental and land use laws and regulations also affect our ability to expand and, in the case of our solid waste operations, may dictate those geographic areas from which we must, or, from which we may not, accept solid waste. Those laws and regulations may limit the overall size and daily solid waste volume that may be accepted by a solid waste operation. If we are not able to expand or otherwise operate one or more of our facilities because of limits imposed under such laws, we may be required to increase our utilization of disposal facilities owned by third-parties, which could reduce our revenues and/or operating margins. The foregoing includes recent changes in solid waste laws of the State of Maine, which we do not anticipate will have a material effect on our business, results of operations, financial condition and/or liquidity, but which may negatively impact our operating results in the form of lower revenues or increased costs and/or liabilities.</w:t>
      </w:r>
    </w:p>
    <w:p>
      <w:pPr>
        <w:spacing w:after="0" w:line="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historically grown through acquisitions, expect to make additional acquisitions in the future, and we have tried and will continue to try to evaluate and limit environmental risks and liabilities presented by businesses to be acquired prior to the acquisition. It is possible that some liabilities may prove to be more difficult or costly to address than we anticipate. It is also possible that government officials responsible for enforcing environmental laws and regulations may believe an issue is more serious than we expect, or that we will fail to identify or fully appreciate an existing liability before we become responsible for addressing it. Some of the legal sanctions to which we could become subject could cause the suspension or revocation of a permit, prevent us from, or delay us in, obtaining or renewing permits to operate or expand our facilities, or harm our reputation.</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to the costs of complying with environmental laws and regulations, we incur costs in connection with environmental proceedings and litigation brought against us by government agencies and private parties. We are, and may be in the future, a defendant in lawsuits brought by parties alleging environmental damage, including natural resource damage, personal injury, and/or property damage or impairment, or seeking to impose civil penalties, injunctive relief or overturn or prevent the issuance of an operating permit or authorization, all of which may result in us incurring significant liabilities.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conduct of our businesses is also subject to various other laws and regulations administered by federal, state and local governmental agencies, including tax laws, employment laws and competition laws, among others. New laws, regulations or governmental policy and their related interpretations, or changes in any of the foregoing, including taxes or other limitations on our services, may alter the environment in which we do business.</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certain jurisdictions, we are subject to compliance with specific obligations under competition laws due to our competitive position in those jurisdictions. Failure to comply with these requirements or other laws or regulations could subject us to enforcement actions or financial penalties which could have a material adverse effect on our business.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5" w:name="page46"/>
    <w:bookmarkEnd w:id="4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60" w:type="dxa"/>
            <w:vAlign w:val="bottom"/>
            <w:gridSpan w:val="7"/>
            <w:vMerge w:val="restart"/>
          </w:tcPr>
          <w:p>
            <w:pPr>
              <w:ind w:left="3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20" w:type="dxa"/>
            <w:vAlign w:val="bottom"/>
            <w:tcBorders>
              <w:top w:val="single" w:sz="8" w:color="auto"/>
            </w:tcBorders>
            <w:gridSpan w:val="11"/>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Amendment to Amended and Restated Employment Agreement between Casella Waste Systems, Inc. and Edwin D. Johnson dated as of</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July 21, 2022. (incorporated herein by reference to Exhibit 10.5 to the quarterly report on Form 10-Q of Casella as filed on July 29, 2022</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(file no. 000-</w:t>
              </w:r>
            </w:hyperlink>
          </w:p>
        </w:tc>
        <w:tc>
          <w:tcPr>
            <w:tcW w:w="20" w:type="dxa"/>
            <w:vAlign w:val="bottom"/>
            <w:tcBorders>
              <w:bottom w:val="single" w:sz="8" w:color="0000FF"/>
            </w:tcBorders>
          </w:tcPr>
          <w:p>
            <w:pPr>
              <w:spacing w:after="0"/>
              <w:rPr>
                <w:sz w:val="15"/>
                <w:szCs w:val="15"/>
                <w:color w:val="auto"/>
              </w:rPr>
            </w:pPr>
          </w:p>
        </w:tc>
        <w:tc>
          <w:tcPr>
            <w:tcW w:w="460" w:type="dxa"/>
            <w:vAlign w:val="bottom"/>
            <w:tcBorders>
              <w:top w:val="single" w:sz="8" w:color="0000FF"/>
              <w:bottom w:val="single" w:sz="8" w:color="0000FF"/>
            </w:tcBorders>
          </w:tcPr>
          <w:p>
            <w:pPr>
              <w:jc w:val="right"/>
              <w:spacing w:after="0" w:line="182" w:lineRule="exact"/>
              <w:rPr>
                <w:rFonts w:ascii="Times New Roman" w:cs="Times New Roman" w:eastAsia="Times New Roman" w:hAnsi="Times New Roman"/>
                <w:sz w:val="18"/>
                <w:szCs w:val="18"/>
                <w:color w:val="0000FF"/>
                <w:w w:val="71"/>
              </w:rPr>
            </w:pPr>
            <w:hyperlink r:id="rId72">
              <w:r>
                <w:rPr>
                  <w:rFonts w:ascii="Times New Roman" w:cs="Times New Roman" w:eastAsia="Times New Roman" w:hAnsi="Times New Roman"/>
                  <w:sz w:val="18"/>
                  <w:szCs w:val="18"/>
                  <w:color w:val="0000FF"/>
                  <w:w w:val="71"/>
                </w:rPr>
                <w:t>23211)).</w:t>
              </w:r>
            </w:hyperlink>
          </w:p>
        </w:tc>
        <w:tc>
          <w:tcPr>
            <w:tcW w:w="73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gridSpan w:val="2"/>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John W. Casella, Principal Executive Officer, pursuant to Section 302 of the Sarbanes – 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9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Edmond R. Coletta, Principal Financial Officer, pursuant to Section 302 of the Sarbanes – Oxley Act of 2002.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40" w:type="dxa"/>
            <w:vAlign w:val="bottom"/>
            <w:gridSpan w:val="5"/>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60" w:type="dxa"/>
            <w:vAlign w:val="bottom"/>
            <w:tcBorders>
              <w:top w:val="single" w:sz="8" w:color="0000FF"/>
            </w:tcBorders>
            <w:gridSpan w:val="7"/>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32.2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 Oxley</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800" w:type="dxa"/>
            <w:vAlign w:val="bottom"/>
            <w:tcBorders>
              <w:top w:val="single" w:sz="8" w:color="0000FF"/>
            </w:tcBorders>
            <w:gridSpan w:val="6"/>
          </w:tcPr>
          <w:p>
            <w:pPr>
              <w:spacing w:after="0"/>
              <w:rPr>
                <w:sz w:val="13"/>
                <w:szCs w:val="13"/>
                <w:color w:val="auto"/>
              </w:rPr>
            </w:pPr>
          </w:p>
        </w:tc>
        <w:tc>
          <w:tcPr>
            <w:tcW w:w="30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2"/>
                <w:szCs w:val="22"/>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292"/>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1200" w:right="40" w:hanging="742"/>
        <w:spacing w:after="0" w:line="217" w:lineRule="auto"/>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 Attached as Exhibit 101 to this report are the following formatted in inline XBRL (Extensible Business Reporting Language): (i) Consolidated Balance Sheets as of September 30, 2022 and December 31, 2021, (ii) Consolidated Statements of Operations for the three and nine months ended September 30, 2022 and 2021, (iii) Consolidated Statements of Comprehensive Income for the three and nine months ended September 30, 2022 and 2021, (iv) Consolidated Statements of Stockholders’ Equity for the three and nine months ended September 30, 2022 and 2021, (v) Consolidated Statements of Cash Flows for the nine months ended September 30, 2022 and 2021, and (vi) Notes to Consolidated Financial Statements.</w:t>
      </w:r>
    </w:p>
    <w:p>
      <w:pPr>
        <w:spacing w:after="0" w:line="11" w:lineRule="exact"/>
        <w:rPr>
          <w:sz w:val="20"/>
          <w:szCs w:val="20"/>
          <w:color w:val="auto"/>
        </w:rPr>
      </w:pPr>
    </w:p>
    <w:p>
      <w:pPr>
        <w:ind w:left="1200" w:hanging="703"/>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1200" w:hanging="753"/>
        <w:spacing w:after="0"/>
        <w:tabs>
          <w:tab w:leader="none" w:pos="12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3" w:right="37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Kevin Drohan</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Drohan</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50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8"/>
        </w:trPr>
        <w:tc>
          <w:tcPr>
            <w:tcW w:w="370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00"/>
          </w:cols>
          <w:pgMar w:left="320" w:top="1103"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6"/>
        </w:trPr>
        <w:tc>
          <w:tcPr>
            <w:tcW w:w="55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tc>
      </w:tr>
      <w:tr>
        <w:trPr>
          <w:trHeight w:val="236"/>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Casella Waste Systems, Inc.;</w:t>
      </w:r>
    </w:p>
    <w:p>
      <w:pPr>
        <w:spacing w:after="0" w:line="117" w:lineRule="exact"/>
        <w:rPr>
          <w:rFonts w:ascii="Times New Roman" w:cs="Times New Roman" w:eastAsia="Times New Roman" w:hAnsi="Times New Roman"/>
          <w:sz w:val="18"/>
          <w:szCs w:val="18"/>
          <w:color w:val="auto"/>
        </w:rPr>
      </w:pPr>
    </w:p>
    <w:p>
      <w:pPr>
        <w:ind w:left="420" w:right="120" w:hanging="7"/>
        <w:spacing w:after="0" w:line="266"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20" w:right="80" w:hanging="7"/>
        <w:spacing w:after="0" w:line="282"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20" w:right="300" w:hanging="7"/>
        <w:spacing w:after="0" w:line="266"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420" w:right="20" w:firstLine="479"/>
        <w:spacing w:after="0" w:line="266"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420" w:right="240" w:firstLine="479"/>
        <w:spacing w:after="0" w:line="282"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20" w:right="220" w:firstLine="479"/>
        <w:spacing w:after="0" w:line="266"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20" w:hanging="7"/>
        <w:spacing w:after="0" w:line="282" w:lineRule="auto"/>
        <w:tabs>
          <w:tab w:leader="none" w:pos="6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20" w:right="160" w:firstLine="479"/>
        <w:spacing w:after="0" w:line="282" w:lineRule="auto"/>
        <w:tabs>
          <w:tab w:leader="none" w:pos="129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6"/>
        </w:trPr>
        <w:tc>
          <w:tcPr>
            <w:tcW w:w="4340" w:type="dxa"/>
            <w:vAlign w:val="bottom"/>
          </w:tcPr>
          <w:p>
            <w:pPr>
              <w:spacing w:after="0"/>
              <w:rPr>
                <w:sz w:val="18"/>
                <w:szCs w:val="18"/>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Edmond R. Coletta</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tc>
      </w:tr>
      <w:tr>
        <w:trPr>
          <w:trHeight w:val="236"/>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2022 as filed with the Securities and Exchange Commission on the date hereof (“Report”), the undersigned, John W. Casella, Chairman and Chief Executive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John W. Casella</w:t>
            </w:r>
          </w:p>
        </w:tc>
      </w:tr>
      <w:tr>
        <w:trPr>
          <w:trHeight w:val="218"/>
        </w:trPr>
        <w:tc>
          <w:tcPr>
            <w:tcW w:w="568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Casella Waste Systems, Inc. for the period ended September 30, 2022 as filed with the Securities and Exchange Commission on the date hereof (“Report”), the undersigned, Edmond R. Coletta, Senior Vice President and Chief Financial Officer, hereby certifies, pursuant to 18 U.S.C. Section 1350, that, to his knowledge:</w:t>
      </w:r>
    </w:p>
    <w:p>
      <w:pPr>
        <w:spacing w:after="0" w:line="176" w:lineRule="exact"/>
        <w:rPr>
          <w:sz w:val="20"/>
          <w:szCs w:val="20"/>
          <w:color w:val="auto"/>
        </w:rPr>
      </w:pPr>
    </w:p>
    <w:p>
      <w:pPr>
        <w:ind w:left="640" w:hanging="227"/>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227"/>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2022</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Edmond R. Coletta</w:t>
            </w:r>
          </w:p>
        </w:tc>
      </w:tr>
      <w:tr>
        <w:trPr>
          <w:trHeight w:val="218"/>
        </w:trPr>
        <w:tc>
          <w:tcPr>
            <w:tcW w:w="524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9"/>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lowerRoman"/>
      <w:start w:val="4"/>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3" Type="http://schemas.openxmlformats.org/officeDocument/2006/relationships/image" Target="media/image65.png"/><Relationship Id="rId72" Type="http://schemas.openxmlformats.org/officeDocument/2006/relationships/hyperlink" Target="https://www.sec.gov/Archives/edgar/data/911177/000091117722000053/cwst-ex105063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2022-10-28T16:24:00Z</dcterms:created>
  <dcterms:modified xsi:type="dcterms:W3CDTF">2022-10-28T16:24:00Z</dcterms:modified>
</cp:coreProperties>
</file>