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86995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-127635</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102870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167640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660" w:type="dxa"/>
        <w:tblCellMar>
          <w:top w:w="0" w:type="dxa"/>
          <w:left w:w="0" w:type="dxa"/>
          <w:bottom w:w="0" w:type="dxa"/>
          <w:right w:w="0" w:type="dxa"/>
        </w:tblCellMar>
      </w:tblPr>
      <w:tr>
        <w:trPr>
          <w:trHeight w:val="186"/>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4"/>
              </w:rPr>
              <w:t>Delaware</w:t>
            </w:r>
          </w:p>
        </w:tc>
        <w:tc>
          <w:tcPr>
            <w:tcW w:w="3100" w:type="dxa"/>
            <w:vAlign w:val="bottom"/>
          </w:tcPr>
          <w:p>
            <w:pPr>
              <w:jc w:val="right"/>
              <w:ind w:right="148"/>
              <w:spacing w:after="0"/>
              <w:rPr>
                <w:sz w:val="20"/>
                <w:szCs w:val="20"/>
                <w:color w:val="auto"/>
              </w:rPr>
            </w:pPr>
            <w:r>
              <w:rPr>
                <w:rFonts w:ascii="Arial" w:cs="Arial" w:eastAsia="Arial" w:hAnsi="Arial"/>
                <w:sz w:val="14"/>
                <w:szCs w:val="14"/>
                <w:b w:val="1"/>
                <w:bCs w:val="1"/>
                <w:color w:val="auto"/>
              </w:rPr>
              <w:t>03-0338873</w:t>
            </w:r>
          </w:p>
        </w:tc>
      </w:tr>
      <w:tr>
        <w:trPr>
          <w:trHeight w:val="165"/>
        </w:trPr>
        <w:tc>
          <w:tcPr>
            <w:tcW w:w="4380" w:type="dxa"/>
            <w:vAlign w:val="bottom"/>
          </w:tcPr>
          <w:p>
            <w:pPr>
              <w:jc w:val="center"/>
              <w:ind w:right="1908"/>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908"/>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8"/>
              <w:spacing w:after="0"/>
              <w:rPr>
                <w:sz w:val="20"/>
                <w:szCs w:val="20"/>
                <w:color w:val="auto"/>
              </w:rPr>
            </w:pPr>
            <w:r>
              <w:rPr>
                <w:rFonts w:ascii="Arial" w:cs="Arial" w:eastAsia="Arial" w:hAnsi="Arial"/>
                <w:sz w:val="14"/>
                <w:szCs w:val="14"/>
                <w:b w:val="1"/>
                <w:bCs w:val="1"/>
                <w:color w:val="auto"/>
                <w:w w:val="96"/>
              </w:rPr>
              <w:t>Identification No.)</w:t>
            </w:r>
          </w:p>
        </w:tc>
      </w:tr>
      <w:tr>
        <w:trPr>
          <w:trHeight w:val="392"/>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5"/>
              </w:rPr>
              <w:t>25 Greens Hill Lane, Rutland, Vermont</w:t>
            </w:r>
          </w:p>
        </w:tc>
        <w:tc>
          <w:tcPr>
            <w:tcW w:w="3100" w:type="dxa"/>
            <w:vAlign w:val="bottom"/>
          </w:tcPr>
          <w:p>
            <w:pPr>
              <w:jc w:val="right"/>
              <w:ind w:right="308"/>
              <w:spacing w:after="0"/>
              <w:rPr>
                <w:sz w:val="20"/>
                <w:szCs w:val="20"/>
                <w:color w:val="auto"/>
              </w:rPr>
            </w:pPr>
            <w:r>
              <w:rPr>
                <w:rFonts w:ascii="Arial" w:cs="Arial" w:eastAsia="Arial" w:hAnsi="Arial"/>
                <w:sz w:val="14"/>
                <w:szCs w:val="14"/>
                <w:b w:val="1"/>
                <w:bCs w:val="1"/>
                <w:color w:val="auto"/>
              </w:rPr>
              <w:t>05701</w:t>
            </w:r>
          </w:p>
        </w:tc>
      </w:tr>
      <w:tr>
        <w:trPr>
          <w:trHeight w:val="203"/>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8"/>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180340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76" w:lineRule="exact"/>
        <w:rPr>
          <w:sz w:val="24"/>
          <w:szCs w:val="24"/>
          <w:color w:val="auto"/>
        </w:rPr>
      </w:pPr>
    </w:p>
    <w:p>
      <w:pPr>
        <w:ind w:right="18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24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6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120" w:type="dxa"/>
            <w:vAlign w:val="bottom"/>
          </w:tcPr>
          <w:p>
            <w:pPr>
              <w:ind w:left="92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4640" w:type="dxa"/>
            <w:vAlign w:val="bottom"/>
          </w:tcPr>
          <w:p>
            <w:pPr>
              <w:ind w:left="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120" w:type="dxa"/>
            <w:vAlign w:val="bottom"/>
          </w:tcPr>
          <w:p>
            <w:pPr>
              <w:ind w:left="92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120" w:type="dxa"/>
            <w:vAlign w:val="bottom"/>
          </w:tcPr>
          <w:p>
            <w:pPr>
              <w:ind w:left="92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April 30, 2018:</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ind w:left="1640"/>
              <w:spacing w:after="0"/>
              <w:rPr>
                <w:sz w:val="20"/>
                <w:szCs w:val="20"/>
                <w:color w:val="auto"/>
              </w:rPr>
            </w:pPr>
            <w:r>
              <w:rPr>
                <w:rFonts w:ascii="Arial" w:cs="Arial" w:eastAsia="Arial" w:hAnsi="Arial"/>
                <w:sz w:val="16"/>
                <w:szCs w:val="16"/>
                <w:color w:val="auto"/>
              </w:rPr>
              <w:t>Class A common stock, $0.01 par value per share:</w:t>
            </w:r>
          </w:p>
        </w:tc>
        <w:tc>
          <w:tcPr>
            <w:tcW w:w="5340" w:type="dxa"/>
            <w:vAlign w:val="bottom"/>
          </w:tcPr>
          <w:p>
            <w:pPr>
              <w:jc w:val="right"/>
              <w:ind w:right="3339"/>
              <w:spacing w:after="0"/>
              <w:rPr>
                <w:sz w:val="20"/>
                <w:szCs w:val="20"/>
                <w:color w:val="auto"/>
              </w:rPr>
            </w:pPr>
            <w:r>
              <w:rPr>
                <w:rFonts w:ascii="Arial" w:cs="Arial" w:eastAsia="Arial" w:hAnsi="Arial"/>
                <w:sz w:val="16"/>
                <w:szCs w:val="16"/>
                <w:color w:val="auto"/>
              </w:rPr>
              <w:t>41,700,119</w:t>
            </w:r>
          </w:p>
        </w:tc>
      </w:tr>
      <w:tr>
        <w:trPr>
          <w:trHeight w:val="270"/>
        </w:trPr>
        <w:tc>
          <w:tcPr>
            <w:tcW w:w="6080" w:type="dxa"/>
            <w:vAlign w:val="bottom"/>
          </w:tcPr>
          <w:p>
            <w:pPr>
              <w:ind w:left="1640"/>
              <w:spacing w:after="0"/>
              <w:rPr>
                <w:sz w:val="20"/>
                <w:szCs w:val="20"/>
                <w:color w:val="auto"/>
              </w:rPr>
            </w:pPr>
            <w:r>
              <w:rPr>
                <w:rFonts w:ascii="Arial" w:cs="Arial" w:eastAsia="Arial" w:hAnsi="Arial"/>
                <w:sz w:val="16"/>
                <w:szCs w:val="16"/>
                <w:color w:val="auto"/>
              </w:rPr>
              <w:t>Class B common stock, $0.01 par value per share:</w:t>
            </w:r>
          </w:p>
        </w:tc>
        <w:tc>
          <w:tcPr>
            <w:tcW w:w="5340" w:type="dxa"/>
            <w:vAlign w:val="bottom"/>
          </w:tcPr>
          <w:p>
            <w:pPr>
              <w:jc w:val="right"/>
              <w:ind w:right="3339"/>
              <w:spacing w:after="0"/>
              <w:rPr>
                <w:sz w:val="20"/>
                <w:szCs w:val="20"/>
                <w:color w:val="auto"/>
              </w:rPr>
            </w:pPr>
            <w:r>
              <w:rPr>
                <w:rFonts w:ascii="Arial" w:cs="Arial" w:eastAsia="Arial" w:hAnsi="Arial"/>
                <w:sz w:val="16"/>
                <w:szCs w:val="16"/>
                <w:color w:val="auto"/>
              </w:rPr>
              <w:t>988,200</w:t>
            </w:r>
          </w:p>
        </w:tc>
      </w:tr>
      <w:tr>
        <w:trPr>
          <w:trHeight w:val="168"/>
        </w:trPr>
        <w:tc>
          <w:tcPr>
            <w:tcW w:w="608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tcPr>
          <w:p>
            <w:pPr>
              <w:spacing w:after="0"/>
              <w:rPr>
                <w:sz w:val="14"/>
                <w:szCs w:val="14"/>
                <w:color w:val="auto"/>
              </w:rPr>
            </w:pPr>
          </w:p>
        </w:tc>
      </w:tr>
      <w:tr>
        <w:trPr>
          <w:trHeight w:val="115"/>
        </w:trPr>
        <w:tc>
          <w:tcPr>
            <w:tcW w:w="608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963"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96"/>
              </w:rPr>
              <w:t>PART I.</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60" w:type="dxa"/>
            <w:vAlign w:val="bottom"/>
          </w:tcPr>
          <w:p>
            <w:pPr>
              <w:ind w:left="62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4"/>
        </w:trPr>
        <w:tc>
          <w:tcPr>
            <w:tcW w:w="680" w:type="dxa"/>
            <w:vAlign w:val="bottom"/>
          </w:tcPr>
          <w:p>
            <w:pPr>
              <w:spacing w:after="0"/>
              <w:rPr>
                <w:sz w:val="24"/>
                <w:szCs w:val="24"/>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98"/>
              </w:rPr>
              <w:t>CASELLA WASTE SYSTEMS, INC. AND SUBSIDIARIES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66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8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jc w:val="center"/>
              <w:ind w:left="231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1,995</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w w:val="97"/>
              </w:rPr>
              <w:t>Accounts receivable - trade, net of allowance for doubtful accounts of $743 and $809, respectively</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66,287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65,953</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Refundable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8,299</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6,534</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1,077</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84,380</w:t>
            </w: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5"/>
              </w:rPr>
              <w:t>Property, plant and equipment, net of accumulated depreciation and amortization of $828,434 and $811,474,</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366,817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361,547</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122,605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8,149</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Cost method investments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12,333</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13,148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631,375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614,949</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 and capital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49,603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47,081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2,093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Current accrued capping, closure and post-closure costs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3,035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84,609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88,569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leases,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477,576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62,208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59,255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26,068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25,106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Casella Waste Systems, Inc. 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820"/>
              <w:spacing w:after="0"/>
              <w:rPr>
                <w:sz w:val="20"/>
                <w:szCs w:val="20"/>
                <w:color w:val="auto"/>
              </w:rPr>
            </w:pPr>
            <w:r>
              <w:rPr>
                <w:rFonts w:ascii="Arial" w:cs="Arial" w:eastAsia="Arial" w:hAnsi="Arial"/>
                <w:sz w:val="18"/>
                <w:szCs w:val="18"/>
                <w:color w:val="auto"/>
                <w:w w:val="94"/>
              </w:rPr>
              <w:t>Class A common stock, $0.01 par value per share; 100,000,000 shares authorized; 41,700,000 and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820"/>
              <w:spacing w:after="0"/>
              <w:rPr>
                <w:sz w:val="20"/>
                <w:szCs w:val="20"/>
                <w:color w:val="auto"/>
              </w:rPr>
            </w:pPr>
            <w:r>
              <w:rPr>
                <w:rFonts w:ascii="Arial" w:cs="Arial" w:eastAsia="Arial" w:hAnsi="Arial"/>
                <w:sz w:val="18"/>
                <w:szCs w:val="18"/>
                <w:color w:val="auto"/>
              </w:rPr>
              <w:t>41,298,000 shares issued and outstanding, respectively</w:t>
            </w:r>
          </w:p>
        </w:tc>
        <w:tc>
          <w:tcPr>
            <w:tcW w:w="24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Class B common stock, $0.01 par value per share; 1,000,000 shares authorized; 988,000 shares issued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and outstanding; 10 votes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359,021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356,638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(395,107)</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184</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631,375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614,949</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4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133,802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94,544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General and administration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Contract settlement charge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Southbridge Landfill closure charge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Development project charge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127,238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debt extinguishment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earnings per share attributable to common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41,584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Basic and diluted earnings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(3,910)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Hedging activity:</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600"/>
              <w:spacing w:after="0"/>
              <w:rPr>
                <w:sz w:val="20"/>
                <w:szCs w:val="20"/>
                <w:color w:val="auto"/>
              </w:rPr>
            </w:pPr>
            <w:r>
              <w:rPr>
                <w:rFonts w:ascii="Arial" w:cs="Arial" w:eastAsia="Arial" w:hAnsi="Arial"/>
                <w:sz w:val="18"/>
                <w:szCs w:val="18"/>
                <w:color w:val="auto"/>
              </w:rPr>
              <w:t>Interest rate swap settlements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Interest rate swap amounts reclassified into interest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43"/>
        </w:trPr>
        <w:tc>
          <w:tcPr>
            <w:tcW w:w="8340" w:type="dxa"/>
            <w:vAlign w:val="bottom"/>
          </w:tcPr>
          <w:p>
            <w:pPr>
              <w:ind w:left="600"/>
              <w:spacing w:after="0"/>
              <w:rPr>
                <w:sz w:val="20"/>
                <w:szCs w:val="20"/>
                <w:color w:val="auto"/>
              </w:rPr>
            </w:pPr>
            <w:r>
              <w:rPr>
                <w:rFonts w:ascii="Arial" w:cs="Arial" w:eastAsia="Arial" w:hAnsi="Arial"/>
                <w:sz w:val="18"/>
                <w:szCs w:val="18"/>
                <w:color w:val="auto"/>
              </w:rPr>
              <w:t>Unrealized gain (loss) resulting from changes in fair value of derivative instruments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resulting from changes in fair value of marketable securities</w:t>
            </w: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related to items of other comprehensive income (loss)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(3,342)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ind w:right="-279"/>
        <w:spacing w:after="0"/>
        <w:rPr>
          <w:sz w:val="20"/>
          <w:szCs w:val="20"/>
          <w:color w:val="auto"/>
        </w:rPr>
      </w:pPr>
      <w:r>
        <w:rPr>
          <w:rFonts w:ascii="Arial" w:cs="Arial" w:eastAsia="Arial" w:hAnsi="Arial"/>
          <w:sz w:val="17"/>
          <w:szCs w:val="17"/>
          <w:b w:val="1"/>
          <w:bCs w:val="1"/>
          <w:color w:val="auto"/>
        </w:rPr>
        <w:t>CASELLA WASTE SYSTEMS, INC. AND SUBSIDIARIES</w:t>
      </w:r>
    </w:p>
    <w:p>
      <w:pPr>
        <w:spacing w:after="0" w:line="3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060"/>
          </w:cols>
          <w:pgMar w:left="280" w:top="58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Balance, December 31, 2017</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Issuances of Class A common stock</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140"/>
        <w:spacing w:after="0" w:line="253" w:lineRule="auto"/>
        <w:rPr>
          <w:sz w:val="20"/>
          <w:szCs w:val="20"/>
          <w:color w:val="auto"/>
        </w:rPr>
      </w:pPr>
      <w:r>
        <w:rPr>
          <w:rFonts w:ascii="Arial" w:cs="Arial" w:eastAsia="Arial" w:hAnsi="Arial"/>
          <w:sz w:val="14"/>
          <w:szCs w:val="14"/>
          <w:color w:val="auto"/>
        </w:rPr>
        <w:t>Cumulative effect of new accounting principle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Balance, March 31, 2018</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3"/>
                <w:szCs w:val="13"/>
                <w:b w:val="1"/>
                <w:bCs w:val="1"/>
                <w:color w:val="auto"/>
              </w:rPr>
              <w:t>Casella Waste Systems, Inc. Stockholders' Deficit</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left="651"/>
              <w:spacing w:after="0" w:line="144" w:lineRule="exact"/>
              <w:rPr>
                <w:sz w:val="20"/>
                <w:szCs w:val="20"/>
                <w:color w:val="auto"/>
              </w:rPr>
            </w:pPr>
            <w:r>
              <w:rPr>
                <w:rFonts w:ascii="Arial" w:cs="Arial" w:eastAsia="Arial" w:hAnsi="Arial"/>
                <w:sz w:val="13"/>
                <w:szCs w:val="13"/>
                <w:b w:val="1"/>
                <w:bCs w:val="1"/>
                <w:color w:val="auto"/>
                <w:w w:val="83"/>
              </w:rPr>
              <w:t>Class 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left="671"/>
              <w:spacing w:after="0" w:line="144" w:lineRule="exact"/>
              <w:rPr>
                <w:sz w:val="20"/>
                <w:szCs w:val="20"/>
                <w:color w:val="auto"/>
              </w:rPr>
            </w:pPr>
            <w:r>
              <w:rPr>
                <w:rFonts w:ascii="Arial" w:cs="Arial" w:eastAsia="Arial" w:hAnsi="Arial"/>
                <w:sz w:val="13"/>
                <w:szCs w:val="13"/>
                <w:b w:val="1"/>
                <w:bCs w:val="1"/>
                <w:color w:val="auto"/>
                <w:w w:val="83"/>
              </w:rPr>
              <w:t>Class B</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98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5"/>
              </w:rPr>
              <w:t>Common Stock</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Additional Paid-In</w:t>
            </w:r>
          </w:p>
        </w:tc>
        <w:tc>
          <w:tcPr>
            <w:tcW w:w="140" w:type="dxa"/>
            <w:vAlign w:val="bottom"/>
          </w:tcPr>
          <w:p>
            <w:pPr>
              <w:spacing w:after="0"/>
              <w:rPr>
                <w:sz w:val="15"/>
                <w:szCs w:val="15"/>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5"/>
                <w:szCs w:val="15"/>
                <w:color w:val="auto"/>
              </w:rPr>
            </w:pPr>
          </w:p>
        </w:tc>
        <w:tc>
          <w:tcPr>
            <w:tcW w:w="130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1"/>
              </w:rPr>
              <w:t>Accumulated Other</w:t>
            </w: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144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w w:val="91"/>
              </w:rPr>
              <w:t>Comprehensive Income</w:t>
            </w:r>
          </w:p>
        </w:tc>
        <w:tc>
          <w:tcPr>
            <w:tcW w:w="0" w:type="dxa"/>
            <w:vAlign w:val="bottom"/>
          </w:tcPr>
          <w:p>
            <w:pPr>
              <w:spacing w:after="0"/>
              <w:rPr>
                <w:sz w:val="1"/>
                <w:szCs w:val="1"/>
                <w:color w:val="auto"/>
              </w:rPr>
            </w:pPr>
          </w:p>
        </w:tc>
      </w:tr>
      <w:tr>
        <w:trPr>
          <w:trHeight w:val="245"/>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(37,862)</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41,298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1"/>
                <w:szCs w:val="21"/>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356,638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(395,107)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(3,910)</w:t>
            </w:r>
          </w:p>
        </w:tc>
        <w:tc>
          <w:tcPr>
            <w:tcW w:w="12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3"/>
                <w:szCs w:val="23"/>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2,077</w:t>
            </w:r>
          </w:p>
        </w:tc>
        <w:tc>
          <w:tcPr>
            <w:tcW w:w="12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2,077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7"/>
        </w:trPr>
        <w:tc>
          <w:tcPr>
            <w:tcW w:w="1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37"/>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(38,817)</w:t>
            </w: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41,700</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359,021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(398,999)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-1268730</wp:posOffset>
            </wp:positionV>
            <wp:extent cx="70408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-925830</wp:posOffset>
            </wp:positionV>
            <wp:extent cx="70408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-582295</wp:posOffset>
            </wp:positionV>
            <wp:extent cx="70408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-187960</wp:posOffset>
            </wp:positionV>
            <wp:extent cx="70408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2260" w:space="40"/>
            <w:col w:w="8760"/>
          </w:cols>
          <w:pgMar w:left="280" w:top="580" w:right="559" w:bottom="1440" w:gutter="0" w:footer="0" w:header="0"/>
          <w:type w:val="continuous"/>
        </w:sectPr>
      </w:pPr>
    </w:p>
    <w:p>
      <w:pPr>
        <w:jc w:val="center"/>
        <w:ind w:right="-2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280" w:top="580" w:right="55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7"/>
          <w:szCs w:val="17"/>
          <w:b w:val="1"/>
          <w:bCs w:val="1"/>
          <w:color w:val="auto"/>
        </w:rPr>
        <w:t>CASELLA WASTE SYSTEMS, INC. AND SUBSIDIARIES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-106680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Adjustments to reconcile net loss to net cash provided by operating activities: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Depletion of landfill operating lease obligations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Amortization of debt issuance costs and discount on long-term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Gain on sale of property and equipment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Southbridge Landfill non-cash closure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Development project charge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Loss on debt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Changes in assets and liabilities, net of effects of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Prepaid expenses, inventories and other assets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Accrued expenses, contract liabilities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Acquisitions, net of cash acquired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Acquisition related 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Additions to property, plant and equipment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on landfill operating lease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sale of property and equipment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Principal payments on long-term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the exercise of share based awards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increase (decrease) in cash and cash equivalents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end of period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81280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paid during the period for:</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Income taxes, net of refunds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Non-current assets obtained through long-term obligations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528"/>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(3,910)</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15,983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13,849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1,764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1,242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5,569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(4,485)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(8,246)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(8,834)</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12,794</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10,676</w:t>
            </w:r>
          </w:p>
        </w:tc>
      </w:tr>
      <w:tr>
        <w:trPr>
          <w:trHeight w:val="528"/>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(18,958)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(7,920)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(8,634)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(977)</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(28,043)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(9,999)</w:t>
            </w:r>
          </w:p>
        </w:tc>
      </w:tr>
      <w:tr>
        <w:trPr>
          <w:trHeight w:val="528"/>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66,700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71,200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(51,364)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(71,933)</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15,646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(318)</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2,544</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5"/>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5,547</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8,045</w:t>
            </w:r>
          </w:p>
        </w:tc>
      </w:tr>
      <w:tr>
        <w:trPr>
          <w:trHeight w:val="27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54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106" w:lineRule="exact"/>
        <w:rPr>
          <w:sz w:val="20"/>
          <w:szCs w:val="20"/>
          <w:color w:val="auto"/>
        </w:rPr>
      </w:pPr>
    </w:p>
    <w:p>
      <w:pPr>
        <w:sectPr>
          <w:pgSz w:w="11900" w:h="16838" w:orient="portrait"/>
          <w:cols w:equalWidth="0" w:num="2">
            <w:col w:w="7580" w:space="720"/>
            <w:col w:w="3080"/>
          </w:cols>
          <w:pgMar w:left="280" w:top="580"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380"/>
          </w:cols>
          <w:pgMar w:left="280" w:top="580" w:right="239" w:bottom="1440" w:gutter="0" w:footer="0" w:header="0"/>
          <w:type w:val="continuous"/>
        </w:sect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8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36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Casella Waste Systems, Inc. (“Parent”), and its consolidated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major account and industrial services, discontinued operations and earnings from equity method investees, as applicable, are included in our Other segment.</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2017, which was filed with the SEC on March 2, 2018.</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comparative purposes, certain prior period amounts in the consolidated financial statements, including the presentation of contract balances associated with the adoption of Accounting Standards Update ("ASU") 2014-09, as amended, Revenue from Contracts with Customers (</w:t>
      </w:r>
      <w:r>
        <w:rPr>
          <w:rFonts w:ascii="Arial" w:cs="Arial" w:eastAsia="Arial" w:hAnsi="Arial"/>
          <w:sz w:val="18"/>
          <w:szCs w:val="18"/>
          <w:i w:val="1"/>
          <w:iCs w:val="1"/>
          <w:color w:val="auto"/>
        </w:rPr>
        <w:t>Topic 606</w:t>
      </w:r>
      <w:r>
        <w:rPr>
          <w:rFonts w:ascii="Arial" w:cs="Arial" w:eastAsia="Arial" w:hAnsi="Arial"/>
          <w:sz w:val="18"/>
          <w:szCs w:val="18"/>
          <w:color w:val="auto"/>
        </w:rPr>
        <w:t xml:space="preserve">) have been reclassified. See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discussion regarding these changes.</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months ended March 31, 2018 may not be indicative of the results for any other interim period or the entire fiscal year. The consolidated financial statements presented herein should be read in conjunction with our audited consolidated financial statements included in our Annual Report on Form 10-K for the fiscal year ended December 31,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March 31, 2018 through the date of filing of the consolidated financial statements with the SEC on this Quarterly Report on Form 10-Q. We have determined that, except as disclosed, there are no subsequent events that require disclosure in this Quarterly Report on Form 10-Q.</w:t>
      </w:r>
    </w:p>
    <w:p>
      <w:pPr>
        <w:spacing w:after="0" w:line="17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CHANGES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table providing a brief description of recent ASUs to the Accounting Standards Codification (“ASC”) issued by the Financial Accounting Standards Board (“FASB”) deemed to have a possible material effect on our consolidated financial statements upon adoption based on current account balances and activity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Standard</w:t>
            </w:r>
          </w:p>
        </w:tc>
        <w:tc>
          <w:tcPr>
            <w:tcW w:w="25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4260" w:type="dxa"/>
            <w:vAlign w:val="bottom"/>
          </w:tcPr>
          <w:p>
            <w:pPr>
              <w:jc w:val="center"/>
              <w:ind w:left="54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42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90"/>
        </w:trPr>
        <w:tc>
          <w:tcPr>
            <w:tcW w:w="4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Accounting standards that are adopted effective January 1, 2018</w:t>
            </w:r>
          </w:p>
        </w:tc>
        <w:tc>
          <w:tcPr>
            <w:tcW w:w="25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420"/>
          </w:cols>
          <w:pgMar w:left="240" w:top="580" w:right="239" w:bottom="0" w:gutter="0" w:footer="0" w:header="0"/>
        </w:sectPr>
      </w:pPr>
    </w:p>
    <w:p>
      <w:pPr>
        <w:ind w:left="40"/>
        <w:spacing w:after="0"/>
        <w:tabs>
          <w:tab w:leader="none" w:pos="3900" w:val="left"/>
        </w:tabs>
        <w:rPr>
          <w:sz w:val="20"/>
          <w:szCs w:val="20"/>
          <w:color w:val="auto"/>
        </w:rPr>
      </w:pPr>
      <w:r>
        <w:rPr>
          <w:rFonts w:ascii="Arial" w:cs="Arial" w:eastAsia="Arial" w:hAnsi="Arial"/>
          <w:sz w:val="18"/>
          <w:szCs w:val="18"/>
          <w:color w:val="auto"/>
        </w:rPr>
        <w:t>ASU 2017-09: Compensation - Stock</w:t>
      </w:r>
      <w:r>
        <w:rPr>
          <w:sz w:val="20"/>
          <w:szCs w:val="20"/>
          <w:color w:val="auto"/>
        </w:rPr>
        <w:tab/>
      </w:r>
      <w:r>
        <w:rPr>
          <w:rFonts w:ascii="Arial" w:cs="Arial" w:eastAsia="Arial" w:hAnsi="Arial"/>
          <w:sz w:val="16"/>
          <w:szCs w:val="16"/>
          <w:color w:val="auto"/>
        </w:rPr>
        <w:t>Requires that an entity should account for the</w:t>
      </w:r>
    </w:p>
    <w:p>
      <w:pPr>
        <w:spacing w:after="0" w:line="23" w:lineRule="exact"/>
        <w:rPr>
          <w:sz w:val="20"/>
          <w:szCs w:val="20"/>
          <w:color w:val="auto"/>
        </w:rPr>
      </w:pPr>
    </w:p>
    <w:p>
      <w:pPr>
        <w:ind w:left="40"/>
        <w:spacing w:after="0"/>
        <w:tabs>
          <w:tab w:leader="none" w:pos="3900" w:val="left"/>
        </w:tabs>
        <w:rPr>
          <w:sz w:val="20"/>
          <w:szCs w:val="20"/>
          <w:color w:val="auto"/>
        </w:rPr>
      </w:pPr>
      <w:r>
        <w:rPr>
          <w:rFonts w:ascii="Arial" w:cs="Arial" w:eastAsia="Arial" w:hAnsi="Arial"/>
          <w:sz w:val="18"/>
          <w:szCs w:val="18"/>
          <w:color w:val="auto"/>
        </w:rPr>
        <w:t>Compensation (</w:t>
      </w:r>
      <w:r>
        <w:rPr>
          <w:rFonts w:ascii="Arial" w:cs="Arial" w:eastAsia="Arial" w:hAnsi="Arial"/>
          <w:sz w:val="18"/>
          <w:szCs w:val="18"/>
          <w:i w:val="1"/>
          <w:iCs w:val="1"/>
          <w:color w:val="auto"/>
        </w:rPr>
        <w:t>Topic 718</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effects of a modification to an award unless all of</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the following conditions are met: the fair value of</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the modified award is the same as the fair value</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of the original award immediately before the</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original award is modified; the vesting conditions</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of the modified award are the same as the vesting</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conditions immediately before the original award</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is modified; and the classification of modified</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award as an equity instrument or a liability</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instrument is the same as the classification of the</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original award immediately before the original</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award is modified.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adoption of this guidance could affect equity compensation expense and net income if there is a modification of an award.</w:t>
      </w:r>
    </w:p>
    <w:p>
      <w:pPr>
        <w:spacing w:after="0" w:line="2204" w:lineRule="exact"/>
        <w:rPr>
          <w:sz w:val="20"/>
          <w:szCs w:val="20"/>
          <w:color w:val="auto"/>
        </w:rPr>
      </w:pPr>
    </w:p>
    <w:p>
      <w:pPr>
        <w:sectPr>
          <w:pgSz w:w="11900" w:h="16838" w:orient="portrait"/>
          <w:cols w:equalWidth="0" w:num="2">
            <w:col w:w="7500" w:space="300"/>
            <w:col w:w="3620"/>
          </w:cols>
          <w:pgMar w:left="240" w:top="580" w:right="239" w:bottom="0" w:gutter="0" w:footer="0" w:header="0"/>
          <w:type w:val="continuous"/>
        </w:sectPr>
      </w:pPr>
    </w:p>
    <w:p>
      <w:pPr>
        <w:ind w:left="40"/>
        <w:spacing w:after="0"/>
        <w:rPr>
          <w:sz w:val="20"/>
          <w:szCs w:val="20"/>
          <w:color w:val="auto"/>
        </w:rPr>
      </w:pPr>
      <w:r>
        <w:rPr>
          <w:rFonts w:ascii="Arial" w:cs="Arial" w:eastAsia="Arial" w:hAnsi="Arial"/>
          <w:sz w:val="16"/>
          <w:szCs w:val="16"/>
          <w:color w:val="auto"/>
        </w:rPr>
        <w:t>ASU 2016-01, as amended through March 2018:</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Financial Instruments - Overall (</w:t>
      </w:r>
      <w:r>
        <w:rPr>
          <w:rFonts w:ascii="Arial" w:cs="Arial" w:eastAsia="Arial" w:hAnsi="Arial"/>
          <w:sz w:val="17"/>
          <w:szCs w:val="17"/>
          <w:i w:val="1"/>
          <w:iCs w:val="1"/>
          <w:color w:val="auto"/>
        </w:rPr>
        <w:t>Topic 825-10</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Requires the following: (1) equity investments (except those accounted for under the equity method of accounting, or those that result in consolidation of the investee) to be measured at fair value with changes in fair value recognized in net income; (2) entities to use the exit price notion when measuring the fair value of financial instruments for disclosure purposes; (3) separate presentation of financial assets and financial liabilities by measurement category and form of</w:t>
      </w:r>
    </w:p>
    <w:p>
      <w:pPr>
        <w:spacing w:after="0" w:line="20" w:lineRule="exact"/>
        <w:rPr>
          <w:sz w:val="20"/>
          <w:szCs w:val="20"/>
          <w:color w:val="auto"/>
        </w:rPr>
      </w:pPr>
      <w:r>
        <w:rPr>
          <w:sz w:val="20"/>
          <w:szCs w:val="20"/>
          <w:color w:val="auto"/>
        </w:rPr>
        <w:br w:type="column"/>
      </w:r>
    </w:p>
    <w:p>
      <w:pPr>
        <w:ind w:right="80"/>
        <w:spacing w:after="0" w:line="272" w:lineRule="auto"/>
        <w:rPr>
          <w:sz w:val="20"/>
          <w:szCs w:val="20"/>
          <w:color w:val="auto"/>
        </w:rPr>
      </w:pPr>
      <w:r>
        <w:rPr>
          <w:rFonts w:ascii="Arial" w:cs="Arial" w:eastAsia="Arial" w:hAnsi="Arial"/>
          <w:sz w:val="17"/>
          <w:szCs w:val="17"/>
          <w:color w:val="auto"/>
        </w:rPr>
        <w:t>The adoption of this guidance resulted in: a cumulative-effect adjustment to Accumulated Deficit; recognition of the change in fair value of certain equity investments in net income; and enhanced disclosure. The adoption of this guidance did not have a material impact on our consolidated financial statements.</w:t>
      </w:r>
    </w:p>
    <w:p>
      <w:pPr>
        <w:sectPr>
          <w:pgSz w:w="11900" w:h="16838" w:orient="portrait"/>
          <w:cols w:equalWidth="0" w:num="3">
            <w:col w:w="3540" w:space="380"/>
            <w:col w:w="3560" w:space="320"/>
            <w:col w:w="3620"/>
          </w:cols>
          <w:pgMar w:left="240" w:top="580" w:right="239" w:bottom="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40"/>
        <w:spacing w:after="0" w:line="264" w:lineRule="auto"/>
        <w:rPr>
          <w:sz w:val="20"/>
          <w:szCs w:val="20"/>
          <w:color w:val="auto"/>
        </w:rPr>
      </w:pPr>
      <w:r>
        <w:rPr>
          <w:rFonts w:ascii="Arial" w:cs="Arial" w:eastAsia="Arial" w:hAnsi="Arial"/>
          <w:sz w:val="18"/>
          <w:szCs w:val="18"/>
          <w:color w:val="auto"/>
        </w:rPr>
        <w:t>ASU 2014-09, as amended through November 2017: Revenue from Contracts with Customers (</w:t>
      </w:r>
      <w:r>
        <w:rPr>
          <w:rFonts w:ascii="Arial" w:cs="Arial" w:eastAsia="Arial" w:hAnsi="Arial"/>
          <w:sz w:val="18"/>
          <w:szCs w:val="18"/>
          <w:i w:val="1"/>
          <w:iCs w:val="1"/>
          <w:color w:val="auto"/>
        </w:rPr>
        <w:t>Topic 606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financial asset; and (4) the elimination of the disclosure requirement to disclose the method(s) and significant assumptions used to estimate the fair value that is required to be disclosed for financial instruments measured at amortized cost.</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core principle of the guidance is that using a five step methodology an entity should recognize revenue to depict the transfer of promised goods or services to customers in an amount that reflects the consideration to which the entity expects to be entitled in exchange for those goods or services. The standard also requires enhanced qualitative and quantitative disclosure regarding revenue recognition from customer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The adoption of this guidance requires using either a full retrospective approach for all periods presented or a modified retrospective approach with a cumulative effect adjustment to Accumulated Deficit as of the date of adoption. We adopted the guidance using the modified retrospective approach effective January 1, 2018 with no adjustment to Accumulated Deficit. We adopted the standard through the application of the portfolio approach. We selected a sample of customer contracts to assess under the guidance of the new standard that were characteristically representative of each portfolio. Upon completion of our review, the guidance did not result in a significant change to the timing of revenue recognition. We identified certain immaterial sales commissions, which represent costs of obtaining a contract, that should be capitalized as contract acquisition costs under the guidance and amortized to general and administration expense over the expected life of the customer contract. Based on the immateriality of these sales commissions, no adjustment to Accumulated Deficit nor the accounting of these costs was deemed necessary. See Note 3, </w:t>
      </w: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for additional disclosure.</w:t>
      </w:r>
    </w:p>
    <w:p>
      <w:pPr>
        <w:spacing w:after="0" w:line="200" w:lineRule="exact"/>
        <w:rPr>
          <w:sz w:val="20"/>
          <w:szCs w:val="20"/>
          <w:color w:val="auto"/>
        </w:rPr>
      </w:pPr>
    </w:p>
    <w:p>
      <w:pPr>
        <w:sectPr>
          <w:pgSz w:w="11900" w:h="16944" w:orient="portrait"/>
          <w:cols w:equalWidth="0" w:num="3">
            <w:col w:w="3420" w:space="500"/>
            <w:col w:w="3600" w:space="280"/>
            <w:col w:w="3620"/>
          </w:cols>
          <w:pgMar w:left="240" w:top="125" w:right="239" w:bottom="0" w:gutter="0" w:footer="0" w:header="0"/>
        </w:sectPr>
      </w:pP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table providing a brief description of recent ASUs to the ASC issued by the FASB that may have a material effect on our consolidated financial statements upon adoption based on current account balances and activity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Standard</w:t>
            </w:r>
          </w:p>
        </w:tc>
        <w:tc>
          <w:tcPr>
            <w:tcW w:w="296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4260" w:type="dxa"/>
            <w:vAlign w:val="bottom"/>
          </w:tcPr>
          <w:p>
            <w:pPr>
              <w:jc w:val="center"/>
              <w:ind w:left="54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42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90"/>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Accounting standards that are pending adoption</w:t>
            </w:r>
          </w:p>
        </w:tc>
        <w:tc>
          <w:tcPr>
            <w:tcW w:w="29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944" w:orient="portrait"/>
          <w:cols w:equalWidth="0" w:num="1">
            <w:col w:w="11420"/>
          </w:cols>
          <w:pgMar w:left="240" w:top="125" w:right="239" w:bottom="0" w:gutter="0" w:footer="0" w:header="0"/>
          <w:type w:val="continuous"/>
        </w:sectPr>
      </w:pPr>
    </w:p>
    <w:p>
      <w:pPr>
        <w:ind w:left="40" w:right="80"/>
        <w:spacing w:after="0" w:line="277" w:lineRule="auto"/>
        <w:rPr>
          <w:sz w:val="20"/>
          <w:szCs w:val="20"/>
          <w:color w:val="auto"/>
        </w:rPr>
      </w:pPr>
      <w:r>
        <w:rPr>
          <w:rFonts w:ascii="Arial" w:cs="Arial" w:eastAsia="Arial" w:hAnsi="Arial"/>
          <w:sz w:val="18"/>
          <w:szCs w:val="18"/>
          <w:color w:val="auto"/>
        </w:rPr>
        <w:t>ASU 2017-12: Derivatives and Hedging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815</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ASU 2017-04: Intangibles - Goodwill and Other (</w:t>
      </w:r>
      <w:r>
        <w:rPr>
          <w:rFonts w:ascii="Arial" w:cs="Arial" w:eastAsia="Arial" w:hAnsi="Arial"/>
          <w:sz w:val="18"/>
          <w:szCs w:val="18"/>
          <w:i w:val="1"/>
          <w:iCs w:val="1"/>
          <w:color w:val="auto"/>
        </w:rPr>
        <w:t>Topic 350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60"/>
        <w:spacing w:after="0" w:line="287" w:lineRule="auto"/>
        <w:rPr>
          <w:sz w:val="20"/>
          <w:szCs w:val="20"/>
          <w:color w:val="auto"/>
        </w:rPr>
      </w:pPr>
      <w:r>
        <w:rPr>
          <w:rFonts w:ascii="Arial" w:cs="Arial" w:eastAsia="Arial" w:hAnsi="Arial"/>
          <w:sz w:val="16"/>
          <w:szCs w:val="16"/>
          <w:color w:val="auto"/>
        </w:rPr>
        <w:t>Requires that an entity align its risk management activities and financial reporting for hedging relationships through changes to both the designation and measurement guidance for qualifying hedging relationships and the presentation of hedge results. The amendments expand and refine hedge accounting for both financial and commodity risk components and align the recognition and presentation of the effects of the hedging instrument and the hedged item in the financial statements.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Requires that when an entity is performing its annual, or interim, goodwill impairment test, it should compare the fair value of the reporting unit with its carrying amount when calculating its impairment charge, noting that the loss recognized should not exceed the total amount of goodwill allocated to that reporting unit. Additionally, if applicable, an entity should consider income tax effects from any tax deductible goodwill on the carrying amount of the reporting unit when calculating its impairment charge.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adoption of this guidance affects the designation and measurement guidance for qualifying hedging relationships and the method of presenting hedge results, including the addition of a tabular disclosure related to the effect on the income statement of fair value and cash flow hedges and no longer measuring and reporting hedge ineffectiveness. This guidance is effective January 1, 2019 with early adoption permitted.</w:t>
      </w:r>
    </w:p>
    <w:p>
      <w:pPr>
        <w:spacing w:after="0" w:line="35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of December 31, 2017, we did not record a goodwill impairment charge related to our annual goodwill impairment test because at that time the fair value of each reporting unit exceeded its respective carrying value. Upon adoption, if the carrying value of any of these reporting units exceeds the fair value when we perform a goodwill impairment test, we would record an impairment charge equal to the amount by which the carrying value exceeds its fair value. This guidance is effective January 1, 2020 with early adoption permitted for interim or annual goodwill impairment tests performed after January 1, 2017.</w:t>
      </w:r>
    </w:p>
    <w:p>
      <w:pPr>
        <w:spacing w:after="0" w:line="200" w:lineRule="exact"/>
        <w:rPr>
          <w:sz w:val="20"/>
          <w:szCs w:val="20"/>
          <w:color w:val="auto"/>
        </w:rPr>
      </w:pPr>
    </w:p>
    <w:p>
      <w:pPr>
        <w:sectPr>
          <w:pgSz w:w="11900" w:h="16944" w:orient="portrait"/>
          <w:cols w:equalWidth="0" w:num="3">
            <w:col w:w="3520" w:space="400"/>
            <w:col w:w="3580" w:space="300"/>
            <w:col w:w="3620"/>
          </w:cols>
          <w:pgMar w:left="240" w:top="125" w:right="239" w:bottom="0" w:gutter="0" w:footer="0" w:header="0"/>
          <w:type w:val="continuous"/>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ASU 2016-02, as amended through January 2018:</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Leases (</w:t>
      </w:r>
      <w:r>
        <w:rPr>
          <w:rFonts w:ascii="Arial" w:cs="Arial" w:eastAsia="Arial" w:hAnsi="Arial"/>
          <w:sz w:val="18"/>
          <w:szCs w:val="18"/>
          <w:i w:val="1"/>
          <w:iCs w:val="1"/>
          <w:color w:val="auto"/>
        </w:rPr>
        <w:t>Topic 842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Requires that a lessee recognize at the commencement date: a lease liability, which is the obligation of the lessee to make lease payments arising from a lease, measured on a discounted basis; and a right-of-use asset, which is an asset that represents the lessee’s right to use, or control the use of, a specified asset for the lease term.</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are currently assessing the provisions of this guidance and evaluating the impact the guidance will have on our consolidated financial statements and related disclosures. We are also in the process of aggregating lease documentation for review. The adoption of this ASU is expected to impact the balance sheet through the recognition of a right-of-use asset and a lease liability for all leases with terms in excess of 12 months. This guidance is effective January 1,</w:t>
      </w:r>
    </w:p>
    <w:p>
      <w:pPr>
        <w:sectPr>
          <w:pgSz w:w="11900" w:h="16944" w:orient="portrait"/>
          <w:cols w:equalWidth="0" w:num="3">
            <w:col w:w="3640" w:space="280"/>
            <w:col w:w="3580" w:space="300"/>
            <w:col w:w="3620"/>
          </w:cols>
          <w:pgMar w:left="240" w:top="125" w:right="239" w:bottom="0" w:gutter="0" w:footer="0" w:header="0"/>
          <w:type w:val="continuous"/>
        </w:sectPr>
      </w:pPr>
    </w:p>
    <w:bookmarkStart w:id="9" w:name="page10"/>
    <w:bookmarkEnd w:id="9"/>
    <w:p>
      <w:pPr>
        <w:ind w:left="7800"/>
        <w:spacing w:after="0"/>
        <w:rPr>
          <w:sz w:val="20"/>
          <w:szCs w:val="20"/>
          <w:color w:val="auto"/>
        </w:rPr>
      </w:pPr>
      <w:r>
        <w:rPr>
          <w:rFonts w:ascii="Arial" w:cs="Arial" w:eastAsia="Arial" w:hAnsi="Arial"/>
          <w:sz w:val="17"/>
          <w:szCs w:val="17"/>
          <w:color w:val="auto"/>
        </w:rPr>
        <w:t>2019 using a modified retrospective transition</w:t>
      </w:r>
    </w:p>
    <w:p>
      <w:pPr>
        <w:spacing w:after="0" w:line="3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approach with early adoption permitted.</w:t>
      </w:r>
    </w:p>
    <w:p>
      <w:pPr>
        <w:spacing w:after="0" w:line="23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adopted ASU 2014-09, as amended, Revenue from Contracts with Customers (</w:t>
      </w:r>
      <w:r>
        <w:rPr>
          <w:rFonts w:ascii="Arial" w:cs="Arial" w:eastAsia="Arial" w:hAnsi="Arial"/>
          <w:sz w:val="17"/>
          <w:szCs w:val="17"/>
          <w:i w:val="1"/>
          <w:iCs w:val="1"/>
          <w:color w:val="auto"/>
        </w:rPr>
        <w:t>Topic 606</w:t>
      </w:r>
      <w:r>
        <w:rPr>
          <w:rFonts w:ascii="Arial" w:cs="Arial" w:eastAsia="Arial" w:hAnsi="Arial"/>
          <w:sz w:val="17"/>
          <w:szCs w:val="17"/>
          <w:color w:val="auto"/>
        </w:rPr>
        <w:t xml:space="preserve">) effective January 1, 2018. We adopted this guidance using the modified retrospective approach, noting that no cumulative effect adjustment to the beginning balance of Accumulated Deficit was needed. The comparative periods have not been restated and continue to be reported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We applied this guidance to contracts that were not substantially completed contracts at the date of adoption. Additionally, contract modifications that occurred before the adoption date were not separately evaluated, rather the guidance was applied to the current version of the contract only. We disaggregate our revenues by applicable service line: collection, landfill, transfer, customer solutions, recycling, organics, transportation and landfill gas-to-energy.</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125" w:right="35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7"/>
          <w:szCs w:val="17"/>
          <w:color w:val="auto"/>
        </w:rPr>
        <w:t>Under the new revenue recognition guidance revenues are measured based on the consideration specified in a contract with a customer. The circumstances that impact the timing and amount of revenue recognized for each applicable service line may vary based on the nature of the service performed. We generally recognize revenues for services over time as we satisfy the performance obligation by transferring control over the service to the customer as the service is performed and the benefit is received and consumed by the customer. Services are typically delivered in a series as a single bundled performance obligation over either a designated period of time or for specified number of services. Services may also be delivered as a single bundled service, on a period-to-period basis, or in a spot transaction. Consideration may be variable on a per ton basis and/or fixed. Fixed consideration is allocated to each distinct service and variable consideration is allocated to the increment of time that the service is performed and we have the contractual right to the fee. Fees are typically billed weekly, monthly, quarterly or in advance. Generally, the amount of consideration that we have the right to receive that is invoiced to the customer directly corresponds to the value of our performance completed to date. We elected the optional exemption, to not disclose the amount of variable consideration included in the transaction price that is allocated to outstanding performance obligations when the variable consideration is allocated entirely to unsatisfied performance obligations or to a wholly unsatisfied promise to transfer a distinct good or service that forms part of a single performance obligation. Revenues that are not satisfied over time are recognized at a point-in-time. This typically includes the sale of recycled or organic materials, as well as renewable energy credits ("RECs"). Revenues from the sale of organic or recycled materials are recognized at a point-in-time as control of the materials transfers to the customer upon shipment or pick-up by the customer. Revenues from the sale of RECs are recognized at a point-in-time as the trade is executed and control transfers to the customer.</w:t>
      </w:r>
    </w:p>
    <w:p>
      <w:pPr>
        <w:spacing w:after="0" w:line="18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$1,468 in the three months ended March 31, 2018. Rebates are generally recorded as a reduction of revenues upon the sale of such materials, or upon receipt of the recycled materials at our facilities. These payments were previously recorded as a cost of operations. We did not record any revenues in the three months ended March 31, 2018 from performance obligations satisfied in previous periods.</w:t>
      </w:r>
    </w:p>
    <w:p>
      <w:pPr>
        <w:spacing w:after="0" w:line="17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Contract receivables, which are included in Accounts receivable - trade, net are recorded when billed or when related revenue is earned, if earlier, and represent claims against third-parties that will be settled in cash. Accounts receivable - trade, net includes gross receivables from contracts of $66,429 and $66,227 as of March 31, 2018 and December 31, 2017, respectively. Certain customers are billed in advance and, accordingly, recognition of the related revenues is deferred as a contract liability until the services are provided and control transferred to the customer. Contract liabilities of $2,567 and $1,823 as of March 31, 2018 and December 31, 2017, respectively, were reclassified out of Other accrued liabilities and presented separately on the face of the Consolidated Balance Sheets. Due to the short term nature of advanced billings, substantially all of the deferred revenue recognized as a contract liability as of December 31, 2017 was recognized as revenue during the three months ended March 31, 2018, when the services were performed.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Service 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w:t>
      </w:r>
    </w:p>
    <w:p>
      <w:pPr>
        <w:spacing w:after="0" w:line="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Collection revenues are principally generated by providing waste collection and disposal services to our customers. Services may be provided as needed or as scheduled. We derive a substantial portion of our collection revenues from commercial and industrial services, which typically have a standard contract duration of three years, along with municipal services that are generally performed pursuant to contracts with municipalities with varying terms. The majority of our residential collection services are performed on a subscription basis with individual households.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Landfill disposal services primarily consist of receiving some form of acceptable solid waste materials at one of our landfills and appropriately disposing of it. Landfill customers are typically charged a tipping fee on a per ton basis for disposing of their solid waste at our disposal facilities. In general, these fees are variable in nature.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Station</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Transfer station disposal services primarily consist of receiving some form of acceptable solid waste materials at one of our transfer stations and appropriately disposing of it by transporting it to an appropriate disposal site. Transfer station customers are charged a tipping fee on a per ton basis for disposing of their solid waste at our transfer stations. In general, these fees are variable in nature.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11" w:name="page12"/>
    <w:bookmarkEnd w:id="11"/>
    <w:p>
      <w:pPr>
        <w:jc w:val="both"/>
        <w:ind w:right="180"/>
        <w:spacing w:after="0" w:line="264" w:lineRule="auto"/>
        <w:rPr>
          <w:sz w:val="20"/>
          <w:szCs w:val="20"/>
          <w:color w:val="auto"/>
        </w:rPr>
      </w:pPr>
      <w:r>
        <w:rPr>
          <w:rFonts w:ascii="Arial" w:cs="Arial" w:eastAsia="Arial" w:hAnsi="Arial"/>
          <w:sz w:val="18"/>
          <w:szCs w:val="18"/>
          <w:color w:val="auto"/>
        </w:rPr>
        <w:t>Transportation services consist of the transportation of large volumes of waste or recycled materials from a customer designated location to another location or disposal facility. Transportation customers are charged a fee on a per ton basis for transporting and/or disposal of the materials. In general, these fees are variable in nature.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Recycling services primarily consist of the collection and/or receipt of recycled materials at one of our materials recovery facilities; the processing or sorting of the recycled materials; and the disposal or sale of the recycled materials. Revenues from recycling services consist of revenues derived from municipalities and customers in the form of processing fees, tipping fees and commodity sales.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w:t>
      </w:r>
    </w:p>
    <w:p>
      <w:pPr>
        <w:spacing w:after="0" w:line="9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Customer solutions services consist of commercial and industrial offerings. Commercial services consist of traditional collection, disposal and recycling services provided to large account multi-site customers. Industrial services consist of overall resource management services provided to large and complex organizations, such as universities, hospitals, manufacturers and municipalities, delivering a wide range of environmental services and zero waste solutions.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Organics services primarily consist of the collection and/or receipt of organic materials at one of our processing or disposal facilities; the processing of the organic materials; and the disposal or sale of the organic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Gas-to-Energy</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Landfill gas-to-energy services primarily consist of the generation and sale of electricity from landfill gas-to-energy facilities located at certain of our landfills; the reservation of electric generating capacity to be used by a customer on demand; and the sale of RECs.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table of revenues disaggregated by service line and timing of revenue recognition by operating segment follows: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Recycling</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Total Revenues</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67,008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Landfill</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5,960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20,500</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Customer solutions</w:t>
            </w:r>
          </w:p>
        </w:tc>
        <w:tc>
          <w:tcPr>
            <w:tcW w:w="32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15,169</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Organics</w:t>
            </w:r>
          </w:p>
        </w:tc>
        <w:tc>
          <w:tcPr>
            <w:tcW w:w="32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12,200</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Landfill gas-to-energy</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1,798</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147,455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Transferred at a point-in-time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Transferred over time</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44,314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64,372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139,283</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147,455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696"/>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2" w:name="page13"/>
    <w:bookmarkEnd w:id="12"/>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acquired one solid waste collection, transfer and processing business in our Eastern region, Complete Disposal Company, Inc. and its subsidiary United Material Management of Holyoke, Inc. (collectively, "Complete"), which provides residential and roll-off collection services, operates a construction and demolition processing facility, and operates a solid waste transfer station with both truck and rail transfer capabilities during the three months ended March 31, 2018. We also acquired one solid waste collection business in our Western region during the three months ended March 31, 2018. In the three months ended March 31, 2017, we acquired one solid waste collection business in our Western region. The operating results of these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Such assets are amortized over a five to ten year period from the date of acquisition. All amounts recorded to goodwill, except amounts related to the Complete acquisition, are expected to be deductible for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purchase price paid for these acquisitions and the allocation of the purchase price for these acquisitions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acquisitions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18,778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Working capital adjustment - preliminary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Holdbacks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19,308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Allocated as follows: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Building</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tax liability</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assets acquired and liabilities assumed</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11,596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Excess purchase price allocated to goodwill</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purchase price allocations are preliminary and are based on information existing at the acquisition dates. Accordingly, the purchase price allocations are subject to change. Unaudited pro forma combined information that shows our operational results as though each acquisition completed since the beginning of the prior fiscal year had occurred as of January 1, 2017 follows:</w:t>
      </w:r>
    </w:p>
    <w:p>
      <w:pPr>
        <w:spacing w:after="0" w:line="1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147,854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140,149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weighted average common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42,370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41,584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earnings per share attributable to common stockholders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pro forma results set forth in the table above have been prepared for comparative purposes only and are not necessarily indicative of the actual results of operations had the acquisitions occurred as of January 1, 2017 or of the results of our future operations. Furthermore, the pro forma results do not give effect to all cost savings or incremental costs that may occur as a result of the integration and consolidation of the completed acquisitions.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3" w:name="page14"/>
    <w:bookmarkEnd w:id="13"/>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operating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Acquisitions</w:t>
            </w:r>
          </w:p>
        </w:tc>
        <w:tc>
          <w:tcPr>
            <w:tcW w:w="240" w:type="dxa"/>
            <w:vAlign w:val="bottom"/>
          </w:tcPr>
          <w:p>
            <w:pPr>
              <w:spacing w:after="0"/>
              <w:rPr>
                <w:sz w:val="16"/>
                <w:szCs w:val="16"/>
                <w:color w:val="auto"/>
              </w:rPr>
            </w:pPr>
          </w:p>
        </w:tc>
        <w:tc>
          <w:tcPr>
            <w:tcW w:w="146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region (1)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Western region</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89,369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91,073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1,729</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122,605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130,317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Includes a $1,635 goodwill adjustment for the tax treatment associated with the Complete acquisition. See Note 13,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by intangible asset type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Covenants</w:t>
            </w:r>
          </w:p>
        </w:tc>
        <w:tc>
          <w:tcPr>
            <w:tcW w:w="320" w:type="dxa"/>
            <w:vAlign w:val="bottom"/>
          </w:tcPr>
          <w:p>
            <w:pPr>
              <w:spacing w:after="0"/>
              <w:rPr>
                <w:sz w:val="14"/>
                <w:szCs w:val="14"/>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Client Lists</w:t>
            </w:r>
          </w:p>
        </w:tc>
        <w:tc>
          <w:tcPr>
            <w:tcW w:w="400" w:type="dxa"/>
            <w:vAlign w:val="bottom"/>
          </w:tcPr>
          <w:p>
            <w:pPr>
              <w:spacing w:after="0"/>
              <w:rPr>
                <w:sz w:val="14"/>
                <w:szCs w:val="14"/>
                <w:color w:val="auto"/>
              </w:rPr>
            </w:pPr>
          </w:p>
        </w:tc>
        <w:tc>
          <w:tcPr>
            <w:tcW w:w="130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Not-to-Compete</w:t>
            </w:r>
          </w:p>
        </w:tc>
        <w:tc>
          <w:tcPr>
            <w:tcW w:w="3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19,192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19,687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38,879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(28,597)</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8,115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Covenants</w:t>
            </w:r>
          </w:p>
        </w:tc>
        <w:tc>
          <w:tcPr>
            <w:tcW w:w="320" w:type="dxa"/>
            <w:vAlign w:val="bottom"/>
          </w:tcPr>
          <w:p>
            <w:pPr>
              <w:spacing w:after="0"/>
              <w:rPr>
                <w:sz w:val="24"/>
                <w:szCs w:val="24"/>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Client Lists</w:t>
            </w:r>
          </w:p>
        </w:tc>
        <w:tc>
          <w:tcPr>
            <w:tcW w:w="400" w:type="dxa"/>
            <w:vAlign w:val="bottom"/>
          </w:tcPr>
          <w:p>
            <w:pPr>
              <w:spacing w:after="0"/>
              <w:rPr>
                <w:sz w:val="24"/>
                <w:szCs w:val="24"/>
                <w:color w:val="auto"/>
              </w:rPr>
            </w:pPr>
          </w:p>
        </w:tc>
        <w:tc>
          <w:tcPr>
            <w:tcW w:w="130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Not-to-Compete</w:t>
            </w:r>
          </w:p>
        </w:tc>
        <w:tc>
          <w:tcPr>
            <w:tcW w:w="3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18,092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18,087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36,179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6,908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Intangible amortization expense was $568 during the three months ended March 31, 2018 as compared to $487 during the three months ended March 31, 2017.</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amortization expense estimated for the five fiscal years following the fiscal year ended December 31, 2017 and thereafter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Future Amortization Expense as of March 31, 2018</w:t>
            </w:r>
          </w:p>
        </w:tc>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380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2018</w:t>
            </w:r>
          </w:p>
        </w:tc>
        <w:tc>
          <w:tcPr>
            <w:tcW w:w="36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w:t>
            </w:r>
          </w:p>
        </w:tc>
      </w:tr>
      <w:tr>
        <w:trPr>
          <w:trHeight w:val="243"/>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Fiscal year ending December 31, 2019</w:t>
            </w:r>
          </w:p>
        </w:tc>
        <w:tc>
          <w:tcPr>
            <w:tcW w:w="36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1,975</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2020</w:t>
            </w:r>
          </w:p>
        </w:tc>
        <w:tc>
          <w:tcPr>
            <w:tcW w:w="36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r>
      <w:tr>
        <w:trPr>
          <w:trHeight w:val="243"/>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Fiscal year ending December 31, 2021</w:t>
            </w:r>
          </w:p>
        </w:tc>
        <w:tc>
          <w:tcPr>
            <w:tcW w:w="36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1,583</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2022</w:t>
            </w:r>
          </w:p>
        </w:tc>
        <w:tc>
          <w:tcPr>
            <w:tcW w:w="36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43"/>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6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1,926</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FINAL CAPPING, CLOSURE AND POST CLOSURE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5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17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62,290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incurred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 in estimates (1)</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965</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settled (2)</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65,666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45,602</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660" w:right="2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Relates to changes in estimates and assumptions associated with anticipated costs of future final capping, closure and post-closure activities at the Town of Southbridge, Massachusetts Landfill.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for disclosure regarding the matter.</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and capital leases by debt instrument follows:</w:t>
      </w:r>
    </w:p>
    <w:p>
      <w:pPr>
        <w:spacing w:after="0" w:line="163" w:lineRule="exact"/>
        <w:rPr>
          <w:sz w:val="20"/>
          <w:szCs w:val="20"/>
          <w:color w:val="auto"/>
        </w:rPr>
      </w:pPr>
    </w:p>
    <w:p>
      <w:pPr>
        <w:ind w:left="8760"/>
        <w:spacing w:after="0"/>
        <w:tabs>
          <w:tab w:leader="none" w:pos="1024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Senior Secured Credit Facility:</w:t>
      </w:r>
    </w:p>
    <w:p>
      <w:pPr>
        <w:sectPr>
          <w:pgSz w:w="11900" w:h="16838" w:orient="portrait"/>
          <w:cols w:equalWidth="0" w:num="1">
            <w:col w:w="11420"/>
          </w:cols>
          <w:pgMar w:left="240" w:top="827" w:right="239" w:bottom="1440" w:gutter="0" w:footer="0" w:header="0"/>
        </w:sectPr>
      </w:pPr>
    </w:p>
    <w:p>
      <w:pPr>
        <w:spacing w:after="0" w:line="127" w:lineRule="exact"/>
        <w:rPr>
          <w:sz w:val="20"/>
          <w:szCs w:val="20"/>
          <w:color w:val="auto"/>
        </w:rPr>
      </w:pPr>
    </w:p>
    <w:p>
      <w:pPr>
        <w:ind w:left="40" w:right="3360"/>
        <w:spacing w:after="0" w:line="402" w:lineRule="auto"/>
        <w:rPr>
          <w:sz w:val="20"/>
          <w:szCs w:val="20"/>
          <w:color w:val="auto"/>
        </w:rPr>
      </w:pPr>
      <w:r>
        <w:rPr>
          <w:rFonts w:ascii="Arial" w:cs="Arial" w:eastAsia="Arial" w:hAnsi="Arial"/>
          <w:sz w:val="14"/>
          <w:szCs w:val="14"/>
          <w:color w:val="auto"/>
        </w:rPr>
        <w:t xml:space="preserve">Revolving Credit Facility due October 2021; bearing interest at LIBOR plus 2.75% Term Loan B Facility due October 2023; bearing interest at LIBOR plus 2.50% </w:t>
      </w:r>
      <w:r>
        <w:rPr>
          <w:rFonts w:ascii="Arial" w:cs="Arial" w:eastAsia="Arial" w:hAnsi="Arial"/>
          <w:sz w:val="14"/>
          <w:szCs w:val="14"/>
          <w:b w:val="1"/>
          <w:bCs w:val="1"/>
          <w:color w:val="auto"/>
        </w:rPr>
        <w:t>Tax-Exempt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right="280"/>
        <w:spacing w:after="0" w:line="253" w:lineRule="auto"/>
        <w:rPr>
          <w:sz w:val="20"/>
          <w:szCs w:val="20"/>
          <w:color w:val="auto"/>
        </w:rPr>
      </w:pPr>
      <w:r>
        <w:rPr>
          <w:rFonts w:ascii="Arial" w:cs="Arial" w:eastAsia="Arial" w:hAnsi="Arial"/>
          <w:sz w:val="14"/>
          <w:szCs w:val="14"/>
          <w:color w:val="auto"/>
        </w:rPr>
        <w:t>New York State Environmental Facilities Corporation Solid Waste Disposal Revenue Bonds Series 2014 due December 2044 - fixed rate interest period through 2019; bearing interest at 3.75%</w:t>
      </w:r>
    </w:p>
    <w:p>
      <w:pPr>
        <w:spacing w:after="0" w:line="12" w:lineRule="exact"/>
        <w:rPr>
          <w:sz w:val="20"/>
          <w:szCs w:val="20"/>
          <w:color w:val="auto"/>
        </w:rPr>
      </w:pPr>
    </w:p>
    <w:p>
      <w:pPr>
        <w:ind w:left="40" w:right="60"/>
        <w:spacing w:after="0" w:line="253" w:lineRule="auto"/>
        <w:rPr>
          <w:sz w:val="20"/>
          <w:szCs w:val="20"/>
          <w:color w:val="auto"/>
        </w:rPr>
      </w:pPr>
      <w:r>
        <w:rPr>
          <w:rFonts w:ascii="Arial" w:cs="Arial" w:eastAsia="Arial" w:hAnsi="Arial"/>
          <w:sz w:val="14"/>
          <w:szCs w:val="14"/>
          <w:color w:val="auto"/>
        </w:rPr>
        <w:t>New York State Environmental Facilities Corporation Solid Waste Disposal Revenue Bonds Series 2014R-2 due December 2044 - fixed rate interest period through 2026; bearing interest at 3.125%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spacing w:after="0" w:line="253" w:lineRule="auto"/>
        <w:rPr>
          <w:sz w:val="20"/>
          <w:szCs w:val="20"/>
          <w:color w:val="auto"/>
        </w:rPr>
      </w:pPr>
      <w:r>
        <w:rPr>
          <w:rFonts w:ascii="Arial" w:cs="Arial" w:eastAsia="Arial" w:hAnsi="Arial"/>
          <w:sz w:val="14"/>
          <w:szCs w:val="14"/>
          <w:color w:val="auto"/>
        </w:rPr>
        <w:t>Finance Authority of Maine Solid Waste Disposal Revenue Bonds Series 2005R-3 due January 2025 - fixed rate interest period through 2025; bearing interest at 5.25%</w:t>
      </w:r>
    </w:p>
    <w:p>
      <w:pPr>
        <w:spacing w:after="0" w:line="1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Finance Authority of Maine Solid Waste Disposal Revenue Bonds Series 2015R-1 due August 2035 - fixed rate interest period through 2025; bearing interest at 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spacing w:after="0" w:line="253" w:lineRule="auto"/>
        <w:rPr>
          <w:sz w:val="20"/>
          <w:szCs w:val="20"/>
          <w:color w:val="auto"/>
        </w:rPr>
      </w:pPr>
      <w:r>
        <w:rPr>
          <w:rFonts w:ascii="Arial" w:cs="Arial" w:eastAsia="Arial" w:hAnsi="Arial"/>
          <w:sz w:val="14"/>
          <w:szCs w:val="14"/>
          <w:color w:val="auto"/>
        </w:rPr>
        <w:t>Vermont Economic Development Authority Solid Waste Disposal Long-Term Revenue Bonds Series 2013 due April 2036 - fixed rate interest period through 2018; bearing interest at 4.75%</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Business Finance Authority of the State of New Hampshire Solid Waste Disposal Revenue Bonds Series 2013 due April 2029 - fixed rate interest period through 2019; bearing interest at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Other:</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leases maturing through December 2107; bearing interest at up to 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payable maturing through June 2027; bearing interest at up to 7.00%</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Principal amount of long-term debt and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Less—unamortized discount and debt issuance costs (1)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 and capital leases less unamortized discount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Less—current maturities of long-term debt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52,600</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36,000</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345,625</w:t>
            </w:r>
          </w:p>
        </w:tc>
        <w:tc>
          <w:tcPr>
            <w:tcW w:w="5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346,500</w:t>
            </w:r>
          </w:p>
        </w:tc>
      </w:tr>
      <w:tr>
        <w:trPr>
          <w:trHeight w:val="62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16,000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11,000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11,000</w:t>
            </w:r>
          </w:p>
        </w:tc>
      </w:tr>
      <w:tr>
        <w:trPr>
          <w:trHeight w:val="54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6,713</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5,595</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2,522</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2,585</w:t>
            </w:r>
          </w:p>
        </w:tc>
      </w:tr>
      <w:tr>
        <w:trPr>
          <w:trHeight w:val="24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514,460</w:t>
            </w: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497,680</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14,489</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15,178</w:t>
            </w:r>
          </w:p>
        </w:tc>
      </w:tr>
      <w:tr>
        <w:trPr>
          <w:trHeight w:val="24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499,971</w:t>
            </w: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482,502</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5,037</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4,926</w:t>
            </w:r>
          </w:p>
        </w:tc>
      </w:tr>
      <w:tr>
        <w:trPr>
          <w:trHeight w:val="237"/>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494,934</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477,576</w:t>
            </w:r>
          </w:p>
        </w:tc>
      </w:tr>
      <w:tr>
        <w:trPr>
          <w:trHeight w:val="20"/>
        </w:trPr>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-25400</wp:posOffset>
            </wp:positionV>
            <wp:extent cx="951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-8255</wp:posOffset>
            </wp:positionV>
            <wp:extent cx="951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-187960</wp:posOffset>
            </wp:positionV>
            <wp:extent cx="951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-530860</wp:posOffset>
            </wp:positionV>
            <wp:extent cx="951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-874395</wp:posOffset>
            </wp:positionV>
            <wp:extent cx="951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200" w:space="160"/>
            <w:col w:w="180" w:space="720"/>
            <w:col w:w="2160"/>
          </w:cols>
          <w:pgMar w:left="240" w:top="827" w:right="2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827" w:right="239" w:bottom="1440" w:gutter="0" w:footer="0" w:header="0"/>
          <w:type w:val="continuous"/>
        </w:sectPr>
      </w:pPr>
    </w:p>
    <w:bookmarkStart w:id="15" w:name="page16"/>
    <w:bookmarkEnd w:id="15"/>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summary of unamortized discount and debt issuance costs by debt instrument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3,682</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3,938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Term Loan B Facility (including unamortized discount of $1,424 and $1,482)</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7,101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7,392</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 State Environmental Facilities Corporation Solid Waste Disposal Revenue Bonds Series 2014</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New York State Environmental Facilities Corporation Solid Waste Disposal Revenue Bonds Series 2014R-2</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Authority of Maine Solid Waste Disposal Revenue Bonds Series 2005R-3</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Finance Authority of Maine Solid Waste Disposal Revenue Bonds Series 2015R-1</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Vermont Economic Development Authority Solid Waste Disposal Long-Term Revenue Bonds Series 2013</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Business Finance Authority of the State of New Hampshire Solid Waste Disposal Revenue Bonds Series 2013</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15,178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April 2018, we completed the issuance of $15,000 aggregate principal amount of Finance Authority of Maine Solid Waste Disposal Revenue Bonds Series 2015R-2 (“FAME Bonds 2015R-2”). The FAME Bonds 2015R-2, which are unsecured and guaranteed jointly and severally, fully and unconditionally by all of our significant wholly-owned subsidiaries, accrue interest at 4.375% per annum through July 31, 2025, at which time they may be converted from a fixed to a variable rate. Interest is payable semiannually each year on May 1 and November 1 until the FAME Bonds 2015R-2 mature on August 1, 2035. We borrowed the proceeds of the offering of the FAME Bonds 2015R-2 to finance or refinance the costs of certain of our solid waste landfill facilities and solid waste collection, organics and transfer, recycling and hauling facilities, and to pay certain costs of the issuance of the FAME Bonds 2015R-2.</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April 2018, we completed the remarketing of $16,000 aggregate principal amount of 4.75% fixed rate Vermont Economic Development Authority ("Vermont Bonds") Solid Waste Disposal Revenue Bonds Series 2013 (“Vermont Bonds”). The Vermont Bonds, which are unsecured and guaranteed jointly and severally, fully and unconditionally by all of our significant wholly-owned subsidiaries, accrue interest at 4.625% per annum through April 2, 2028 after which time there is a mandatory tender. The Vermont Bonds mature on April 1, 2036.</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three months ended March 31, 2017, we completed the remarketing of $3,600 aggregate principal amount of Finance Authority of Maine Solid Waste Disposal Revenue Bonds Series 2005R-1 (“FAME Bonds 2005R-1”) and $21,400 aggregate principal amount of Finance Authority of Maine Solid Waste Disposal Revenue Bonds Series 2005R-2 (“FAME Bonds 2005R-2”) into one series of $25,000 aggregate principal amount Finance Authority of Maine Solid Waste Disposal Revenue Bonds Series 2005R-3 (“FAME Bonds 2005R-3”). The FAME Bonds 2005R-3, which are unsecured and guaranteed jointly and severally, fully and unconditionally by all of our significant wholly-owned subsidiaries, accrue interest at 5.25% per annum until they mature on January 1, 2025.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Debt Extinguishment</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recorded a loss on debt extinguishment of $472 during the three months ended March 31, 2017 associated with the write-off of debt issuance costs in connection with the remarketing of the FAME Bonds 2005R-1 and the FAME Bonds 2005R-2 into the FAME Bonds 2005R-3.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three months ended March 31, 2017, we entered into three interest rate derivative agreements to hedge interest rate risk associated with the variable rate portion of our long-term debt. The total notional amount of these agreements is $60,000 and requires us to receive interest based on changes in the 1-month LIBOR index with a 1.0% floor and pay interest at a weighted average rate of approximately 1.95%. Two of the agreements, with a total notional amount of $35,000, mature in February 2021, and the final agreement, with a total notional amount of $25,000, matures in February 2022. We have designated these derivative instruments as cash flow hedges.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6" w:name="page17"/>
    <w:bookmarkEnd w:id="16"/>
    <w:p>
      <w:pPr>
        <w:ind w:right="80"/>
        <w:spacing w:after="0" w:line="276" w:lineRule="auto"/>
        <w:rPr>
          <w:sz w:val="20"/>
          <w:szCs w:val="20"/>
          <w:color w:val="auto"/>
        </w:rPr>
      </w:pPr>
      <w:r>
        <w:rPr>
          <w:rFonts w:ascii="Arial" w:cs="Arial" w:eastAsia="Arial" w:hAnsi="Arial"/>
          <w:sz w:val="17"/>
          <w:szCs w:val="17"/>
          <w:color w:val="auto"/>
        </w:rPr>
        <w:t>In accordance with the derivatives and hedging guidance in FASB ASC 815 - Derivatives and Hedging, the effective portions of the changes in fair values of interest rate swaps have been recorded in equity as a component of accumulated other comprehensive loss, net of tax. As the critical terms of the interest rate swaps match the underlying debt being hedged, no ineffectiveness is recognized on these swaps and, therefore, all unrealized changes in fair value are recorded in accumulated other comprehensive income, net of tax. Amounts are reclassified from accumulated other comprehensive income, net of tax into earnings in the same period or periods during which the hedged transaction affects earnings.</w:t>
      </w:r>
    </w:p>
    <w:p>
      <w:pPr>
        <w:spacing w:after="0" w:line="2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31, 2018, we have recorded a derivative asset with a fair value of $103 in other current assets and $953 in other non-current assets associated with these cash flow hedges.</w:t>
      </w:r>
    </w:p>
    <w:p>
      <w:pPr>
        <w:spacing w:after="0" w:line="166" w:lineRule="exact"/>
        <w:rPr>
          <w:sz w:val="20"/>
          <w:szCs w:val="20"/>
          <w:color w:val="auto"/>
        </w:rPr>
      </w:pPr>
    </w:p>
    <w:p>
      <w:pPr>
        <w:ind w:right="7620" w:firstLine="8"/>
        <w:spacing w:after="0" w:line="503" w:lineRule="auto"/>
        <w:tabs>
          <w:tab w:leader="none" w:pos="31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6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52"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due to the infancy of this matter.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6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 The Town has recently advised us that it has solicited and received proposals for the construction of the Waterline as contemplated by the ACO.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8" w:name="page19"/>
    <w:bookmarkEnd w:id="18"/>
    <w:p>
      <w:pPr>
        <w:ind w:right="16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12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13335</wp:posOffset>
            </wp:positionV>
            <wp:extent cx="19469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5,936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5,738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November 2016, SRD received a cease and desist order (“Order”) from the Charlton alternate zoning enforcement officer, alleging that two stormwater detention basins on SRD’s property in Charlton existed in violation of Charlton zoning requirements. SRD appealed the Order to the Charlton Zoning Board of Appeals, which upheld the Order. In June 2017, SRD appealed the Charlton Zoning Board of Appeals decision to the Massachusetts Land Court. We believe a loss is probable and have recorded a reserve of $1,216 as of March 31, 2018, which constitutes our best estimate of the potential loss associated with Charlton’s claim against us. This was recorded as part of the Southbridge Landfill closure charge in the three months ended March 31, 2018.</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August 2016, we filed a complaint against Steadfast Insurance Company (“Steadfast”) in the Superior Court of Suffolk County, Massachusetts (the "Court"), alleging among other things, that Steadfast breached its Pollution Liability Policy (“Policy”) purchased by us in April 2015, by refusing to acknowledge coverage under the Policy, and refusing to cover any of the costs and liabilities incurred by us as described above as well as costs and liabilities that we may incur in the future. Steadfast filed an answer and counterclaim in September 2016, denying that it has any obligations to us under the Policy, and seeking a declaratory judgment of Steadfast’s obligations under the Policy. We are in the discovery phase of this litigation. Steadfast has filed a Motion to Dismiss (the "Motion") our litigation against it, and we filed our response on July 11, 2017. On September 7, 2017, the Court denied the Motion.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00" w:right="259" w:bottom="1440" w:gutter="0" w:footer="0" w:header="0"/>
        </w:sectPr>
      </w:pPr>
    </w:p>
    <w:bookmarkStart w:id="19" w:name="page20"/>
    <w:bookmarkEnd w:id="19"/>
    <w:p>
      <w:pPr>
        <w:spacing w:after="0" w:line="285" w:lineRule="auto"/>
        <w:rPr>
          <w:sz w:val="20"/>
          <w:szCs w:val="20"/>
          <w:color w:val="auto"/>
        </w:rPr>
      </w:pPr>
      <w:r>
        <w:rPr>
          <w:rFonts w:ascii="Arial" w:cs="Arial" w:eastAsia="Arial" w:hAnsi="Arial"/>
          <w:sz w:val="16"/>
          <w:szCs w:val="16"/>
          <w:color w:val="auto"/>
        </w:rPr>
        <w:t>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expect to cease operations at the Southbridge Landfill when no further capacity is available, expected by no later than December 31, 2018. We delivered correspondence to the Town to this effect on August 3, 2017, citing events of Change in Law and Force Majeure pursuant to our May 29, 2007 Extension Agreement with the Town ("Extension Agreement") and the impacts of such events on further expansion of the Southbridge Landfill. We have advised the Town that we see no economically feasible way to operate the Southbridge Landfill beyond its current permitted life and we have filed a closure plan with MADEP. Following cessation of operations, we will proceed to conduct proper closure and other activities at the Southbridge Landfill in accordance with the Extension Agreement with the Town, and Federal, state and local law.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the Extension Agreement, which we account for as an operating lease, there are potential contractual obligations and commitments, including future cash payments of $2,199 and services that extend beyond the current useful life of the Southbridge Landfill. In accordance with FASB ASC 420 - Exit or Disposal Cost Obligations, a liability for costs to be incurred under a contract for its remaining term without economic benefit shall be recognized when we cease using the right conveyed by the contract. We may incur a loss associated with these potential contractual obligations upon cessation of operations at the Southbridge Landfill when remaining capacity is exhausted by the placement of waste at the site. In this respect, the Town has, on or about April 11, 2018, filed a motion for a declaratory judgment and injunctive relief in the United States District Court for the District of Massachusetts (the “District Court”) seeking a judgment from the District Court as to the rights of the parties pursuant to the Extension Agreement, and injunctive relief to prevent us from discontinuing free collection and disposal of the Town’s municipal waste when the Southbridge Landfill ceases to accept waste (the “Town Equity Litigation”). We will vigorously defend the Town Equity Litigation on its merits, and further, on the grounds that the Town Equity Litigation is not in compliance with the procedures for dispute resolution as set forth in the Extension Agreement.</w:t>
      </w:r>
    </w:p>
    <w:p>
      <w:pPr>
        <w:spacing w:after="0" w:line="3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It is unlikely that any significant expenditures relating to onsite remediation will be incurred until the fiscal year ending December 31, 2019. WSI is jointly and severally liable with NiMo, Alcoa and Reynolds for the total cost to remediate.</w:t>
      </w:r>
    </w:p>
    <w:p>
      <w:pPr>
        <w:spacing w:after="0" w:line="172"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environmental remediation liability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20" w:name="page21"/>
    <w:bookmarkEnd w:id="20"/>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5,758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5,866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settled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5,752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5,866</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March 8, 2018, we received notice from the Toxic Actions Center and the Conservation Law Foundation of their intent to sue us over alleged violations of the Clean Water Act at the North Country Environmental Services landfill ("NCES Landfill"). The company plans to vigorously defend these allegations if and when an action is filed.</w:t>
      </w:r>
    </w:p>
    <w:p>
      <w:pPr>
        <w:spacing w:after="0" w:line="177" w:lineRule="exact"/>
        <w:rPr>
          <w:sz w:val="20"/>
          <w:szCs w:val="20"/>
          <w:color w:val="auto"/>
        </w:rPr>
      </w:pPr>
    </w:p>
    <w:p>
      <w:pPr>
        <w:ind w:right="8460" w:firstLine="8"/>
        <w:spacing w:after="0" w:line="503" w:lineRule="auto"/>
        <w:tabs>
          <w:tab w:leader="none" w:pos="64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Based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March 31, 2018, there were 1,642 Class A common stock equivalents available for future grant under the 2016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fair value of each stock option granted, with the exception of market-based performance stock option grants,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The fair value of each market-based performance stock option granted is estimated using a Monte Carlo option-pricing model, which also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but also including estimates of share price appreciation plus the value of dividends of our Class A common stock as compared to the Russell 2000 Index over the requisite service period.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5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 summary of stock option activity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Stock Options (1)</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7"/>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2017</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March 31,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March 31, 2018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Unvested, March 31,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32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Market-based performance stock options are included at the 100% attainment level. Attainment of the maximum performance targets and market achievements would result in the issuance of an additional 40 shares of Class A common stock currently included in unvested.</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Stock-based compensation expense for stock options was $124 during the three months ended March 31, 2018 as compared to $171 during the three months ended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2018, the aggregate intrinsic value of stock options exercised was $1,153.</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March 31, 2018, total unrecognized stock-based compensation expense related to outstanding stock options, including market-based performance stock options assuming the attainment of maximum performance targets, was $349, which will be recognized over a weighted average period of 0.5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Restricted Stock,</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Restricted Stock Units,</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 Grant Date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Performance Stock Units</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2017</w:t>
            </w:r>
          </w:p>
        </w:tc>
        <w:tc>
          <w:tcPr>
            <w:tcW w:w="2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ind w:right="37"/>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A Common Stock Vested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March 31, 2018</w:t>
            </w:r>
          </w:p>
        </w:tc>
        <w:tc>
          <w:tcPr>
            <w:tcW w:w="2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8,977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Unvested, March 31, 2018</w:t>
            </w: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2080" w:type="dxa"/>
            <w:vAlign w:val="bottom"/>
          </w:tcPr>
          <w:p>
            <w:pPr>
              <w:jc w:val="right"/>
              <w:ind w:right="37"/>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12,914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0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Market-based performance stock unit grants are included at the 100% attainment level. Attainment of the maximum performance targets and market achievements would result in the issuance of an additional 450 shares of Class A common stock currently included in unvested.</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Stock-based compensation expense related to restricted stock, restricted stock units and performance stock units was $1,930 during the three months ended March 31, 2018 as compared to $1,058 during the three months ended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2018, the total fair value of other stock awards vested was $8,876.</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of March 31, 2018, total unrecognized stock-based compensation expense related to outstanding restricted stock and restricted stock units was $4,467, which will be recognized over a weighted average period of 1.7 years. As of March 31, 2018, maximum unrecognized stock-based compensation expense related to outstanding performance stock units, assuming the attainment of maximum performance targets, was $8,252 to be recognized over a weighted average period of 1.5 years.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weighted average fair value of market-based performance stock units granted during the three months ended March 31, 2018 was $26.02 per award, which was calculated using a Monte Carlo pricing model assuming a risk free interest rate of 2.39% and an expected volatility of 32.70% assuming no expected dividend yield. The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also recorded $23 of stock-based compensation expense related to our Amended and Restated 1997 Employee Stock Purchase Plan during the three months ended March 31, 2018 as compared to $28 during the three months ended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income, net of tax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Marketable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Interest Rate Swaps</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Securities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402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5460" w:type="dxa"/>
            <w:vAlign w:val="bottom"/>
          </w:tcPr>
          <w:p>
            <w:pPr>
              <w:ind w:left="280"/>
              <w:spacing w:after="0"/>
              <w:rPr>
                <w:sz w:val="20"/>
                <w:szCs w:val="20"/>
                <w:color w:val="auto"/>
              </w:rPr>
            </w:pPr>
            <w:r>
              <w:rPr>
                <w:rFonts w:ascii="Arial" w:cs="Arial" w:eastAsia="Arial" w:hAnsi="Arial"/>
                <w:sz w:val="18"/>
                <w:szCs w:val="18"/>
                <w:color w:val="auto"/>
              </w:rPr>
              <w:t>Cumulative effect of new accounting principle</w:t>
            </w:r>
          </w:p>
        </w:tc>
        <w:tc>
          <w:tcPr>
            <w:tcW w:w="28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w w:val="93"/>
              </w:rPr>
              <w:t>Amounts reclassified from accumulated other comprehensive income</w:t>
            </w:r>
          </w:p>
        </w:tc>
        <w:tc>
          <w:tcPr>
            <w:tcW w:w="2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Income tax expense related to items of other comprehensive income</w:t>
            </w:r>
          </w:p>
        </w:tc>
        <w:tc>
          <w:tcPr>
            <w:tcW w:w="28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546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w:t>
            </w:r>
          </w:p>
        </w:tc>
        <w:tc>
          <w:tcPr>
            <w:tcW w:w="28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402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20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summary of reclassifications out of accumulated other comprehensive income, net of tax follows:</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13335</wp:posOffset>
            </wp:positionV>
            <wp:extent cx="19551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4220" w:type="dxa"/>
            <w:vAlign w:val="bottom"/>
          </w:tcPr>
          <w:p>
            <w:pPr>
              <w:spacing w:after="0"/>
              <w:rPr>
                <w:sz w:val="16"/>
                <w:szCs w:val="16"/>
                <w:color w:val="auto"/>
              </w:rPr>
            </w:pPr>
          </w:p>
        </w:tc>
      </w:tr>
      <w:tr>
        <w:trPr>
          <w:trHeight w:val="80"/>
        </w:trPr>
        <w:tc>
          <w:tcPr>
            <w:tcW w:w="4120" w:type="dxa"/>
            <w:vAlign w:val="bottom"/>
            <w:tcBorders>
              <w:bottom w:val="single" w:sz="8" w:color="CCEEFF"/>
            </w:tcBorders>
          </w:tcPr>
          <w:p>
            <w:pPr>
              <w:spacing w:after="0"/>
              <w:rPr>
                <w:sz w:val="6"/>
                <w:szCs w:val="6"/>
                <w:color w:val="auto"/>
              </w:rPr>
            </w:pPr>
          </w:p>
        </w:tc>
        <w:tc>
          <w:tcPr>
            <w:tcW w:w="1500" w:type="dxa"/>
            <w:vAlign w:val="bottom"/>
            <w:tcBorders>
              <w:bottom w:val="single" w:sz="8" w:color="auto"/>
            </w:tcBorders>
            <w:gridSpan w:val="2"/>
          </w:tcPr>
          <w:p>
            <w:pPr>
              <w:spacing w:after="0"/>
              <w:rPr>
                <w:sz w:val="6"/>
                <w:szCs w:val="6"/>
                <w:color w:val="auto"/>
              </w:rPr>
            </w:pPr>
          </w:p>
        </w:tc>
        <w:tc>
          <w:tcPr>
            <w:tcW w:w="1580" w:type="dxa"/>
            <w:vAlign w:val="bottom"/>
            <w:tcBorders>
              <w:bottom w:val="single" w:sz="8" w:color="auto"/>
            </w:tcBorders>
            <w:gridSpan w:val="3"/>
          </w:tcPr>
          <w:p>
            <w:pPr>
              <w:spacing w:after="0"/>
              <w:rPr>
                <w:sz w:val="6"/>
                <w:szCs w:val="6"/>
                <w:color w:val="auto"/>
              </w:rPr>
            </w:pPr>
          </w:p>
        </w:tc>
        <w:tc>
          <w:tcPr>
            <w:tcW w:w="4220" w:type="dxa"/>
            <w:vAlign w:val="bottom"/>
            <w:tcBorders>
              <w:bottom w:val="single" w:sz="8" w:color="CCEEFF"/>
            </w:tcBorders>
          </w:tcPr>
          <w:p>
            <w:pPr>
              <w:spacing w:after="0"/>
              <w:rPr>
                <w:sz w:val="6"/>
                <w:szCs w:val="6"/>
                <w:color w:val="auto"/>
              </w:rPr>
            </w:pPr>
          </w:p>
        </w:tc>
      </w:tr>
      <w:tr>
        <w:trPr>
          <w:trHeight w:val="146"/>
        </w:trPr>
        <w:tc>
          <w:tcPr>
            <w:tcW w:w="4120" w:type="dxa"/>
            <w:vAlign w:val="bottom"/>
            <w:shd w:val="clear" w:color="auto" w:fill="CCEEFF"/>
          </w:tcPr>
          <w:p>
            <w:pPr>
              <w:jc w:val="center"/>
              <w:ind w:right="22"/>
              <w:spacing w:after="0" w:line="147" w:lineRule="exact"/>
              <w:rPr>
                <w:sz w:val="20"/>
                <w:szCs w:val="20"/>
                <w:color w:val="auto"/>
              </w:rPr>
            </w:pPr>
            <w:r>
              <w:rPr>
                <w:rFonts w:ascii="Arial" w:cs="Arial" w:eastAsia="Arial" w:hAnsi="Arial"/>
                <w:sz w:val="14"/>
                <w:szCs w:val="14"/>
                <w:b w:val="1"/>
                <w:bCs w:val="1"/>
                <w:color w:val="auto"/>
                <w:w w:val="92"/>
              </w:rPr>
              <w:t>Details About Accumulated Other Comprehensive Income</w:t>
            </w:r>
          </w:p>
        </w:tc>
        <w:tc>
          <w:tcPr>
            <w:tcW w:w="3080" w:type="dxa"/>
            <w:vAlign w:val="bottom"/>
            <w:gridSpan w:val="5"/>
            <w:shd w:val="clear" w:color="auto" w:fill="CCEEFF"/>
          </w:tcPr>
          <w:p>
            <w:pPr>
              <w:ind w:left="60"/>
              <w:spacing w:after="0" w:line="147" w:lineRule="exact"/>
              <w:rPr>
                <w:sz w:val="20"/>
                <w:szCs w:val="20"/>
                <w:color w:val="auto"/>
              </w:rPr>
            </w:pPr>
            <w:r>
              <w:rPr>
                <w:rFonts w:ascii="Arial" w:cs="Arial" w:eastAsia="Arial" w:hAnsi="Arial"/>
                <w:sz w:val="14"/>
                <w:szCs w:val="14"/>
                <w:b w:val="1"/>
                <w:bCs w:val="1"/>
                <w:color w:val="auto"/>
                <w:w w:val="92"/>
              </w:rPr>
              <w:t>Amounts Reclassified Out of Accumulated Other</w:t>
            </w:r>
          </w:p>
        </w:tc>
        <w:tc>
          <w:tcPr>
            <w:tcW w:w="4220" w:type="dxa"/>
            <w:vAlign w:val="bottom"/>
            <w:shd w:val="clear" w:color="auto" w:fill="CCEEFF"/>
          </w:tcPr>
          <w:p>
            <w:pPr>
              <w:ind w:left="980"/>
              <w:spacing w:after="0" w:line="147"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98"/>
        </w:trPr>
        <w:tc>
          <w:tcPr>
            <w:tcW w:w="4120" w:type="dxa"/>
            <w:vAlign w:val="bottom"/>
            <w:shd w:val="clear" w:color="auto" w:fill="CCEEFF"/>
          </w:tcPr>
          <w:p>
            <w:pPr>
              <w:jc w:val="center"/>
              <w:ind w:right="22"/>
              <w:spacing w:after="0"/>
              <w:rPr>
                <w:sz w:val="20"/>
                <w:szCs w:val="20"/>
                <w:color w:val="auto"/>
              </w:rPr>
            </w:pPr>
            <w:r>
              <w:rPr>
                <w:rFonts w:ascii="Arial" w:cs="Arial" w:eastAsia="Arial" w:hAnsi="Arial"/>
                <w:sz w:val="14"/>
                <w:szCs w:val="14"/>
                <w:b w:val="1"/>
                <w:bCs w:val="1"/>
                <w:color w:val="auto"/>
                <w:w w:val="91"/>
              </w:rPr>
              <w:t>Components</w:t>
            </w:r>
          </w:p>
        </w:tc>
        <w:tc>
          <w:tcPr>
            <w:tcW w:w="36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jc w:val="right"/>
              <w:ind w:right="714"/>
              <w:spacing w:after="0"/>
              <w:rPr>
                <w:sz w:val="20"/>
                <w:szCs w:val="20"/>
                <w:color w:val="auto"/>
              </w:rPr>
            </w:pPr>
            <w:r>
              <w:rPr>
                <w:rFonts w:ascii="Arial" w:cs="Arial" w:eastAsia="Arial" w:hAnsi="Arial"/>
                <w:sz w:val="14"/>
                <w:szCs w:val="14"/>
                <w:b w:val="1"/>
                <w:bCs w:val="1"/>
                <w:color w:val="auto"/>
              </w:rPr>
              <w:t>Comprehensive Income</w:t>
            </w:r>
          </w:p>
        </w:tc>
        <w:tc>
          <w:tcPr>
            <w:tcW w:w="4220" w:type="dxa"/>
            <w:vAlign w:val="bottom"/>
            <w:shd w:val="clear" w:color="auto" w:fill="CCEEFF"/>
          </w:tcPr>
          <w:p>
            <w:pPr>
              <w:ind w:left="1380"/>
              <w:spacing w:after="0"/>
              <w:rPr>
                <w:sz w:val="20"/>
                <w:szCs w:val="20"/>
                <w:color w:val="auto"/>
              </w:rPr>
            </w:pPr>
            <w:r>
              <w:rPr>
                <w:rFonts w:ascii="Arial" w:cs="Arial" w:eastAsia="Arial" w:hAnsi="Arial"/>
                <w:sz w:val="14"/>
                <w:szCs w:val="14"/>
                <w:b w:val="1"/>
                <w:bCs w:val="1"/>
                <w:color w:val="auto"/>
              </w:rPr>
              <w:t>Statements of Operations</w:t>
            </w:r>
          </w:p>
        </w:tc>
      </w:tr>
      <w:tr>
        <w:trPr>
          <w:trHeight w:val="243"/>
        </w:trPr>
        <w:tc>
          <w:tcPr>
            <w:tcW w:w="4120" w:type="dxa"/>
            <w:vAlign w:val="bottom"/>
          </w:tcPr>
          <w:p>
            <w:pPr>
              <w:ind w:left="500"/>
              <w:spacing w:after="0"/>
              <w:rPr>
                <w:sz w:val="20"/>
                <w:szCs w:val="20"/>
                <w:color w:val="auto"/>
              </w:rPr>
            </w:pPr>
            <w:r>
              <w:rPr>
                <w:rFonts w:ascii="Arial" w:cs="Arial" w:eastAsia="Arial" w:hAnsi="Arial"/>
                <w:sz w:val="18"/>
                <w:szCs w:val="18"/>
                <w:color w:val="auto"/>
              </w:rPr>
              <w:t>Interest rate swaps</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4220" w:type="dxa"/>
            <w:vAlign w:val="bottom"/>
          </w:tcPr>
          <w:p>
            <w:pPr>
              <w:ind w:left="140"/>
              <w:spacing w:after="0"/>
              <w:rPr>
                <w:sz w:val="20"/>
                <w:szCs w:val="20"/>
                <w:color w:val="auto"/>
              </w:rPr>
            </w:pPr>
            <w:r>
              <w:rPr>
                <w:rFonts w:ascii="Arial" w:cs="Arial" w:eastAsia="Arial" w:hAnsi="Arial"/>
                <w:sz w:val="18"/>
                <w:szCs w:val="18"/>
                <w:color w:val="auto"/>
              </w:rPr>
              <w:t>Interest expense</w:t>
            </w:r>
          </w:p>
        </w:tc>
      </w:tr>
      <w:tr>
        <w:trPr>
          <w:trHeight w:val="27"/>
        </w:trPr>
        <w:tc>
          <w:tcPr>
            <w:tcW w:w="4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before income taxes</w:t>
            </w:r>
          </w:p>
        </w:tc>
      </w:tr>
      <w:tr>
        <w:trPr>
          <w:trHeight w:val="243"/>
        </w:trPr>
        <w:tc>
          <w:tcPr>
            <w:tcW w:w="4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20" w:type="dxa"/>
            <w:vAlign w:val="bottom"/>
          </w:tcPr>
          <w:p>
            <w:pPr>
              <w:ind w:left="140"/>
              <w:spacing w:after="0"/>
              <w:rPr>
                <w:sz w:val="20"/>
                <w:szCs w:val="20"/>
                <w:color w:val="auto"/>
              </w:rPr>
            </w:pPr>
            <w:r>
              <w:rPr>
                <w:rFonts w:ascii="Arial" w:cs="Arial" w:eastAsia="Arial" w:hAnsi="Arial"/>
                <w:sz w:val="18"/>
                <w:szCs w:val="18"/>
                <w:color w:val="auto"/>
              </w:rPr>
              <w:t>(Benefit) provision for income taxes</w:t>
            </w:r>
          </w:p>
        </w:tc>
      </w:tr>
      <w:tr>
        <w:trPr>
          <w:trHeight w:val="27"/>
        </w:trPr>
        <w:tc>
          <w:tcPr>
            <w:tcW w:w="4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r>
      <w:tr>
        <w:trPr>
          <w:trHeight w:val="20"/>
        </w:trPr>
        <w:tc>
          <w:tcPr>
            <w:tcW w:w="4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Basic earnings per share is computed by dividing the net loss from continuing operations by the weighted average number of common shares outstanding during the period. Diluted earnings per share is calculated based on the combined weighted average number of common shares and potentially dilutive shares, which include the assumed exercise of employee stock options, including market-based performance stock options based on the expected achievement of performance targets,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200" w:lineRule="exact"/>
        <w:rPr>
          <w:sz w:val="20"/>
          <w:szCs w:val="20"/>
          <w:color w:val="auto"/>
        </w:rPr>
      </w:pPr>
    </w:p>
    <w:p>
      <w:pPr>
        <w:spacing w:after="0" w:line="260"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Number of shares outstanding, end of period:</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A common stock</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41,700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40,892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Class B common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Unvested restricted stock</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Effect of weighted average shares outstanding</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common shares outstanding</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42,370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Anti-dilutive potentially issuable shares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800" w:firstLine="8"/>
        <w:spacing w:after="0" w:line="548" w:lineRule="auto"/>
        <w:tabs>
          <w:tab w:leader="none" w:pos="648"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Other Items and Charges Contract Settlement Charge</w:t>
      </w:r>
    </w:p>
    <w:p>
      <w:pPr>
        <w:spacing w:after="0" w:line="1" w:lineRule="exact"/>
        <w:rPr>
          <w:sz w:val="20"/>
          <w:szCs w:val="20"/>
          <w:color w:val="auto"/>
        </w:rPr>
      </w:pPr>
    </w:p>
    <w:p>
      <w:pPr>
        <w:ind w:left="60" w:right="200"/>
        <w:spacing w:after="0" w:line="277" w:lineRule="auto"/>
        <w:rPr>
          <w:sz w:val="20"/>
          <w:szCs w:val="20"/>
          <w:color w:val="auto"/>
        </w:rPr>
      </w:pPr>
      <w:r>
        <w:rPr>
          <w:rFonts w:ascii="Arial" w:cs="Arial" w:eastAsia="Arial" w:hAnsi="Arial"/>
          <w:sz w:val="18"/>
          <w:szCs w:val="18"/>
          <w:color w:val="auto"/>
        </w:rPr>
        <w:t>In the three months ended March 31, 2018, we recorded a contract settlement charge of $2,100 associated with the termination and discounted buy-out of a commodities marketing and brokerage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w:t>
      </w:r>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In June 2017, we initiated the plan to cease operations of the Southbridge Landfill as disclosed in Note 8,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Accordingly, in the three months ended March 31, 2018, we recorded a charge associated with the closure of the Southbridge Landfill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4" w:name="page25"/>
    <w:bookmarkEnd w:id="24"/>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Charlton settlement charge (1)</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Legal and transaction costs (2)</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closure charge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1,586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58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We established a reserve associated with the Town of Charlton's claim against us.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disclosure.</w:t>
      </w:r>
    </w:p>
    <w:p>
      <w:pPr>
        <w:spacing w:after="0" w:line="62"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We incurred legal and other transaction costs associated with various matters as part of the Southbridge Landfill closure. See Note 8,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for additional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 Charge</w:t>
      </w:r>
    </w:p>
    <w:p>
      <w:pPr>
        <w:spacing w:after="0" w:line="202"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In the three months ended March 31, 2018, we recorded a development project charge of $311 associated with previously deferred costs that were written off as a result of the negative vote in a public referendum relating to our NCES Landfill.</w:t>
      </w:r>
    </w:p>
    <w:p>
      <w:pPr>
        <w:spacing w:after="0" w:line="32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financial instruments include cash and cash equivalents, accounts receivable-trade,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 trade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 month LIBOR yield curves that are observable at commonly quoted intervals for the full term of the swaps.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163"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Fair Value Measurement at March 31, 2018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280" w:type="dxa"/>
            <w:vAlign w:val="bottom"/>
          </w:tcPr>
          <w:p>
            <w:pPr>
              <w:spacing w:after="0"/>
              <w:rPr>
                <w:sz w:val="14"/>
                <w:szCs w:val="14"/>
                <w:color w:val="auto"/>
              </w:rPr>
            </w:pPr>
          </w:p>
        </w:tc>
        <w:tc>
          <w:tcPr>
            <w:tcW w:w="1420" w:type="dxa"/>
            <w:vAlign w:val="bottom"/>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4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1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3"/>
              </w:rPr>
              <w:t>Fair Value Measurement at December 31, 2017 Using:</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3"/>
                <w:szCs w:val="13"/>
                <w:color w:val="auto"/>
              </w:rPr>
            </w:pPr>
          </w:p>
        </w:tc>
        <w:tc>
          <w:tcPr>
            <w:tcW w:w="15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2"/>
                <w:szCs w:val="12"/>
                <w:color w:val="auto"/>
              </w:rPr>
            </w:pPr>
          </w:p>
        </w:tc>
        <w:tc>
          <w:tcPr>
            <w:tcW w:w="15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54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4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March 31, 2018, the fair value of our fixed rate debt, including our FAME Bonds 2005R-3, Finance Authority of Maine Solid Waste Disposal Revenue Bonds Series 2015 (“FAME Bonds 2015”), Vermont Bonds, New York State Environmental Facilities Corporation Solid Waste Disposal Revenue Bonds Series 2014 (“New York Bonds 2014”), New York State Environmental Facilities Corporation Solid Waste Disposal Revenue Bonds Series 2014R-2 (“New York Bonds 2016”) and Solid Waste Disposal Revenue Bonds Series 2013 issued by the Business Finance Authority of the State of New Hampshire (“New Hampshire Bonds”) was approximately $108,003 and the carrying value was $107,000. The fair value of the FAME Bonds 2005R-3, the FAME Bonds 2015, the Vermont Bonds, the New York Bonds 2014, the New York Bonds 2016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 The fair value of our fixed rate debt does not include the issuance in April 2018 of $15,000 aggregate principal amount of FAME Bonds 2015R-2.</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March 31, 2018, the fair value of our term loan B component of our senior credit facility (the "Term Loan B Facility") was approximately $347,353 and the carrying value was $345,625. The fair value of the Term Loan B Facility is considered to be Level 2 within the fair value hierarchy as its fair value is based off of quoted market prices in a principal to principal market with limited public information. As of March 31, 2018, the fair value of our revolving line-of-credit component of our senior credit facility approximated its carrying value of $52,600 based on current borrowing rates for similar types of borrowing arrangements, or Level 2 inputs.</w:t>
      </w:r>
    </w:p>
    <w:p>
      <w:pPr>
        <w:spacing w:after="0" w:line="18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Although we have determined the estimated fair value amounts of the Term Loan B Facility, FAME Bonds 2005R-3, FAME Bonds 2015, Vermont Bonds, New York Bonds 2014, New York Bonds 2016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18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benefit for income taxes for the three months ended March 31, 2018 includes a ($1,635) deferred tax benefit due to a reduction of the valuation allowance. In determining the need for a valuation allowance, we have assessed the available means of recovering deferred tax assets, including the existence of reversing temporary differences. The valuation allowance decreased due to the recognition of additional reversing temporary differences from the $1,635 deferred tax liability recorded through goodwill related to the Complete acquisition. The $1,635 deferred tax liability related to the Complete acquisition was based on the impact of temporary differences between the amounts of assets and liabilities recognized for financial reporting purposes and such amounts recognized for income tax purposes.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38" w:right="239" w:bottom="1440" w:gutter="0" w:footer="0" w:header="0"/>
        </w:sectPr>
      </w:pPr>
    </w:p>
    <w:bookmarkStart w:id="26" w:name="page27"/>
    <w:bookmarkEnd w:id="26"/>
    <w:p>
      <w:pPr>
        <w:ind w:right="20"/>
        <w:spacing w:after="0" w:line="288" w:lineRule="auto"/>
        <w:rPr>
          <w:sz w:val="20"/>
          <w:szCs w:val="20"/>
          <w:color w:val="auto"/>
        </w:rPr>
      </w:pPr>
      <w:r>
        <w:rPr>
          <w:rFonts w:ascii="Arial" w:cs="Arial" w:eastAsia="Arial" w:hAnsi="Arial"/>
          <w:sz w:val="16"/>
          <w:szCs w:val="16"/>
          <w:color w:val="auto"/>
        </w:rPr>
        <w:t>On December 22, 2017, the Tax Cuts and Jobs Act (the “Act”) was enacted. The Act, which is also commonly referred to as “US tax reform,” significantly changes US corporate income tax laws by, among other things, reducing the US corporate income tax rate from 35% to 21% starting in 2018. Under the Act, the alternative minimum tax has been repealed and minimum tax credit carryforwards become refundable beginning in 2018 and will be fully refunded, if not otherwise used to offset tax liabilities, in tax year 2021. Further, our $101.2 million in federal net operating loss carryforwards generated as of the end of 2017 continue to be carried forward for 20 years and are expected to be available to fully offset taxable income earned in 2018 and future tax years. Federal net operating losses generated after 2017 will be carried forward indefinitely, but generally may only offset up to 80% of taxable income earned in a tax year. In the quarter ending December 31, 2017, we revalued our deferred tax assets and liabilities for changes under the Act including (a) revaluing our federal net deferred taxes assets before valuation allowance using the 21% tax rate; (b) revaluing our federal valuation allowance using the 21% tax rate; and (c) recognizing a federal deferred tax benefit for 80% of indefinite lived deferred tax liabilities, which are anticipated to be available as a source of taxable income upon reversal of deferred tax assets that would also have indefinite lives.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benefit for income taxes for the three months ended March 31, 2018 incorporates the changes under the Act, including use of the 21% US corporate income tax rate and applying the new federal net operating loss carryforward rules. We have $3,804 minimum tax credit carryforwards of which we anticipate $1,902 is refundable in 2018. A current income tax benefit of $475, offset by a $475 deferred tax provision, was recognized in the quarter for a portion of the minimum tax credit carryforward refundable in 2018.</w:t>
      </w:r>
    </w:p>
    <w:p>
      <w:pPr>
        <w:spacing w:after="0" w:line="34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report selected information about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w:t>
      </w:r>
    </w:p>
    <w:p>
      <w:pPr>
        <w:ind w:right="460"/>
        <w:spacing w:after="0" w:line="255" w:lineRule="auto"/>
        <w:rPr>
          <w:sz w:val="20"/>
          <w:szCs w:val="20"/>
          <w:color w:val="auto"/>
        </w:rPr>
      </w:pPr>
      <w:r>
        <w:rPr>
          <w:rFonts w:ascii="Arial" w:cs="Arial" w:eastAsia="Arial" w:hAnsi="Arial"/>
          <w:sz w:val="18"/>
          <w:szCs w:val="18"/>
          <w:color w:val="auto"/>
        </w:rPr>
        <w:t>Our revenues in the Recycling segment are derived from municipalities and customers in the form of processing fees, tipping fees and commodity sales. Organics services, ancillary operations, major account and industrial services, discontinued operations, and earnings from equity method investees, as applicable, are included in our Other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14"/>
                <w:szCs w:val="14"/>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174,860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64,739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342,285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47,065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28,054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67,165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147,455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15,983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631,375</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2017</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197,817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54,144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6,604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324,262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50,138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24,337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49,032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133,802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621,249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7" w:name="page28"/>
    <w:bookmarkEnd w:id="27"/>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4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59,838</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Disposal</w:t>
            </w:r>
          </w:p>
        </w:tc>
        <w:tc>
          <w:tcPr>
            <w:tcW w:w="4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31,281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generation</w:t>
            </w:r>
          </w:p>
        </w:tc>
        <w:tc>
          <w:tcPr>
            <w:tcW w:w="4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4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 operations</w:t>
            </w:r>
          </w:p>
        </w:tc>
        <w:tc>
          <w:tcPr>
            <w:tcW w:w="4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94,131</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Organics</w:t>
            </w:r>
          </w:p>
        </w:tc>
        <w:tc>
          <w:tcPr>
            <w:tcW w:w="4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4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13,822</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4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16,635</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147,455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133,802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25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28" w:name="page29"/>
    <w:bookmarkEnd w:id="28"/>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2017 filed with the Securities and Exchange Commission (“SEC”) on March 2, 2018.</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w:t>
      </w:r>
    </w:p>
    <w:p>
      <w:pPr>
        <w:spacing w:after="0" w:line="18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50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or the level of commodity pricing of our recyclables, increases in landfill tipping fees and fuel costs and general economic and weather conditions;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2017 and, if applicable, those included under Part II, Item 1A of this Quarterly Report on Form 10-Q.</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796"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Founded in 1975 with a single truck, Casella Waste Systems, Inc., a Delaware corporation, its wholly-owned subsidiaries and certain partially owned entities over which it has a controlling financial interest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major account and industrial services, discontinued operations, and earnings from equity method investees, as applicable, are included in our Other segment.</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April 15, 2018, we owned and/or operated 32 solid waste collection operations, 47 transfer stations, 18 recycling facilities, nine Subtitle D landfills, four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Revenues from our Recycling segment consist of revenues derived from municipalities and customers in the form of processing fees, tipping fees and commodity sales. Revenues from organics services, ancillary operations, and major account and industrial services are included in our Other segment. Our revenues are shown net of inter-company eliminations.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attributable to service provided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4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Disposal</w:t>
            </w:r>
          </w:p>
        </w:tc>
        <w:tc>
          <w:tcPr>
            <w:tcW w:w="4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4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Organics</w:t>
            </w:r>
          </w:p>
        </w:tc>
        <w:tc>
          <w:tcPr>
            <w:tcW w:w="4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4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 summary of the period-to-period changes in solid waste revenues (dollars in millions) follows:</w:t>
      </w:r>
    </w:p>
    <w:p>
      <w:pPr>
        <w:spacing w:after="0" w:line="163"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Period-to-Period</w:t>
      </w:r>
    </w:p>
    <w:p>
      <w:pPr>
        <w:spacing w:after="0" w:line="3"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Change for the Three Months Ended March 31,</w:t>
      </w:r>
    </w:p>
    <w:p>
      <w:pPr>
        <w:jc w:val="center"/>
        <w:ind w:left="8320"/>
        <w:spacing w:after="0"/>
        <w:rPr>
          <w:sz w:val="20"/>
          <w:szCs w:val="20"/>
          <w:color w:val="auto"/>
        </w:rPr>
      </w:pPr>
      <w:r>
        <w:rPr>
          <w:rFonts w:ascii="Arial" w:cs="Arial" w:eastAsia="Arial" w:hAnsi="Arial"/>
          <w:sz w:val="14"/>
          <w:szCs w:val="14"/>
          <w:b w:val="1"/>
          <w:bCs w:val="1"/>
          <w:color w:val="auto"/>
        </w:rPr>
        <w:t>2018 vs.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13335</wp:posOffset>
            </wp:positionV>
            <wp:extent cx="19894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Surcharges and other fees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price and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Acquisitions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Solid waste revenues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$2.8 million from favorable collection pricing;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$1.2 million from favorable disposal pricing associated with our landfills and transfer stations.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466"/>
        <w:spacing w:after="0"/>
        <w:rPr>
          <w:sz w:val="20"/>
          <w:szCs w:val="20"/>
          <w:color w:val="auto"/>
        </w:rPr>
      </w:pPr>
      <w:r>
        <w:rPr>
          <w:rFonts w:ascii="Arial" w:cs="Arial" w:eastAsia="Arial" w:hAnsi="Arial"/>
          <w:sz w:val="14"/>
          <w:szCs w:val="14"/>
          <w:b w:val="1"/>
          <w:bCs w:val="1"/>
          <w:color w:val="auto"/>
        </w:rPr>
        <w:t>Amount</w:t>
      </w:r>
    </w:p>
    <w:p>
      <w:pPr>
        <w:spacing w:after="0" w:line="63" w:lineRule="exact"/>
        <w:rPr>
          <w:sz w:val="20"/>
          <w:szCs w:val="20"/>
          <w:color w:val="auto"/>
        </w:rPr>
      </w:pPr>
    </w:p>
    <w:p>
      <w:pPr>
        <w:ind w:left="1106" w:hanging="1106"/>
        <w:spacing w:after="0"/>
        <w:tabs>
          <w:tab w:leader="none" w:pos="1106" w:val="left"/>
        </w:tabs>
        <w:numPr>
          <w:ilvl w:val="0"/>
          <w:numId w:val="25"/>
        </w:numPr>
        <w:rPr>
          <w:rFonts w:ascii="Arial" w:cs="Arial" w:eastAsia="Arial" w:hAnsi="Arial"/>
          <w:sz w:val="17"/>
          <w:szCs w:val="17"/>
          <w:color w:val="auto"/>
        </w:rPr>
      </w:pPr>
      <w:r>
        <w:rPr>
          <w:rFonts w:ascii="Arial" w:cs="Arial" w:eastAsia="Arial" w:hAnsi="Arial"/>
          <w:sz w:val="17"/>
          <w:szCs w:val="17"/>
          <w:color w:val="auto"/>
        </w:rPr>
        <w:t>4.0</w:t>
      </w:r>
    </w:p>
    <w:p>
      <w:pPr>
        <w:spacing w:after="0" w:line="74" w:lineRule="exact"/>
        <w:rPr>
          <w:rFonts w:ascii="Arial" w:cs="Arial" w:eastAsia="Arial" w:hAnsi="Arial"/>
          <w:sz w:val="17"/>
          <w:szCs w:val="17"/>
          <w:color w:val="auto"/>
        </w:rPr>
      </w:pPr>
    </w:p>
    <w:p>
      <w:pPr>
        <w:ind w:left="1106"/>
        <w:spacing w:after="0"/>
        <w:rPr>
          <w:rFonts w:ascii="Arial" w:cs="Arial" w:eastAsia="Arial" w:hAnsi="Arial"/>
          <w:sz w:val="17"/>
          <w:szCs w:val="17"/>
          <w:color w:val="auto"/>
        </w:rPr>
      </w:pPr>
      <w:r>
        <w:rPr>
          <w:rFonts w:ascii="Arial" w:cs="Arial" w:eastAsia="Arial" w:hAnsi="Arial"/>
          <w:sz w:val="17"/>
          <w:szCs w:val="17"/>
          <w:color w:val="auto"/>
        </w:rPr>
        <w:t>6.2</w:t>
      </w:r>
    </w:p>
    <w:p>
      <w:pPr>
        <w:spacing w:after="0" w:line="74" w:lineRule="exact"/>
        <w:rPr>
          <w:rFonts w:ascii="Arial" w:cs="Arial" w:eastAsia="Arial" w:hAnsi="Arial"/>
          <w:sz w:val="17"/>
          <w:szCs w:val="17"/>
          <w:color w:val="auto"/>
        </w:rPr>
      </w:pPr>
    </w:p>
    <w:p>
      <w:pPr>
        <w:ind w:left="1106"/>
        <w:spacing w:after="0"/>
        <w:rPr>
          <w:rFonts w:ascii="Arial" w:cs="Arial" w:eastAsia="Arial" w:hAnsi="Arial"/>
          <w:sz w:val="17"/>
          <w:szCs w:val="17"/>
          <w:color w:val="auto"/>
        </w:rPr>
      </w:pPr>
      <w:r>
        <w:rPr>
          <w:rFonts w:ascii="Arial" w:cs="Arial" w:eastAsia="Arial" w:hAnsi="Arial"/>
          <w:sz w:val="17"/>
          <w:szCs w:val="17"/>
          <w:color w:val="auto"/>
        </w:rPr>
        <w:t>1.2</w:t>
      </w:r>
    </w:p>
    <w:p>
      <w:pPr>
        <w:spacing w:after="0" w:line="74" w:lineRule="exact"/>
        <w:rPr>
          <w:rFonts w:ascii="Arial" w:cs="Arial" w:eastAsia="Arial" w:hAnsi="Arial"/>
          <w:sz w:val="17"/>
          <w:szCs w:val="17"/>
          <w:color w:val="auto"/>
        </w:rPr>
      </w:pPr>
    </w:p>
    <w:p>
      <w:pPr>
        <w:ind w:left="1106"/>
        <w:spacing w:after="0"/>
        <w:rPr>
          <w:rFonts w:ascii="Arial" w:cs="Arial" w:eastAsia="Arial" w:hAnsi="Arial"/>
          <w:sz w:val="17"/>
          <w:szCs w:val="17"/>
          <w:color w:val="auto"/>
        </w:rPr>
      </w:pPr>
      <w:r>
        <w:rPr>
          <w:rFonts w:ascii="Arial" w:cs="Arial" w:eastAsia="Arial" w:hAnsi="Arial"/>
          <w:sz w:val="17"/>
          <w:szCs w:val="17"/>
          <w:color w:val="auto"/>
        </w:rPr>
        <w:t>0.3</w:t>
      </w:r>
    </w:p>
    <w:p>
      <w:pPr>
        <w:spacing w:after="0" w:line="74" w:lineRule="exact"/>
        <w:rPr>
          <w:rFonts w:ascii="Arial" w:cs="Arial" w:eastAsia="Arial" w:hAnsi="Arial"/>
          <w:sz w:val="17"/>
          <w:szCs w:val="17"/>
          <w:color w:val="auto"/>
        </w:rPr>
      </w:pPr>
    </w:p>
    <w:p>
      <w:pPr>
        <w:ind w:left="1106"/>
        <w:spacing w:after="0"/>
        <w:rPr>
          <w:rFonts w:ascii="Arial" w:cs="Arial" w:eastAsia="Arial" w:hAnsi="Arial"/>
          <w:sz w:val="17"/>
          <w:szCs w:val="17"/>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9347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8" w:lineRule="exact"/>
        <w:rPr>
          <w:sz w:val="20"/>
          <w:szCs w:val="20"/>
          <w:color w:val="auto"/>
        </w:rPr>
      </w:pPr>
    </w:p>
    <w:p>
      <w:pPr>
        <w:ind w:left="1026" w:hanging="1026"/>
        <w:spacing w:after="0"/>
        <w:tabs>
          <w:tab w:leader="none" w:pos="1026" w:val="left"/>
        </w:tabs>
        <w:numPr>
          <w:ilvl w:val="0"/>
          <w:numId w:val="26"/>
        </w:numPr>
        <w:rPr>
          <w:rFonts w:ascii="Arial" w:cs="Arial" w:eastAsia="Arial" w:hAnsi="Arial"/>
          <w:sz w:val="16"/>
          <w:szCs w:val="16"/>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347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of Growth</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31750</wp:posOffset>
            </wp:positionV>
            <wp:extent cx="9861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31750</wp:posOffset>
            </wp:positionV>
            <wp:extent cx="9861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48895</wp:posOffset>
            </wp:positionV>
            <wp:extent cx="9861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324" w:lineRule="exact"/>
        <w:rPr>
          <w:sz w:val="20"/>
          <w:szCs w:val="20"/>
          <w:color w:val="auto"/>
        </w:rPr>
      </w:pPr>
    </w:p>
    <w:p>
      <w:pPr>
        <w:sectPr>
          <w:pgSz w:w="11900" w:h="16838" w:orient="portrait"/>
          <w:cols w:equalWidth="0" w:num="3">
            <w:col w:w="7594" w:space="720"/>
            <w:col w:w="1346" w:space="580"/>
            <w:col w:w="1140"/>
          </w:cols>
          <w:pgMar w:left="240" w:top="800" w:right="27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solid waste revenues growth is the result of the following:</w:t>
      </w:r>
    </w:p>
    <w:p>
      <w:pPr>
        <w:spacing w:after="0" w:line="117" w:lineRule="exact"/>
        <w:rPr>
          <w:sz w:val="20"/>
          <w:szCs w:val="20"/>
          <w:color w:val="auto"/>
        </w:rPr>
      </w:pPr>
    </w:p>
    <w:p>
      <w:pPr>
        <w:ind w:left="460" w:right="540" w:hanging="330"/>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$6.0 million from higher disposal volumes (of which $3.3 million relates to higher transportation volumes, $2.3 million relates to higher landfill volumes and $0.4 million relates to higher transfer station volumes); and</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$0.3 million from higher collection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$(0.1) million from lower processing volumes.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surcharges and other fees change component in solid waste revenues growth is the result of the following:</w:t>
      </w:r>
    </w:p>
    <w:p>
      <w:pPr>
        <w:spacing w:after="0" w:line="117" w:lineRule="exact"/>
        <w:rPr>
          <w:sz w:val="20"/>
          <w:szCs w:val="20"/>
          <w:color w:val="auto"/>
        </w:rPr>
      </w:pPr>
    </w:p>
    <w:p>
      <w:pPr>
        <w:ind w:left="460" w:right="140" w:hanging="330"/>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$1.2 million associated primarily with the Energy component of the Energy and Environmental fee and the portion of the Sustainability Recycling Adjustment fee that has anniversaried. The Energy component of the fee floats on a monthly basis based on diesel fuel prices. The Energy component of the fee increased due to both the implementation of the program and higher diesel fuel pricing. The Sustainability Recycling Adjustment fee floats on a monthly basis based on recycling commodity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commodity price and volume change component in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$0.5 million from favorable energy pricing;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$(0.2) million from lower commodity processing volumes and to a lesser extent landfill gas-to-energy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60" w:right="80"/>
        <w:spacing w:after="0" w:line="279" w:lineRule="auto"/>
        <w:rPr>
          <w:sz w:val="20"/>
          <w:szCs w:val="20"/>
          <w:color w:val="auto"/>
        </w:rPr>
      </w:pPr>
      <w:r>
        <w:rPr>
          <w:rFonts w:ascii="Arial" w:cs="Arial" w:eastAsia="Arial" w:hAnsi="Arial"/>
          <w:sz w:val="17"/>
          <w:szCs w:val="17"/>
          <w:color w:val="auto"/>
        </w:rPr>
        <w:t>The acquisitions change component in solid waste revenues growth is primarily the result of the acquisition of a solid waste collection, transfer and processing business in our Eastern region, Complete Disposal Company, Inc. and its subsidiary United Material Management of Holyoke, Inc. (collectively, "Complete"), in the three months ended March 31, 2018. It is also impacted by the acquisition of a tuck-in collection business in the three months ended March 31, 2018 and four solid waste collection businesses from March 2017 through December 2017.</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800" w:right="2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Organics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Organics revenues increased $2.9 million as a result of higher commodity volumes, primarily driven by a new transportation and disposal sludge contract.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Customer solutions revenues increased $1.4 million as a result of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Recycling revenues decreased as a result of the following:</w:t>
      </w:r>
    </w:p>
    <w:p>
      <w:pPr>
        <w:spacing w:after="0" w:line="117" w:lineRule="exact"/>
        <w:rPr>
          <w:sz w:val="20"/>
          <w:szCs w:val="20"/>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$(7.3) million from unfavorable commodity pricing in the marketplace;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$(1.8) million from lower commodity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$2.7 million from higher tipping fees.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w w:val="97"/>
              </w:rPr>
              <w:t>Three Months Ended 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5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105.6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rPr>
              <w:t>94.5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4"/>
              <w:spacing w:after="0"/>
              <w:rPr>
                <w:sz w:val="20"/>
                <w:szCs w:val="20"/>
                <w:color w:val="auto"/>
              </w:rPr>
            </w:pPr>
            <w:r>
              <w:rPr>
                <w:rFonts w:ascii="Arial" w:cs="Arial" w:eastAsia="Arial" w:hAnsi="Arial"/>
                <w:sz w:val="18"/>
                <w:szCs w:val="18"/>
                <w:color w:val="auto"/>
              </w:rPr>
              <w:t>21.0</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54"/>
              <w:spacing w:after="0"/>
              <w:rPr>
                <w:sz w:val="20"/>
                <w:szCs w:val="20"/>
                <w:color w:val="auto"/>
              </w:rPr>
            </w:pPr>
            <w:r>
              <w:rPr>
                <w:rFonts w:ascii="Arial" w:cs="Arial" w:eastAsia="Arial" w:hAnsi="Arial"/>
                <w:sz w:val="18"/>
                <w:szCs w:val="18"/>
                <w:color w:val="auto"/>
              </w:rPr>
              <w:t>18.8</w:t>
            </w: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16.0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13.8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change in cost of operations can be primarily attributed to the following: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direct costs increased $4.4 million due to the following:</w:t>
      </w:r>
    </w:p>
    <w:p>
      <w:pPr>
        <w:spacing w:after="0" w:line="117" w:lineRule="exact"/>
        <w:rPr>
          <w:sz w:val="20"/>
          <w:szCs w:val="20"/>
          <w:color w:val="auto"/>
        </w:rPr>
      </w:pPr>
    </w:p>
    <w:p>
      <w:pPr>
        <w:ind w:left="460" w:right="20" w:hanging="330"/>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primarily associated with: a large contaminated soil project in the Western region where we incurred third-party costs for excavation, screening, and transportation of soils; higher collection volumes in the Eastern region; higher volumes on lower margin commercial work in our Customer Solutions line-of-business; and higher volumes being directed to third-party sites driven by a large new sludge transportation and disposal contract in our Organics line-of-business; and</w:t>
      </w:r>
    </w:p>
    <w:p>
      <w:pPr>
        <w:spacing w:after="0" w:line="186" w:lineRule="exact"/>
        <w:rPr>
          <w:rFonts w:ascii="Arial" w:cs="Arial" w:eastAsia="Arial" w:hAnsi="Arial"/>
          <w:sz w:val="18"/>
          <w:szCs w:val="18"/>
          <w:color w:val="auto"/>
        </w:rPr>
      </w:pPr>
    </w:p>
    <w:p>
      <w:pPr>
        <w:ind w:left="460" w:right="360" w:hanging="330"/>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disposal costs associated with: higher transfer station and transportation volumes with increased third-party disposal pricing in the Western region; the Complete acquisition in the Eastern region; the reduction of contamination in the Recycling segment; and the use of alternative disposal sites in our Organics line-of-business; partially offset by</w:t>
      </w:r>
    </w:p>
    <w:p>
      <w:pPr>
        <w:spacing w:after="0" w:line="181" w:lineRule="exact"/>
        <w:rPr>
          <w:rFonts w:ascii="Arial" w:cs="Arial" w:eastAsia="Arial" w:hAnsi="Arial"/>
          <w:sz w:val="18"/>
          <w:szCs w:val="18"/>
          <w:color w:val="auto"/>
        </w:rPr>
      </w:pPr>
    </w:p>
    <w:p>
      <w:pPr>
        <w:ind w:left="460" w:hanging="330"/>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purchased material costs in our Recycling and Customer Solutions lines-of-business.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Labor and related benefit costs increased $2.1 million due to the following:</w:t>
      </w:r>
    </w:p>
    <w:p>
      <w:pPr>
        <w:spacing w:after="0" w:line="117" w:lineRule="exact"/>
        <w:rPr>
          <w:sz w:val="20"/>
          <w:szCs w:val="20"/>
          <w:color w:val="auto"/>
        </w:rPr>
      </w:pPr>
    </w:p>
    <w:p>
      <w:pPr>
        <w:ind w:left="460" w:hanging="330"/>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labor costs related primarily to acquisitions and higher collection volumes in the Eastern region;</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higher labor costs related primarily to wage inflation and acquisitions in the Western region;</w:t>
      </w:r>
    </w:p>
    <w:p>
      <w:pPr>
        <w:spacing w:after="0" w:line="225" w:lineRule="exact"/>
        <w:rPr>
          <w:rFonts w:ascii="Arial" w:cs="Arial" w:eastAsia="Arial" w:hAnsi="Arial"/>
          <w:sz w:val="18"/>
          <w:szCs w:val="18"/>
          <w:color w:val="auto"/>
        </w:rPr>
      </w:pPr>
    </w:p>
    <w:p>
      <w:pPr>
        <w:ind w:left="460" w:right="100" w:hanging="330"/>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labor costs as we slowed processing lines and added labor in an effort to improve product quality and reduce contamination in finished products in our Recycling line-of-business; and</w:t>
      </w:r>
    </w:p>
    <w:p>
      <w:pPr>
        <w:sectPr>
          <w:pgSz w:w="11900" w:h="16838" w:orient="portrait"/>
          <w:cols w:equalWidth="0" w:num="1">
            <w:col w:w="11420"/>
          </w:cols>
          <w:pgMar w:left="240" w:top="80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800" w:right="239" w:bottom="1440" w:gutter="0" w:footer="0" w:header="0"/>
          <w:type w:val="continuous"/>
        </w:sectPr>
      </w:pPr>
    </w:p>
    <w:bookmarkStart w:id="32" w:name="page33"/>
    <w:bookmarkEnd w:id="32"/>
    <w:p>
      <w:pPr>
        <w:ind w:left="460" w:hanging="330"/>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workers compensation insurance costs based on claims activity.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 operational costs increased $2.3 million due to the following:</w:t>
      </w:r>
    </w:p>
    <w:p>
      <w:pPr>
        <w:spacing w:after="0" w:line="117" w:lineRule="exact"/>
        <w:rPr>
          <w:sz w:val="20"/>
          <w:szCs w:val="20"/>
          <w:color w:val="auto"/>
        </w:rPr>
      </w:pPr>
    </w:p>
    <w:p>
      <w:pPr>
        <w:ind w:left="460" w:hanging="330"/>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landfill operating lease amortization associated primarily with increased landfill volumes in the Western region;</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leachate disposal costs and landfill operating costs at certain landfills in the Western region;</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host community fees associated with increased volumes at certain landfills in the Western region; and</w:t>
      </w:r>
    </w:p>
    <w:p>
      <w:pPr>
        <w:spacing w:after="0" w:line="225" w:lineRule="exact"/>
        <w:rPr>
          <w:rFonts w:ascii="Arial" w:cs="Arial" w:eastAsia="Arial" w:hAnsi="Arial"/>
          <w:sz w:val="18"/>
          <w:szCs w:val="18"/>
          <w:color w:val="auto"/>
        </w:rPr>
      </w:pPr>
    </w:p>
    <w:p>
      <w:pPr>
        <w:ind w:left="460" w:right="560" w:hanging="330"/>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accretion expense associated with the acceleration of asset retirement obligations due to the closure of the landfill located in Southbridge, Massachusetts ("Southbridge Landfill") in the Eastern region.</w:t>
      </w:r>
    </w:p>
    <w:p>
      <w:pPr>
        <w:spacing w:after="0" w:line="1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Fuel costs increased $0.7 million due to the higher diesel fuel pricing in the marketplace. The impact of higher fuel costs in the period was almost completely offset through higher fees associated with the Energy component of the Energy and Environmental fee.</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Maintenance and repair costs increased $1.6 million due primarily to higher fleet and facility maintenance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change in general and administration expense can be primarily attributed to the following:</w:t>
      </w:r>
    </w:p>
    <w:p>
      <w:pPr>
        <w:spacing w:after="0" w:line="225" w:lineRule="exact"/>
        <w:rPr>
          <w:sz w:val="20"/>
          <w:szCs w:val="20"/>
          <w:color w:val="auto"/>
        </w:rPr>
      </w:pPr>
    </w:p>
    <w:p>
      <w:pPr>
        <w:ind w:left="60" w:right="80"/>
        <w:spacing w:after="0" w:line="277" w:lineRule="auto"/>
        <w:rPr>
          <w:sz w:val="20"/>
          <w:szCs w:val="20"/>
          <w:color w:val="auto"/>
        </w:rPr>
      </w:pPr>
      <w:r>
        <w:rPr>
          <w:rFonts w:ascii="Arial" w:cs="Arial" w:eastAsia="Arial" w:hAnsi="Arial"/>
          <w:sz w:val="18"/>
          <w:szCs w:val="18"/>
          <w:color w:val="auto"/>
        </w:rPr>
        <w:t>Labor and related benefit costs increased $1.3 million primarily due to higher equity compensation expense associated with market-based performance stock option and stock unit grants based on estimated future operational performance.</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Bad debt expense increased $0.5 million due primarily to a large recovery in the three months ended March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capital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(iii) 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an economic benefit provided approach or on a straight-line basis over the definitive terms of the related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 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4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Landfill amortization</w:t>
            </w:r>
          </w:p>
        </w:tc>
        <w:tc>
          <w:tcPr>
            <w:tcW w:w="46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amortization</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period-to-period change in depreciation and amortization expense can be primarily attributed to higher landfill volumes in the Western region and certain landfills in the Eastern region combined with an increase in our average overall amortization rate as a result of changes in cost estimates and other assumptions associated with our landfills.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Settlement Charge</w:t>
      </w:r>
    </w:p>
    <w:p>
      <w:pPr>
        <w:spacing w:after="0" w:line="117" w:lineRule="exact"/>
        <w:rPr>
          <w:sz w:val="20"/>
          <w:szCs w:val="20"/>
          <w:color w:val="auto"/>
        </w:rPr>
      </w:pPr>
    </w:p>
    <w:p>
      <w:pPr>
        <w:ind w:left="60" w:right="120"/>
        <w:spacing w:after="0" w:line="342" w:lineRule="auto"/>
        <w:rPr>
          <w:sz w:val="20"/>
          <w:szCs w:val="20"/>
          <w:color w:val="auto"/>
        </w:rPr>
      </w:pPr>
      <w:r>
        <w:rPr>
          <w:rFonts w:ascii="Arial" w:cs="Arial" w:eastAsia="Arial" w:hAnsi="Arial"/>
          <w:sz w:val="16"/>
          <w:szCs w:val="16"/>
          <w:color w:val="auto"/>
        </w:rPr>
        <w:t>In the three months ended March 31, 2018, we recorded a contract settlement charge of $2.1 million associated with the termination and discounted buy-out of a commodities marketing and brokerage agreement. The early buy-out of the contract is expected to result in a positive cash internal rate of return.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Southbridge Landfill Closure Charge</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 xml:space="preserve">In June 2017, we initiated the plan to cease operations of the Southbridge Landfill in the Eastern region as discussed in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our consolidated financial statements included under Part I, Item 1 of this Quarterly Report on Form 10-Q. Accordingly, we recorded a</w:t>
      </w:r>
      <w:r>
        <w:rPr>
          <w:rFonts w:ascii="Arial" w:cs="Arial" w:eastAsia="Arial" w:hAnsi="Arial"/>
          <w:sz w:val="18"/>
          <w:szCs w:val="18"/>
          <w:i w:val="1"/>
          <w:iCs w:val="1"/>
          <w:color w:val="auto"/>
        </w:rPr>
        <w:t xml:space="preserve"> </w:t>
      </w:r>
      <w:r>
        <w:rPr>
          <w:rFonts w:ascii="Arial" w:cs="Arial" w:eastAsia="Arial" w:hAnsi="Arial"/>
          <w:sz w:val="18"/>
          <w:szCs w:val="18"/>
          <w:color w:val="auto"/>
        </w:rPr>
        <w:t>charge associated with the closure of the Southbridge Landfill as follows (dollars in millions):</w:t>
      </w:r>
    </w:p>
    <w:p>
      <w:pPr>
        <w:spacing w:after="0" w:line="1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Charlton settlement charge (1)</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Legal and transaction costs (2)</w:t>
            </w: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closure charge</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8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We established a reserve associated with the Town of Charlton's claim against us.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Part I, Item 1 of this Quarterly Report on Form 10-Q for additional disclosure.</w:t>
      </w:r>
    </w:p>
    <w:p>
      <w:pPr>
        <w:spacing w:after="0" w:line="62" w:lineRule="exact"/>
        <w:rPr>
          <w:rFonts w:ascii="Arial" w:cs="Arial" w:eastAsia="Arial" w:hAnsi="Arial"/>
          <w:sz w:val="18"/>
          <w:szCs w:val="18"/>
          <w:color w:val="auto"/>
        </w:rPr>
      </w:pPr>
    </w:p>
    <w:p>
      <w:pPr>
        <w:ind w:left="660" w:right="18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We incurred legal and other transaction costs associated with various matters as part of the Southbridge Landfill closure. See Note 8,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to our consolidated financial statements included under Part I, Item 1 of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Project Charge</w:t>
      </w:r>
    </w:p>
    <w:p>
      <w:pPr>
        <w:spacing w:after="0" w:line="117" w:lineRule="exact"/>
        <w:rPr>
          <w:sz w:val="20"/>
          <w:szCs w:val="20"/>
          <w:color w:val="auto"/>
        </w:rPr>
      </w:pPr>
    </w:p>
    <w:p>
      <w:pPr>
        <w:jc w:val="both"/>
        <w:ind w:left="60" w:right="320"/>
        <w:spacing w:after="0" w:line="264" w:lineRule="auto"/>
        <w:rPr>
          <w:sz w:val="20"/>
          <w:szCs w:val="20"/>
          <w:color w:val="auto"/>
        </w:rPr>
      </w:pPr>
      <w:r>
        <w:rPr>
          <w:rFonts w:ascii="Arial" w:cs="Arial" w:eastAsia="Arial" w:hAnsi="Arial"/>
          <w:sz w:val="18"/>
          <w:szCs w:val="18"/>
          <w:color w:val="auto"/>
        </w:rPr>
        <w:t>In the three months ended March 31, 2018, we recorded a development project charge of $0.3 million associated with previously deferred costs that were written off as a result of the negative vote in a public referendum relating to our North Country Environmental Services landfill ("NCES Landfill") in the Eastern region.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Extinguishment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recorded a loss on debt extinguishment of $0.5 million during the three months ended March 31, 2017 associated with the write-off of debt issuance costs in connection with the remarketing of the $3.6 million aggregate principal amount of Finance Authority of Maine Solid Waste Disposal Revenue Bonds Series 2005R-1 (“FAME Bonds 2005R-1”) and $21.4 million aggregate principal amount of Finance Authority of Maine Solid Waste Disposal Revenue Bonds Series 2005R-2 (“FAME Bonds 2005R-2”) into one series of $25.0 million aggregate principal amount Finance Authority of Maine Solid Waste Disposal Revenue Bonds Series 2005R-3 (“FAME Bonds 2005R-3”).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(benefit) provision for income taxes decreased $1.6 million during the three months ended March 31, 2018, as compared to the same period in the prior year. The benefit for income taxes for the three months ended March 31, 2018 includes a ($1.6) million deferred tax benefit due to a reduction of the valuation allowance. The valuation allowance decreased based upon the recognition of additional reversing temporary differences related to the $1.6 million deferred tax liability recorded through goodwill related to the Complete acquisition. The $1.6 million deferred tax liability related to the Complete acquisition was based on the impact of temporary differences between the amounts of assets and liabilities recognized for financial reporting purposes and the related tax basis.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4" w:name="page35"/>
    <w:bookmarkEnd w:id="34"/>
    <w:p>
      <w:pPr>
        <w:ind w:right="20"/>
        <w:spacing w:after="0" w:line="288" w:lineRule="auto"/>
        <w:rPr>
          <w:sz w:val="20"/>
          <w:szCs w:val="20"/>
          <w:color w:val="auto"/>
        </w:rPr>
      </w:pPr>
      <w:r>
        <w:rPr>
          <w:rFonts w:ascii="Arial" w:cs="Arial" w:eastAsia="Arial" w:hAnsi="Arial"/>
          <w:sz w:val="16"/>
          <w:szCs w:val="16"/>
          <w:color w:val="auto"/>
        </w:rPr>
        <w:t>On December 22, 2017, the Tax Cuts and Jobs Act (the “Act”) was enacted. The Act, which is also commonly referred to as “US tax reform,” significantly changes US corporate income tax laws by, among other things, reducing the US corporate income tax rate from 35% to 21% starting in 2018. Under the Act, the alternative minimum tax has been repealed and minimum tax credit carryforwards become refundable beginning in 2018 and will be fully refunded, if not otherwise used to offset tax liabilities, in tax year 2021. Further, our $101.2 million in federal net operating loss carryforwards generated as of the end of 2017 continue to be carried forward for 20 years and are expected to be available to fully offset taxable income earned in 2018 and future tax years. Federal net operating losses generated after 2017 will be carried forward indefinitely, but generally may only offset up to 80% of taxable income earned in a tax year. In the quarter ending December 31, 2017, we revalued our deferred tax assets and liabilities for changes under the Act including (a) revaluing our federal net deferred taxes assets before valuation allowance using the 21% tax rate; (b) revaluing our federal valuation allowance using the 21% tax rate; and (c) recognizing a federal deferred tax benefit for 80% of indefinite lived deferred tax liabilities, which are anticipated to be available as a source of taxable income upon reversal of deferred tax assets that would also have indefinite lives.</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benefit for income taxes for the three months ended March 31, 2018 incorporates the changes under the Act, including use of the 21% US corporate income tax rate and applying the new federal net operating loss carryforward rules. We have $3.8 million minimum tax credit carryforwards of which we anticipate $1.9 million is refundable in 2018. A current income tax benefit of $0.5 million, offset by a $0.5 million deferred tax provision, was recognized in the quarter for a portion of the minimum tax credit carryforward refundable in 2018.</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provision for income taxes for the three months ended March 31, 2017 includes $(0.1) million of deferred tax benefit primarily due to an increase in the deferred tax liability for indefinite lived assets, offset by a benefit for additional minimum tax credit carryforward with no expiration and no valuation allowance. Since we cannot determine when the deferred tax liability related to indefinite lived assets will reverse, applying provisions prior to the Act, none of the deferred tax provision related to indefinite lived assets could be used as a future source of taxable income against which to benefit deferred tax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8"/>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6"/>
                <w:szCs w:val="16"/>
                <w:color w:val="auto"/>
              </w:rPr>
            </w:pPr>
          </w:p>
        </w:tc>
        <w:tc>
          <w:tcPr>
            <w:tcW w:w="132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6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74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414"/>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Western</w:t>
            </w:r>
          </w:p>
        </w:tc>
        <w:tc>
          <w:tcPr>
            <w:tcW w:w="380" w:type="dxa"/>
            <w:vAlign w:val="bottom"/>
          </w:tcPr>
          <w:p>
            <w:pPr>
              <w:spacing w:after="0"/>
              <w:rPr>
                <w:sz w:val="21"/>
                <w:szCs w:val="21"/>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i w:val="1"/>
                <w:iCs w:val="1"/>
                <w:color w:val="auto"/>
              </w:rPr>
              <w:t>Eastern Region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gridSpan w:val="4"/>
          </w:tcPr>
          <w:p>
            <w:pPr>
              <w:spacing w:after="0"/>
              <w:rPr>
                <w:sz w:val="20"/>
                <w:szCs w:val="20"/>
                <w:color w:val="auto"/>
              </w:rPr>
            </w:pPr>
            <w:r>
              <w:rPr>
                <w:rFonts w:ascii="Arial" w:cs="Arial" w:eastAsia="Arial" w:hAnsi="Arial"/>
                <w:sz w:val="18"/>
                <w:szCs w:val="18"/>
                <w:color w:val="auto"/>
                <w:w w:val="94"/>
              </w:rPr>
              <w:t>A summary of the period-to-period change in solid waste revenues (dollars in millions) follows:</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gridSpan w:val="9"/>
          </w:tcPr>
          <w:p>
            <w:pPr>
              <w:jc w:val="right"/>
              <w:ind w:right="34"/>
              <w:spacing w:after="0"/>
              <w:rPr>
                <w:sz w:val="20"/>
                <w:szCs w:val="20"/>
                <w:color w:val="auto"/>
              </w:rPr>
            </w:pPr>
            <w:r>
              <w:rPr>
                <w:rFonts w:ascii="Arial" w:cs="Arial" w:eastAsia="Arial" w:hAnsi="Arial"/>
                <w:sz w:val="14"/>
                <w:szCs w:val="14"/>
                <w:b w:val="1"/>
                <w:bCs w:val="1"/>
                <w:color w:val="auto"/>
                <w:w w:val="97"/>
              </w:rPr>
              <w:t>Period-to-Period Change for the Three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954"/>
              <w:spacing w:after="0"/>
              <w:rPr>
                <w:sz w:val="20"/>
                <w:szCs w:val="20"/>
                <w:color w:val="auto"/>
              </w:rPr>
            </w:pPr>
            <w:r>
              <w:rPr>
                <w:rFonts w:ascii="Arial" w:cs="Arial" w:eastAsia="Arial" w:hAnsi="Arial"/>
                <w:sz w:val="14"/>
                <w:szCs w:val="14"/>
                <w:b w:val="1"/>
                <w:bCs w:val="1"/>
                <w:color w:val="auto"/>
              </w:rPr>
              <w:t>March 31, 2018 vs. 2017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618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49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9"/>
              </w:rPr>
              <w:t>% of Growth</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Volume</w:t>
            </w: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Acquisitions</w:t>
            </w: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Solid waste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$1.2 million from favorable collection pricing;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5" w:name="page36"/>
    <w:bookmarkEnd w:id="35"/>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$0.5 million from favorable disposal pricing related to transfer stations and landfills.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$0.7 million from higher collection volumes;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$(0.4) million from lower disposal volumes related to landfills and transfer stations.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left="60" w:right="180"/>
        <w:spacing w:after="0" w:line="279" w:lineRule="auto"/>
        <w:rPr>
          <w:sz w:val="20"/>
          <w:szCs w:val="20"/>
          <w:color w:val="auto"/>
        </w:rPr>
      </w:pPr>
      <w:r>
        <w:rPr>
          <w:rFonts w:ascii="Arial" w:cs="Arial" w:eastAsia="Arial" w:hAnsi="Arial"/>
          <w:sz w:val="17"/>
          <w:szCs w:val="17"/>
          <w:color w:val="auto"/>
        </w:rPr>
        <w:t>The surcharge and other fees change component in solid waste revenues growth associated primarily with the Energy component of the Energy and Environmental fee and the portion of the Sustainability Recycling Adjustment fee that has anniversaried. The Energy component of the fee floats on a monthly basis based on diesel fuel prices. The Energy component of the fee increased due to both the implementation of the program and higher diesel fuel pricing. The Sustainability Recycling Adjustment fee floats on a monthly basis based on recycling commodity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60" w:right="180"/>
        <w:spacing w:after="0" w:line="277" w:lineRule="auto"/>
        <w:rPr>
          <w:sz w:val="20"/>
          <w:szCs w:val="20"/>
          <w:color w:val="auto"/>
        </w:rPr>
      </w:pPr>
      <w:r>
        <w:rPr>
          <w:rFonts w:ascii="Arial" w:cs="Arial" w:eastAsia="Arial" w:hAnsi="Arial"/>
          <w:sz w:val="18"/>
          <w:szCs w:val="18"/>
          <w:color w:val="auto"/>
        </w:rPr>
        <w:t>The acquisitions change component in solid waste revenues growth is primarily the result of the Complete acquisition in the three months ended March 31, 2018. It was also impacted by the acquisition of a solid waste collection businesses in June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period-to-period change in solid waste revenues (dollars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36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7"/>
              </w:rPr>
              <w:t>Period-to-Period Change for the Three Months Ended</w:t>
            </w:r>
          </w:p>
        </w:tc>
      </w:tr>
      <w:tr>
        <w:trPr>
          <w:trHeight w:val="192"/>
        </w:trPr>
        <w:tc>
          <w:tcPr>
            <w:tcW w:w="7820" w:type="dxa"/>
            <w:vAlign w:val="bottom"/>
          </w:tcPr>
          <w:p>
            <w:pPr>
              <w:spacing w:after="0"/>
              <w:rPr>
                <w:sz w:val="16"/>
                <w:szCs w:val="16"/>
                <w:color w:val="auto"/>
              </w:rPr>
            </w:pPr>
          </w:p>
        </w:tc>
        <w:tc>
          <w:tcPr>
            <w:tcW w:w="360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March 31, 2018 vs. 2017</w:t>
            </w:r>
          </w:p>
        </w:tc>
      </w:tr>
      <w:tr>
        <w:trPr>
          <w:trHeight w:val="264"/>
        </w:trPr>
        <w:tc>
          <w:tcPr>
            <w:tcW w:w="78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20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Volume</w:t>
            </w:r>
          </w:p>
        </w:tc>
        <w:tc>
          <w:tcPr>
            <w:tcW w:w="12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2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7820" w:type="dxa"/>
            <w:vAlign w:val="bottom"/>
          </w:tcPr>
          <w:p>
            <w:pPr>
              <w:ind w:left="40"/>
              <w:spacing w:after="0"/>
              <w:rPr>
                <w:sz w:val="20"/>
                <w:szCs w:val="20"/>
                <w:color w:val="auto"/>
              </w:rPr>
            </w:pPr>
            <w:r>
              <w:rPr>
                <w:rFonts w:ascii="Arial" w:cs="Arial" w:eastAsia="Arial" w:hAnsi="Arial"/>
                <w:sz w:val="18"/>
                <w:szCs w:val="18"/>
                <w:color w:val="auto"/>
              </w:rPr>
              <w:t>Solid waste revenues</w:t>
            </w:r>
          </w:p>
        </w:tc>
        <w:tc>
          <w:tcPr>
            <w:tcW w:w="1200" w:type="dxa"/>
            <w:vAlign w:val="bottom"/>
            <w:tcBorders>
              <w:top w:val="single" w:sz="8" w:color="auto"/>
            </w:tcBorders>
          </w:tcPr>
          <w:p>
            <w:pPr>
              <w:jc w:val="right"/>
              <w:ind w:right="100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78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7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$1.6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$0.7 million from favorable disposal pricing related to landfills.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solid waste revenues growth is the result of the following:</w:t>
      </w:r>
    </w:p>
    <w:p>
      <w:pPr>
        <w:spacing w:after="0" w:line="117" w:lineRule="exact"/>
        <w:rPr>
          <w:sz w:val="20"/>
          <w:szCs w:val="20"/>
          <w:color w:val="auto"/>
        </w:rPr>
      </w:pPr>
    </w:p>
    <w:p>
      <w:pPr>
        <w:ind w:left="500" w:right="540" w:hanging="330"/>
        <w:spacing w:after="0" w:line="342"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$7.0 million from higher disposal volumes (of which $2.6 million relates to higher landfill volumes, $3.9 million relates to higher transportation volumes mainly driven by a large soil remediation project and $0.5 million relates to higher transfer station volumes); partially offset by</w:t>
      </w:r>
    </w:p>
    <w:p>
      <w:pPr>
        <w:spacing w:after="0" w:line="123" w:lineRule="exact"/>
        <w:rPr>
          <w:rFonts w:ascii="Arial" w:cs="Arial" w:eastAsia="Arial" w:hAnsi="Arial"/>
          <w:sz w:val="16"/>
          <w:szCs w:val="16"/>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$(0.4) million primarily from lower collection volumes.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Commodity price and volume.</w:t>
      </w:r>
    </w:p>
    <w:p>
      <w:pPr>
        <w:spacing w:after="0" w:line="225" w:lineRule="exact"/>
        <w:rPr>
          <w:sz w:val="20"/>
          <w:szCs w:val="20"/>
          <w:color w:val="auto"/>
        </w:rPr>
      </w:pPr>
    </w:p>
    <w:p>
      <w:pPr>
        <w:ind w:left="60" w:right="100"/>
        <w:spacing w:after="0" w:line="277" w:lineRule="auto"/>
        <w:rPr>
          <w:sz w:val="20"/>
          <w:szCs w:val="20"/>
          <w:color w:val="auto"/>
        </w:rPr>
      </w:pPr>
      <w:r>
        <w:rPr>
          <w:rFonts w:ascii="Arial" w:cs="Arial" w:eastAsia="Arial" w:hAnsi="Arial"/>
          <w:sz w:val="18"/>
          <w:szCs w:val="18"/>
          <w:color w:val="auto"/>
        </w:rPr>
        <w:t>The commodity price and volume change component in solid waste revenues growth of $0.3 million is the result of favorable energy pricing, partially offset by lower landfill gas-to-energy and processing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60" w:right="140"/>
        <w:spacing w:after="0" w:line="277" w:lineRule="auto"/>
        <w:rPr>
          <w:sz w:val="20"/>
          <w:szCs w:val="20"/>
          <w:color w:val="auto"/>
        </w:rPr>
      </w:pPr>
      <w:r>
        <w:rPr>
          <w:rFonts w:ascii="Arial" w:cs="Arial" w:eastAsia="Arial" w:hAnsi="Arial"/>
          <w:sz w:val="18"/>
          <w:szCs w:val="18"/>
          <w:color w:val="auto"/>
        </w:rPr>
        <w:t>The acquisitions change component in solid waste revenues growth is the result of the acquisition of a tuck-in collection business in the three months ended March 31, 2018 and three solid waste collection businesses from March 2017 through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6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6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10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740" w:type="dxa"/>
            <w:vAlign w:val="bottom"/>
            <w:gridSpan w:val="3"/>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Western</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225"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Operating results decreased $(1.8) million. Excluding the impact of the Southbridge Landfill closure charge and the development project charge, our operating performance in the three months ended March 31, 2018 remained flat as the revenue growth outlined above was offset by the following cost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$6.7 million due to the following:</w:t>
      </w:r>
    </w:p>
    <w:p>
      <w:pPr>
        <w:spacing w:after="0" w:line="117" w:lineRule="exact"/>
        <w:rPr>
          <w:sz w:val="20"/>
          <w:szCs w:val="20"/>
          <w:color w:val="auto"/>
        </w:rPr>
      </w:pPr>
    </w:p>
    <w:p>
      <w:pPr>
        <w:ind w:left="500" w:hanging="330"/>
        <w:spacing w:after="0"/>
        <w:tabs>
          <w:tab w:leader="none" w:pos="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higher disposal costs associated with the Complete acquisition;</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higher labor costs associated with acquisitions and higher collection volumes;</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workers compensation costs based on claims activity;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fuel costs driven by higher diesel fuel pricing, which was offset by increased fees from the Energy and Environmental fee;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higher accretion expense associated with the acceleration of asset retirement obligations due to the closure of the Southbridge Landfill; and</w:t>
      </w:r>
    </w:p>
    <w:p>
      <w:pPr>
        <w:spacing w:after="0" w:line="236" w:lineRule="exact"/>
        <w:rPr>
          <w:rFonts w:ascii="Arial" w:cs="Arial" w:eastAsia="Arial" w:hAnsi="Arial"/>
          <w:sz w:val="17"/>
          <w:szCs w:val="17"/>
          <w:color w:val="auto"/>
        </w:rPr>
      </w:pPr>
    </w:p>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fleet and facility maintenance costs.</w:t>
      </w:r>
    </w:p>
    <w:p>
      <w:pPr>
        <w:spacing w:after="0" w:line="3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$0.6 million due to higher shared overhead costs associated with higher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w:t>
      </w:r>
    </w:p>
    <w:p>
      <w:pPr>
        <w:spacing w:after="0" w:line="62"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$0.6 million primarily due to higher landfill amortization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the volume mix and changes to landfill amortization rates as a result of changes in cost estimates and other assumptions with certain of our landfills.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Operating income increased $3.1 million as our operating performance in the three months ended March 31, 2018 improved due to the revenue growth outlined above and the following cost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$7.7 million due to the following:</w:t>
      </w:r>
    </w:p>
    <w:p>
      <w:pPr>
        <w:sectPr>
          <w:pgSz w:w="11900" w:h="16838" w:orient="portrait"/>
          <w:cols w:equalWidth="0" w:num="1">
            <w:col w:w="11420"/>
          </w:cols>
          <w:pgMar w:left="240" w:top="80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800" w:right="239" w:bottom="1440" w:gutter="0" w:footer="0" w:header="0"/>
          <w:type w:val="continuous"/>
        </w:sectPr>
      </w:pPr>
    </w:p>
    <w:bookmarkStart w:id="37" w:name="page38"/>
    <w:bookmarkEnd w:id="37"/>
    <w:p>
      <w:pPr>
        <w:ind w:left="500" w:right="820" w:hanging="330"/>
        <w:spacing w:after="0" w:line="277" w:lineRule="auto"/>
        <w:tabs>
          <w:tab w:leader="none" w:pos="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a large contaminated soils project where we incurred third-party costs for excavation, screening, and transportation of soils;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disposal costs associated with higher transfer station and transportation volumes and increased third-party disposal pricing;</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labor costs related primarily to wage inflation and acquisitions;</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workers compensation costs based on claims activity;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fuel costs driven by higher diesel fuel pricing, which was offset by increased fees from the Energy and Environmental fee;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landfill operating lease amortization associated primarily with increased landfill volumes;</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leachate disposal costs and landfill operating costs at certain landfills;</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host community fees associated with increased volumes at certain landfills;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fleet maintenance costs.</w:t>
      </w:r>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$1.3 million due to higher shared overhead costs associated with higher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w:t>
      </w:r>
    </w:p>
    <w:p>
      <w:pPr>
        <w:spacing w:after="0" w:line="6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increased $1.4 million due to higher landfill amortization expense attributed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volumes and changes to landfill amortization rates as a result of changes in cost estimates and other assumptions with certain of our landfills.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Operating income decreased $(6.8) million. Excluding the impact of the contract settlement charge, our operating performance in the three months ended March 31, 2018 declined due primarily to the revenue changes outlined above and higher operating costs associated with: slower processing speeds and added labor in an effort to meet tighter quality standards and reduce contamination; higher disposal costs as we pulled higher rates of residue out of the stream; and higher third-party transportation costs, which nearly doubled, as we needed to ship commodities to new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$(0.3) million quarterly based on the following:</w:t>
      </w:r>
    </w:p>
    <w:p>
      <w:pPr>
        <w:spacing w:after="0" w:line="117" w:lineRule="exact"/>
        <w:rPr>
          <w:sz w:val="20"/>
          <w:szCs w:val="20"/>
          <w:color w:val="auto"/>
        </w:rPr>
      </w:pPr>
    </w:p>
    <w:p>
      <w:pPr>
        <w:ind w:left="500" w:right="460" w:hanging="330"/>
        <w:spacing w:after="0" w:line="286"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impact of intercompany profits in our Organics line-of-business now passing through to landfill disposal sites, combined with operating performance as higher revenues, which were driven by a large new sludge transportation and disposal contract, also resulted in higher third-party transportation and disposal costs as much of these new volumes were directed to third-party sites; partially offset by</w:t>
      </w:r>
    </w:p>
    <w:p>
      <w:pPr>
        <w:spacing w:after="0" w:line="165" w:lineRule="exact"/>
        <w:rPr>
          <w:rFonts w:ascii="Arial" w:cs="Arial" w:eastAsia="Arial" w:hAnsi="Arial"/>
          <w:sz w:val="17"/>
          <w:szCs w:val="17"/>
          <w:color w:val="auto"/>
        </w:rPr>
      </w:pPr>
    </w:p>
    <w:p>
      <w:pPr>
        <w:ind w:left="500" w:right="280" w:hanging="330"/>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improved operating performance of our Customer Solutions line-of-business, as increased volumes outweighed higher cost of operations associated with increased hauling and transportation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continually monitor our actual and forecasted cash flows, our liquidity, and our capital requirements in order to properly manage our cash needs based on the capital intensive nature of our business. Our capital requirements include fixed asset purchases (including capital expenditures for vehicles), debt servicing, landfill development and cell construction, landfill site and cell closure, as well as acquisitions. We generally meet our liquidity needs from operating cash flows and borrowings from our revolving line of credit facility ("Revolving Credit Facility").</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summary of cash and cash equivalents, restricted assets and long-term debt balances, excluding any unamortized debt discount and debt issuance costs (in millions),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92"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assets:</w:t>
            </w: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Long-term debt:</w:t>
            </w: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Long-term portion</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200" w:type="dxa"/>
            <w:vAlign w:val="bottom"/>
            <w:gridSpan w:val="7"/>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24"/>
                <w:szCs w:val="24"/>
                <w:color w:val="auto"/>
              </w:rPr>
            </w:pPr>
          </w:p>
        </w:tc>
        <w:tc>
          <w:tcPr>
            <w:tcW w:w="126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6740" w:type="dxa"/>
            <w:vAlign w:val="bottom"/>
          </w:tcPr>
          <w:p>
            <w:pPr>
              <w:spacing w:after="0"/>
              <w:rPr>
                <w:sz w:val="6"/>
                <w:szCs w:val="6"/>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jc w:val="right"/>
              <w:ind w:right="75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1"/>
                <w:szCs w:val="21"/>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Depletion of landfill operating lease obligations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on sale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Southbridge Landfill non-cash closure charge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Development project charge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Improved operational performance in the three months ended March 31, 2018 as compared to the three months ended March 31, 2017 due to the following:</w:t>
      </w:r>
    </w:p>
    <w:p>
      <w:pPr>
        <w:spacing w:after="0" w:line="140" w:lineRule="exact"/>
        <w:rPr>
          <w:sz w:val="20"/>
          <w:szCs w:val="20"/>
          <w:color w:val="auto"/>
        </w:rPr>
      </w:pPr>
    </w:p>
    <w:p>
      <w:pPr>
        <w:ind w:left="500" w:right="240" w:hanging="330"/>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revenues of $13.7 million driven by our collection line-of-business, our Western region disposal line-of-business, our acquisition activity, our Customer Solutions line-of-business, and our organics line-of-business; partially offset by</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higher cost of operations of $11.1 million driven by higher third-party direct costs, higher labor costs, and higher direct operational costs; and</w:t>
      </w:r>
    </w:p>
    <w:p>
      <w:pPr>
        <w:sectPr>
          <w:pgSz w:w="11900" w:h="16838" w:orient="portrait"/>
          <w:cols w:equalWidth="0" w:num="1">
            <w:col w:w="11420"/>
          </w:cols>
          <w:pgMar w:left="240" w:top="726"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726" w:right="239" w:bottom="1440" w:gutter="0" w:footer="0" w:header="0"/>
          <w:type w:val="continuous"/>
        </w:sectPr>
      </w:pPr>
    </w:p>
    <w:bookmarkStart w:id="39" w:name="page40"/>
    <w:bookmarkEnd w:id="39"/>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general and administration expenses of $2.2 million.</w:t>
      </w:r>
    </w:p>
    <w:p>
      <w:pPr>
        <w:spacing w:after="0" w:line="333"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The improved cash flow impact associated with the changes in our assets and liabilities, net of effects of acquisitions and divestitures, which are affected by both cost changes and the timing of payments, in the three months ended March 31, 2018 as compared to the three months ended March 31, 2017 was the result of the following:</w:t>
      </w:r>
    </w:p>
    <w:p>
      <w:pPr>
        <w:spacing w:after="0" w:line="73"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cash outflows associated with accounts payable;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cash outflows associated with cash interest payments running through accrued expenses and other liabilities;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cash inflows associated with accounts receivable;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cash outflows associated with prepaid expenses, inventories and other assets.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 related additions to property, plant and equipment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 on landfill operating lease contracts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We acquired Complete and a tuck-in collection operation in the three months ended March 31, 2018 for total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$19.3 million, including $18.8 million in cash, as compared to the three months ended March 31, 2017, when we acquired one tuck-in collection operation for total consideration of $0.5 million, including $0.4 million in cash.</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$0.2 million higher in the three months ended March 31, 2018 as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2017 primarily due to timing differences and acquisition activity.</w:t>
      </w:r>
    </w:p>
    <w:p>
      <w:pPr>
        <w:spacing w:after="0" w:line="17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i w:val="1"/>
          <w:iCs w:val="1"/>
          <w:color w:val="auto"/>
        </w:rPr>
        <w:t>Payments on landfill operating lease contracts</w:t>
      </w:r>
      <w:r>
        <w:rPr>
          <w:rFonts w:ascii="Arial" w:cs="Arial" w:eastAsia="Arial" w:hAnsi="Arial"/>
          <w:sz w:val="17"/>
          <w:szCs w:val="17"/>
          <w:color w:val="auto"/>
        </w:rPr>
        <w:t>. Landfill operating lease payments decreased $(0.5) million in the three months ended March 31, 2018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March 31, 2017 due primarily to the timing of payments related to the landfill located in Chemung, New York ("Chemung County Landfill") based on the terms of the operating lease contract with Chemung County, New York.</w:t>
      </w:r>
    </w:p>
    <w:p>
      <w:pPr>
        <w:spacing w:after="0" w:line="16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i w:val="1"/>
          <w:iCs w:val="1"/>
          <w:color w:val="auto"/>
        </w:rPr>
        <w:t>Proceeds from the sale of property and equipment</w:t>
      </w:r>
      <w:r>
        <w:rPr>
          <w:rFonts w:ascii="Arial" w:cs="Arial" w:eastAsia="Arial" w:hAnsi="Arial"/>
          <w:sz w:val="17"/>
          <w:szCs w:val="17"/>
          <w:color w:val="auto"/>
        </w:rPr>
        <w:t>. Proceeds from the sale of property and equipment increased $0.2 million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2018 as compared to the three months ended March 31, 2017 due to the timing and make-up of various asset sales.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long-term borrowings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Principal payments on long-term debt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debt issuance costs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exercise of share based awards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0.4</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activity</w:t>
      </w:r>
      <w:r>
        <w:rPr>
          <w:rFonts w:ascii="Arial" w:cs="Arial" w:eastAsia="Arial" w:hAnsi="Arial"/>
          <w:sz w:val="16"/>
          <w:szCs w:val="16"/>
          <w:color w:val="auto"/>
        </w:rPr>
        <w:t>. Debt borrowings decreased by $(4.5) million and our debt payments decreased by $(20.6) million in the three months ended March 31, 2018.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financing cash flows related to debt activity is associated with increased revolver borrowings related to acquisition activity in the quarter.</w:t>
      </w:r>
    </w:p>
    <w:p>
      <w:pPr>
        <w:spacing w:after="0" w:line="2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Payments of debt issuance costs</w:t>
      </w:r>
      <w:r>
        <w:rPr>
          <w:rFonts w:ascii="Arial" w:cs="Arial" w:eastAsia="Arial" w:hAnsi="Arial"/>
          <w:sz w:val="18"/>
          <w:szCs w:val="18"/>
          <w:color w:val="auto"/>
        </w:rPr>
        <w:t>. We made $0.6 million of debt issuance cost payments in the three months ended March 31, 2017 related to the remarketing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FAME Bonds 2005R-1 and the FAME Bonds 2005R-2 into the FAME Bonds 2005R-3.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April 2018, we completed the issuance of an additional $15.0 million aggregate principal amount FAME Bonds (“FAME Bonds 2015R-2”). The FAME Bonds 2015R-2, which are unsecured and guaranteed jointly and severally, fully and unconditionally by all of our significant wholly-owned subsidiaries, accrue interest at 4.375% per annum through July 31, 2025, at which time they may be converted from a fixed to a variable rate. Interest is payable semiannually each year on May 1 and November 1 until the FAME Bonds 2015R-2 mature on August 1, 2035. We borrowed the proceeds of the offering of the FAME Bonds 2015R-2 to finance or refinance the costs of certain of our solid waste landfill facilities and solid waste collection, organics and transfer, recycling and hauling facilities, and to pay certain costs of the issuance of the FAME Bonds 2015R-2.</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April 2018, we completed the remarketing of $16.0 million aggregate principal amount of 4.75% fixed rate Vermont Economic Development Authority Solid Waste Disposal Revenue Bonds (“Vermont Bonds”). The Vermont Bonds, which are unsecured and guaranteed jointly and severally, fully and unconditionally by all of our significant wholly-owned subsidiaries, accrue interest at 4.625% per annum through April 2, 2028 after which time there is a mandatory tender. The Vermont Bonds mature on April 1, 2036.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March 31, 2018, we had outstanding $345.6 million aggregate principal amount of borrowings under our term loan B facility ("Term Loan B Facility") and $52.6 million aggregate principal amount of borrowings under our Revolving Credit Facility. The Term Loan B Facility has a 7-year term and bears interest at a rate of LIBOR plus 2.50% per annum (with a 1.00% LIBOR floor) as of March 31, 2018. The Revolving Credit Facility has a 5-year term and bears interest at a rate of LIBOR plus 2.75% per annum as of March 31, 2018, which can be adjusted from an applicable rate of LIBOR plus 2.50% to 3.25% depending on our consolidated net leverage ratio. We are also required to make scheduled quarterly payments of $0.9 million on the Term Loan B Facility in March, June, September and December of each year until maturity in October 2023. Our Term Loan B Facility and Revolving Credit Facility, (together, the "Credit Facility") is guaranteed jointly and severally, fully and unconditionally by all of our significant wholly-owned subsidiaries and secured by substantially all of our assets. As of March 31, 2018, further advances were available under the Revolving Credit Facility in the amount of $84.9 million. This available amount is net of outstanding irrevocable letters of credit totaling $22.5 million as of March 31, 2018, at which date no amount had been drawn. We have the right to request, at our discretion, an increase in the amount of loans under the Senior Credit Facility by an aggregate amount of $100.0 million, subject to the terms and conditions set forth in the Senior Credit Facility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41" w:name="page42"/>
    <w:bookmarkEnd w:id="41"/>
    <w:p>
      <w:pPr>
        <w:ind w:right="100"/>
        <w:spacing w:after="0" w:line="264" w:lineRule="auto"/>
        <w:rPr>
          <w:sz w:val="20"/>
          <w:szCs w:val="20"/>
          <w:color w:val="auto"/>
        </w:rPr>
      </w:pPr>
      <w:r>
        <w:rPr>
          <w:rFonts w:ascii="Arial" w:cs="Arial" w:eastAsia="Arial" w:hAnsi="Arial"/>
          <w:sz w:val="18"/>
          <w:szCs w:val="18"/>
          <w:color w:val="auto"/>
        </w:rPr>
        <w:t>The Credit Facility agreement requires us to maintain a minimum interest coverage ratio and a maximum consolidated net leverage ratio, to be measured at the end of each fiscal quarter. As of March 31, 2018, we were in compliance with all financial covenants contained in the Senior Credit Facility agreement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20" w:type="dxa"/>
            <w:vAlign w:val="bottom"/>
            <w:gridSpan w:val="2"/>
          </w:tcPr>
          <w:p>
            <w:pPr>
              <w:ind w:left="140"/>
              <w:spacing w:after="0"/>
              <w:rPr>
                <w:sz w:val="20"/>
                <w:szCs w:val="20"/>
                <w:color w:val="auto"/>
              </w:rPr>
            </w:pPr>
            <w:r>
              <w:rPr>
                <w:rFonts w:ascii="Arial" w:cs="Arial" w:eastAsia="Arial" w:hAnsi="Arial"/>
                <w:sz w:val="14"/>
                <w:szCs w:val="14"/>
                <w:b w:val="1"/>
                <w:bCs w:val="1"/>
                <w:color w:val="auto"/>
              </w:rPr>
              <w:t>Twelve Months Ended March 31,</w:t>
            </w:r>
          </w:p>
        </w:tc>
        <w:tc>
          <w:tcPr>
            <w:tcW w:w="2260" w:type="dxa"/>
            <w:vAlign w:val="bottom"/>
          </w:tcPr>
          <w:p>
            <w:pPr>
              <w:jc w:val="right"/>
              <w:ind w:right="259"/>
              <w:spacing w:after="0"/>
              <w:rPr>
                <w:sz w:val="20"/>
                <w:szCs w:val="20"/>
                <w:color w:val="auto"/>
              </w:rPr>
            </w:pPr>
            <w:r>
              <w:rPr>
                <w:rFonts w:ascii="Arial" w:cs="Arial" w:eastAsia="Arial" w:hAnsi="Arial"/>
                <w:sz w:val="14"/>
                <w:szCs w:val="14"/>
                <w:b w:val="1"/>
                <w:bCs w:val="1"/>
                <w:color w:val="auto"/>
              </w:rPr>
              <w:t>Covenant Requirement at</w:t>
            </w:r>
          </w:p>
        </w:tc>
      </w:tr>
      <w:tr>
        <w:trPr>
          <w:trHeight w:val="192"/>
        </w:trPr>
        <w:tc>
          <w:tcPr>
            <w:tcW w:w="674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consolidated net leverage ratio (1)</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Minimum interest coverage ratio</w:t>
            </w:r>
          </w:p>
        </w:tc>
        <w:tc>
          <w:tcPr>
            <w:tcW w:w="2300" w:type="dxa"/>
            <w:vAlign w:val="bottom"/>
          </w:tcPr>
          <w:p>
            <w:pPr>
              <w:jc w:val="right"/>
              <w:ind w:right="39"/>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2.50</w:t>
            </w:r>
          </w:p>
        </w:tc>
      </w:tr>
    </w:tbl>
    <w:p>
      <w:pPr>
        <w:spacing w:after="0" w:line="121" w:lineRule="exact"/>
        <w:rPr>
          <w:sz w:val="20"/>
          <w:szCs w:val="20"/>
          <w:color w:val="auto"/>
        </w:rPr>
      </w:pPr>
    </w:p>
    <w:p>
      <w:pPr>
        <w:ind w:left="660" w:right="20" w:hanging="652"/>
        <w:spacing w:after="0" w:line="291"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maximum consolidated net leverage ratio is calculated as consolidated funded debt, net of unencumbered cash and cash equivalents in excess of $2.0 million (calculated at $514.1 million as of March 31, 2018, or $514.5 million of consolidated funded debt less $0.4 million of cash and cash equivalents in excess of $2.0 million as of March 31, 2018), divided by minimum consolidated EBITDA. Minimum consolidated EBITDA is based on operating results for the twelve months preceding the measurement date of March 31, 2018. Consolidated funded debt, net of unencumbered cash and cash equivalents in excess of $2.0 million, and minimum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minimum consolidated EBITDA is as follows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Twelve Months Ended March 31,</w:t>
            </w:r>
          </w:p>
        </w:tc>
      </w:tr>
      <w:tr>
        <w:trPr>
          <w:trHeight w:val="192"/>
        </w:trPr>
        <w:tc>
          <w:tcPr>
            <w:tcW w:w="9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2018</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120" w:type="dxa"/>
            <w:vAlign w:val="bottom"/>
          </w:tcPr>
          <w:p>
            <w:pPr>
              <w:spacing w:after="0"/>
              <w:rPr>
                <w:sz w:val="21"/>
                <w:szCs w:val="21"/>
                <w:color w:val="auto"/>
              </w:rPr>
            </w:pP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2.7</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Developmental project charge</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non-cash closure charge</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less amortization of debt issuance costs and discount on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Provision for income taxes, net of deferred taxes</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as allowed by the Credit Facility agreement</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Minimum consolidated EBITDA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136.5</w:t>
            </w:r>
          </w:p>
        </w:tc>
      </w:tr>
      <w:tr>
        <w:trPr>
          <w:trHeight w:val="27"/>
        </w:trPr>
        <w:tc>
          <w:tcPr>
            <w:tcW w:w="9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the financial covenants described above, the Senior Credit Facility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March 31, 2018, we were in compliance with the covenants contained in the Credit Facility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Tax-Exempt Financings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New York Bonds. </w:t>
      </w:r>
      <w:r>
        <w:rPr>
          <w:rFonts w:ascii="Arial" w:cs="Arial" w:eastAsia="Arial" w:hAnsi="Arial"/>
          <w:sz w:val="16"/>
          <w:szCs w:val="16"/>
          <w:color w:val="auto"/>
        </w:rPr>
        <w:t>As of March 31, 2018, we had outstanding $40.0 million aggregate principal amount of Solid Waste Disposal Revenue Bonds Series 2014</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Bonds 2014") and $15.0 million aggregate principal amount of Solid Waste Disposal Revenue Bonds Series 2014R-2 ("New York Bonds 2016") issued by the New York State Environmental Facilities Corporation under the indenture dated December 1, 2014 (collectively, the “New York Bonds”). The New York Bonds 2014 accrue interest at 3.75% per annum through December 1, 2019, at which time they may be converted from a fixed rate to a variable rate. The New York Bonds 2016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16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color w:val="auto"/>
        </w:rPr>
        <w:t xml:space="preserve">FAME Bonds. </w:t>
      </w:r>
      <w:r>
        <w:rPr>
          <w:rFonts w:ascii="Arial" w:cs="Arial" w:eastAsia="Arial" w:hAnsi="Arial"/>
          <w:sz w:val="16"/>
          <w:szCs w:val="16"/>
          <w:color w:val="auto"/>
        </w:rPr>
        <w:t>As of March 31, 2018, we had outstanding $25.0 million aggregate principal amount of FAME Bonds 2005R-3. The FAME Bonds 2005R-3,</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unsecured and guaranteed jointly and severally, fully and unconditionally by all of our significant wholly-owned subsidiaries, accrue interest at 5.25% per annum, and interest is payable semiannually in arrears on February 1 and August 1 of each year until such bonds mature on January 1, 2025.</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March 31, 2018, we had outstanding $15.0 million aggregate principal amount of FAME Bonds 2015. The FAME Bonds 2015, which are unsecured and guaranteed jointly and severally, fully and unconditionally by all of our significant wholly-owned subsidiaries, accrue interest at 5.125% per annum through August 1, 2025, at which time they may be converted from a fixed to a variable rate, and interest is payable semiannually in arrears on February 1 and August 1 of each year. The FAME Bonds 2015 mature on August 1, 2035. We borrowed the proceeds of the offering of the FAME Bonds 2015 to finance or refinance the costs of certain of our solid waste landfill facilities and solid waste collection, organics and transfer, recycling and hauling facilities, and to pay certain costs of the issuance of the FAME Bonds 2015.</w:t>
      </w:r>
    </w:p>
    <w:p>
      <w:pPr>
        <w:spacing w:after="0" w:line="19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 xml:space="preserve">Vermont Bonds. </w:t>
      </w:r>
      <w:r>
        <w:rPr>
          <w:rFonts w:ascii="Arial" w:cs="Arial" w:eastAsia="Arial" w:hAnsi="Arial"/>
          <w:sz w:val="16"/>
          <w:szCs w:val="16"/>
          <w:color w:val="auto"/>
        </w:rPr>
        <w:t>As of March 31, 2018, we had outstanding $16.0 million aggregate principal amount Vermont Bonds. The Vermont Bonds,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and guaranteed jointly and severally, fully and unconditionally by all of our significant wholly-owned subsidiaries, were remarketed in April 2018 and accrue interest at 4.625% per annum through April 2, 2028 after which time there is a mandatory tender. The Vermont Bonds mature on April 1, 2036.</w:t>
      </w:r>
    </w:p>
    <w:p>
      <w:pPr>
        <w:spacing w:after="0" w:line="14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 xml:space="preserve">New Hampshire Bonds. </w:t>
      </w:r>
      <w:r>
        <w:rPr>
          <w:rFonts w:ascii="Arial" w:cs="Arial" w:eastAsia="Arial" w:hAnsi="Arial"/>
          <w:sz w:val="16"/>
          <w:szCs w:val="16"/>
          <w:color w:val="auto"/>
        </w:rPr>
        <w:t>As of March 31, 2018, we had outstanding $11.0 million aggregate principal amount of Solid Waste Disposal Revenue Bonds</w:t>
      </w:r>
      <w:r>
        <w:rPr>
          <w:rFonts w:ascii="Arial" w:cs="Arial" w:eastAsia="Arial" w:hAnsi="Arial"/>
          <w:sz w:val="16"/>
          <w:szCs w:val="16"/>
          <w:i w:val="1"/>
          <w:iCs w:val="1"/>
          <w:color w:val="auto"/>
        </w:rPr>
        <w:t xml:space="preserve"> </w:t>
      </w:r>
      <w:r>
        <w:rPr>
          <w:rFonts w:ascii="Arial" w:cs="Arial" w:eastAsia="Arial" w:hAnsi="Arial"/>
          <w:sz w:val="16"/>
          <w:szCs w:val="16"/>
          <w:color w:val="auto"/>
        </w:rPr>
        <w:t>Series 2013 issued by the Business Finance Authority of the State of New Hampshire (“New Hampshire Bonds”). The New Hampshire Bonds, which are unsecured and guaranteed jointly and severally, fully and unconditionally by all of our significant wholly-owned subsidiaries, accrue interest at 4.00% per annum through October 1, 2019, at which time they may be converted from a fixed rate to a variable rate, and interest is payable in arrears on April 1 and October 1 of each year. The New Hampshire Bonds mature on April 1, 2029. We borrowed the proceeds of the New Hampshire Bonds to repay borrowings under our Senior Credit Facility for qualifying property, plant and equipment assets purchased in the state of New Hampshire.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2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800"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62"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660" w:right="72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14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Recycling segment experiences increased volumes of fiber in November and December due to increased shipping boxes and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Except for the adoption of the new revenue recognition accounting standard discussed in Note 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to our consolidated financial statements included under Part I, Item 1 of this Quarterly Report on Form 10-Q, there were no material changes in the three months ended March 31, 2018 to the application of critical accounting policies and estimates as described in Item 8 of our Annual Report on Form 10-K for the fiscal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 For a description of the impact of ASU 2014-09, as amended, Revenue from Contracts with Customers (</w:t>
      </w:r>
      <w:r>
        <w:rPr>
          <w:rFonts w:ascii="Arial" w:cs="Arial" w:eastAsia="Arial" w:hAnsi="Arial"/>
          <w:sz w:val="18"/>
          <w:szCs w:val="18"/>
          <w:i w:val="1"/>
          <w:iCs w:val="1"/>
          <w:color w:val="auto"/>
        </w:rPr>
        <w:t>Topic 606</w:t>
      </w:r>
      <w:r>
        <w:rPr>
          <w:rFonts w:ascii="Arial" w:cs="Arial" w:eastAsia="Arial" w:hAnsi="Arial"/>
          <w:sz w:val="18"/>
          <w:szCs w:val="18"/>
          <w:color w:val="auto"/>
        </w:rPr>
        <w:t xml:space="preserve">), effective January 1, 2018 see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22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the quarter ended March 31, 2017, we entered into three interest rate derivative agreements to hedge interest rate risk associated with the variable rate portion of our long-term debt. The total notional amount of these agreements is $60.0 million and requires us to receive interest based on changes in the 1-month LIBOR index with a 1.0% floor and pay interest at a weighted average rate of approximately 1.95%. Two of the agreements, with a total notional amount of $35.0 million, mature in February 2021, and the final agreement, with a total notional amount of $25.0 million, matures in February 2022.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97" w:right="239" w:bottom="1440" w:gutter="0" w:footer="0" w:header="0"/>
        </w:sectPr>
      </w:pPr>
    </w:p>
    <w:bookmarkStart w:id="44" w:name="page45"/>
    <w:bookmarkEnd w:id="44"/>
    <w:p>
      <w:pPr>
        <w:ind w:right="60"/>
        <w:spacing w:after="0" w:line="259" w:lineRule="auto"/>
        <w:rPr>
          <w:sz w:val="20"/>
          <w:szCs w:val="20"/>
          <w:color w:val="auto"/>
        </w:rPr>
      </w:pPr>
      <w:r>
        <w:rPr>
          <w:rFonts w:ascii="Arial" w:cs="Arial" w:eastAsia="Arial" w:hAnsi="Arial"/>
          <w:sz w:val="18"/>
          <w:szCs w:val="18"/>
          <w:color w:val="auto"/>
        </w:rPr>
        <w:t>We designated the three interest rate derivative agreements as effective cash flow hedges upon inception, and therefore the change in fair value is recorded in our stockholders’ deficit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had interest rate risk relating to approximately $338.2 million of long-term debt at March 31, 2018. The weighted average interest rate on the variable rate portion of long-term debt was approximately 4.4% at March 31, 2018. Should the average interest rate on the variable rate portion of long-term debt change by 100 basis points, we estimate that our quarterly interest expense would change by up to approximately $0.8 million. The remainder of our long-term debt is at fixed rates and not subject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Should commodity prices change by $10 per ton on January 1, 2018, we estimate that our annual operating income margin would change by approximately $0.8 million annually, or $0.2 million quarterly.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 evaluated</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effectiveness of our disclosure controls and procedures as of March 31, 2018.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2018,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occurred during the three months ended March 31, 2018 that has materially affected, or is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800" w:right="27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52"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5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6" w:name="page47"/>
    <w:bookmarkEnd w:id="46"/>
    <w:p>
      <w:pPr>
        <w:ind w:right="120"/>
        <w:spacing w:after="0" w:line="293" w:lineRule="auto"/>
        <w:rPr>
          <w:sz w:val="20"/>
          <w:szCs w:val="20"/>
          <w:color w:val="auto"/>
        </w:rPr>
      </w:pPr>
      <w:r>
        <w:rPr>
          <w:rFonts w:ascii="Arial" w:cs="Arial" w:eastAsia="Arial" w:hAnsi="Arial"/>
          <w:sz w:val="16"/>
          <w:szCs w:val="16"/>
          <w:color w:val="auto"/>
        </w:rPr>
        <w:t>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due to the infancy of this matter.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 million ($5.0 million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 million). We have agreed to reimburse the Town for periodic payments under such bond. The Town has recently advised us that it has solicited and received proposals for the construction of the Waterline as contemplated by the ACO.</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6"/>
                <w:szCs w:val="16"/>
                <w:color w:val="auto"/>
              </w:rPr>
            </w:pPr>
          </w:p>
        </w:tc>
      </w:tr>
      <w:tr>
        <w:trPr>
          <w:trHeight w:val="264"/>
        </w:trPr>
        <w:tc>
          <w:tcPr>
            <w:tcW w:w="83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10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settled (1)</w:t>
            </w: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November 2016, SRD received a cease and desist order (“Order”) from the Charlton alternate zoning enforcement officer, alleging that two stormwater detention basins on SRD’s property in Charlton existed in violation of Charlton zoning requirements. SRD appealed the Order to the Charlton Zoning Board of Appeals, which upheld the Order. In June 2017, SRD appealed the Charlton Zoning Board of Appeals decision to the Massachusetts Land Court. We believe a loss is probable and have recorded an accrual of $1.2 million as of March 31, 2018, which constitutes our best estimate of the potential loss associated with Charlton’s claim against us. This was recorded as part of the Southbridge Landfill closure charge in the three months ended March 31, 2018.</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August 2016, we filed a complaint against Steadfast Insurance Company (“Steadfast”) in the Superior Court of Suffolk County, Massachusetts (the "Court"), alleging among other things, that Steadfast breached its Pollution Liability Policy (“Policy”) purchased by us in April 2015, by refusing to acknowledge coverage under the Policy, and refusing to cover any of the costs and liabilities incurred by us as described above as well as costs and liabilities that we may incur in the future. Steadfast filed an answer and counterclaim in September 2016, denying that it has any obligations to us under the Policy, and seeking a declaratory judgment of Steadfast’s obligations under the Policy. We are in the discovery phase of this litigation. Steadfast has filed a Motion to Dismiss (the "Motion") our litigation against it, and we filed our response on July 11, 2017. On September 7, 2017, the Court denied the Motion.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00" w:right="259" w:bottom="1440" w:gutter="0" w:footer="0" w:header="0"/>
        </w:sectPr>
      </w:pPr>
    </w:p>
    <w:bookmarkStart w:id="47" w:name="page48"/>
    <w:bookmarkEnd w:id="47"/>
    <w:p>
      <w:pPr>
        <w:spacing w:after="0" w:line="285" w:lineRule="auto"/>
        <w:rPr>
          <w:sz w:val="20"/>
          <w:szCs w:val="20"/>
          <w:color w:val="auto"/>
        </w:rPr>
      </w:pPr>
      <w:r>
        <w:rPr>
          <w:rFonts w:ascii="Arial" w:cs="Arial" w:eastAsia="Arial" w:hAnsi="Arial"/>
          <w:sz w:val="16"/>
          <w:szCs w:val="16"/>
          <w:color w:val="auto"/>
        </w:rPr>
        <w:t>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expect to cease operations at the Southbridge Landfill when no further capacity is available, expected by no later than December 31, 2018. We delivered correspondence to the Town to this effect on August 3, 2017, citing events of Change in Law and Force Majeure pursuant to our May 29, 2007 Extension Agreement with the Town ("Extension Agreement") and the impacts of such events on further expansion of the Southbridge Landfill. We have advised the Town that we see no economically feasible way to operate the Southbridge Landfill beyond its current permitted life and we have filed a closure plan with MADEP. Following cessation of operations, we will proceed to conduct proper closure and other activities at the Southbridge Landfill in accordance with the Extension Agreement with the Town, and Federal, state and local law.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the Extension Agreement, which we account for as an operating lease, there are potential contractual obligations and commitments, including future cash payments of $2.2 million and services that extend beyond the current useful life of the Southbridge Landfill. In accordance with FASB ASC 420 - Exit or Disposal Cost Obligations, a liability for costs to be incurred under a contract for its remaining term without economic benefit shall be recognized when we cease using the right conveyed by the contract. We may incur a loss associated with these potential contractual obligations upon cessation of operations at the Southbridge Landfill when remaining capacity is exhausted by the placement of waste at the site. In this respect, the Town has, on or about April 11, 2018, filed a motion for a declaratory judgment and injunctive relief in the United States District Court for the District of Massachusetts (the “Disctrict Court”) seeking a judgment from the District Court as to the rights of the parties pursuant to the Extension Agreement, and injunctive relief to prevent us from discontinuing free collection and disposal of the Town’s municipal waste when the Southbridge Landfill ceases to accept waste (the “Town Equity Litigation”). We will vigorously defend the Town Equity Litigation on its merits, and further, on the grounds that the Town Equity Litigation is not in compliance with the procedures for dispute resolution as set forth in the Extension Agreement.</w:t>
      </w:r>
    </w:p>
    <w:p>
      <w:pPr>
        <w:spacing w:after="0" w:line="3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 million.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 million.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It is unlikely that any significant expenditures relating to onsite remediation will be incurred until the fiscal year ending December 31, 2019. WSI is jointly and severally liable with NiMo, Alcoa and Reynolds for the total cost to remediate.</w:t>
      </w:r>
    </w:p>
    <w:p>
      <w:pPr>
        <w:spacing w:after="0" w:line="18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environmental remediation liability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tcPr>
          <w:p>
            <w:pPr>
              <w:spacing w:after="0"/>
              <w:rPr>
                <w:sz w:val="22"/>
                <w:szCs w:val="22"/>
                <w:color w:val="auto"/>
              </w:rPr>
            </w:pPr>
          </w:p>
        </w:tc>
        <w:tc>
          <w:tcPr>
            <w:tcW w:w="46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570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Obligations settled</w:t>
            </w:r>
          </w:p>
        </w:tc>
        <w:tc>
          <w:tcPr>
            <w:tcW w:w="4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570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46</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68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49" w:name="page50"/>
    <w:bookmarkEnd w:id="49"/>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a number of risks, including those identified in Item 1A, “Risk Factors” of our Annual Report on Form 10-K for the fiscal year ended December 31, 2017, that could have a material effect on our business, results of operations, financial condition and/or liquidity and that could cause our operating results to vary significantly from period to period. As of March 31, 2018, there have been no material changes to the risk factors disclosed in our Annual Report on Form 10-K for the fiscal year ended December 31, 2017. We may disclose additional changes to our risk factors or disclose additional factors from time to time in our future filings with the SEC.</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0" w:type="dxa"/>
            <w:vAlign w:val="bottom"/>
          </w:tcPr>
          <w:p>
            <w:pPr>
              <w:spacing w:after="0"/>
              <w:rPr>
                <w:sz w:val="20"/>
                <w:szCs w:val="20"/>
                <w:color w:val="auto"/>
              </w:rPr>
            </w:pPr>
          </w:p>
        </w:tc>
        <w:tc>
          <w:tcPr>
            <w:tcW w:w="10220" w:type="dxa"/>
            <w:vAlign w:val="bottom"/>
            <w:gridSpan w:val="28"/>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80" w:type="dxa"/>
            <w:vAlign w:val="bottom"/>
            <w:gridSpan w:val="24"/>
            <w:vMerge w:val="restart"/>
          </w:tcPr>
          <w:p>
            <w:pPr>
              <w:ind w:left="2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ind w:left="40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8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20" w:type="dxa"/>
            <w:vAlign w:val="bottom"/>
            <w:tcBorders>
              <w:top w:val="single" w:sz="8" w:color="auto"/>
            </w:tcBorders>
            <w:gridSpan w:val="28"/>
          </w:tcPr>
          <w:p>
            <w:pPr>
              <w:spacing w:after="0"/>
              <w:rPr>
                <w:rFonts w:ascii="Arial" w:cs="Arial" w:eastAsia="Arial" w:hAnsi="Arial"/>
                <w:sz w:val="18"/>
                <w:szCs w:val="18"/>
                <w:color w:val="0000FF"/>
                <w:w w:val="90"/>
              </w:rPr>
            </w:pPr>
            <w:hyperlink r:id="rId82">
              <w:r>
                <w:rPr>
                  <w:rFonts w:ascii="Arial" w:cs="Arial" w:eastAsia="Arial" w:hAnsi="Arial"/>
                  <w:sz w:val="18"/>
                  <w:szCs w:val="18"/>
                  <w:color w:val="0000FF"/>
                  <w:w w:val="90"/>
                </w:rPr>
                <w:t>Agreement and Plan of Merger dated as of January 12, 1999 and as amended by Amendments No. 1, 2 and 3 thereto, among Casella Waste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Systems, Inc. (“Casella”), KTI, Inc. (“KTI”) and Rutland Acquisition Sub, Inc. (incorporated herein by reference to Annex A to the</w:t>
              </w:r>
            </w:hyperlink>
          </w:p>
        </w:tc>
        <w:tc>
          <w:tcPr>
            <w:tcW w:w="520" w:type="dxa"/>
            <w:vAlign w:val="bottom"/>
            <w:tcBorders>
              <w:top w:val="single" w:sz="8" w:color="0000FF"/>
            </w:tcBorders>
            <w:gridSpan w:val="10"/>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registration statement on Form S-4 of Casella as filed November 12, 1999(file no. 333-90913)).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60" w:type="dxa"/>
            <w:vAlign w:val="bottom"/>
            <w:tcBorders>
              <w:bottom w:val="single" w:sz="8" w:color="0000FF"/>
            </w:tcBorders>
            <w:gridSpan w:val="16"/>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Purchase and Sale Agreement dated as of January 23, 2011 among Casella, KTI, CE Holdings II, LLC and CE Holding Company, LLC</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(incorporated herein by reference to Exhibit 2.1 to the quarterly report on Form 10-Q of Casella as filed on March 3, 2011 (file no. 000-</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40"/>
              <w:spacing w:after="0" w:line="196" w:lineRule="exact"/>
              <w:rPr>
                <w:rFonts w:ascii="Arial" w:cs="Arial" w:eastAsia="Arial" w:hAnsi="Arial"/>
                <w:sz w:val="18"/>
                <w:szCs w:val="18"/>
                <w:color w:val="0000FF"/>
                <w:w w:val="86"/>
              </w:rPr>
            </w:pPr>
            <w:hyperlink r:id="rId83">
              <w:r>
                <w:rPr>
                  <w:rFonts w:ascii="Arial" w:cs="Arial" w:eastAsia="Arial" w:hAnsi="Arial"/>
                  <w:sz w:val="18"/>
                  <w:szCs w:val="18"/>
                  <w:color w:val="0000FF"/>
                  <w:w w:val="86"/>
                </w:rPr>
                <w:t>23211)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20" w:type="dxa"/>
            <w:vAlign w:val="bottom"/>
            <w:gridSpan w:val="28"/>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Stock Purchase Agreement dated as of December 6, 2012 among Casella, Blow Bros., the stockholders of Blow Bros. named therein, Arthur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E. St. Hilaire (solely in his capacity as the Representative), and Trash Lady, LLC and Trash Lady NH, LLC (incorporated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to Exhibit 10.1 to the current report on Form 8-K of Casella as filed on December 10, 2012 (file no. 000-23211)).</w:t>
              </w:r>
            </w:hyperlink>
          </w:p>
        </w:tc>
        <w:tc>
          <w:tcPr>
            <w:tcW w:w="20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tcBorders>
              <w:bottom w:val="single" w:sz="8" w:color="0000FF"/>
            </w:tcBorders>
            <w:gridSpan w:val="23"/>
          </w:tcPr>
          <w:p>
            <w:pPr>
              <w:spacing w:after="0"/>
              <w:rPr>
                <w:rFonts w:ascii="Arial" w:cs="Arial" w:eastAsia="Arial" w:hAnsi="Arial"/>
                <w:sz w:val="18"/>
                <w:szCs w:val="18"/>
                <w:color w:val="0000FF"/>
                <w:w w:val="88"/>
              </w:rPr>
            </w:pPr>
            <w:hyperlink r:id="rId85">
              <w:r>
                <w:rPr>
                  <w:rFonts w:ascii="Arial" w:cs="Arial" w:eastAsia="Arial" w:hAnsi="Arial"/>
                  <w:sz w:val="18"/>
                  <w:szCs w:val="18"/>
                  <w:color w:val="0000FF"/>
                  <w:w w:val="88"/>
                </w:rPr>
                <w:t>Membership Interest Purchase Agreement dated December 5, 2013, by and among Casella Waste Systems, Inc. and the other parties named</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therein (incorporated herein by reference to Exhibit 10.1 to the current report on Form 8-K of Casella as filed on December 5, 2013 (file no.</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ind w:left="40"/>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000-23211)).</w:t>
              </w:r>
            </w:hyperlink>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tcBorders>
              <w:bottom w:val="single" w:sz="8" w:color="0000FF"/>
            </w:tcBorders>
            <w:gridSpan w:val="25"/>
          </w:tcPr>
          <w:p>
            <w:pPr>
              <w:spacing w:after="0"/>
              <w:rPr>
                <w:rFonts w:ascii="Arial" w:cs="Arial" w:eastAsia="Arial" w:hAnsi="Arial"/>
                <w:sz w:val="18"/>
                <w:szCs w:val="18"/>
                <w:color w:val="0000FF"/>
                <w:w w:val="89"/>
              </w:rPr>
            </w:pPr>
            <w:hyperlink r:id="rId86">
              <w:r>
                <w:rPr>
                  <w:rFonts w:ascii="Arial" w:cs="Arial" w:eastAsia="Arial" w:hAnsi="Arial"/>
                  <w:sz w:val="18"/>
                  <w:szCs w:val="18"/>
                  <w:color w:val="0000FF"/>
                  <w:w w:val="89"/>
                </w:rPr>
                <w:t>Second Amended and Restated Certificate of Incorporation of Casella Waste Systems, Inc., as amended (incorporated herein by reference to</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Exhibit 3.1 to the quarterly report on Form 10-Q of Casella as filed on December 7, 2007(file no. 000-23211)).</w:t>
              </w:r>
            </w:hyperlink>
          </w:p>
        </w:tc>
        <w:tc>
          <w:tcPr>
            <w:tcW w:w="22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9"/>
          </w:tcPr>
          <w:p>
            <w:pPr>
              <w:spacing w:after="0"/>
              <w:rPr>
                <w:rFonts w:ascii="Arial" w:cs="Arial" w:eastAsia="Arial" w:hAnsi="Arial"/>
                <w:sz w:val="18"/>
                <w:szCs w:val="18"/>
                <w:color w:val="0000FF"/>
                <w:w w:val="89"/>
              </w:rPr>
            </w:pPr>
            <w:hyperlink r:id="rId87">
              <w:r>
                <w:rPr>
                  <w:rFonts w:ascii="Arial" w:cs="Arial" w:eastAsia="Arial" w:hAnsi="Arial"/>
                  <w:sz w:val="18"/>
                  <w:szCs w:val="18"/>
                  <w:color w:val="0000FF"/>
                  <w:w w:val="89"/>
                </w:rPr>
                <w:t>Third Amended and Restated By-Laws of Casella Waste Systems, Inc., as amended (incorporated herein by reference to Exhibit 3.1 to the</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current report on Form 8-K of Casella as filed on February 27, 2009 (file no. 000-23211)).</w:t>
              </w:r>
            </w:hyperlink>
          </w:p>
        </w:tc>
        <w:tc>
          <w:tcPr>
            <w:tcW w:w="37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20" w:type="dxa"/>
            <w:vAlign w:val="bottom"/>
            <w:gridSpan w:val="28"/>
          </w:tcPr>
          <w:p>
            <w:pPr>
              <w:spacing w:after="0"/>
              <w:rPr>
                <w:rFonts w:ascii="Arial" w:cs="Arial" w:eastAsia="Arial" w:hAnsi="Arial"/>
                <w:sz w:val="18"/>
                <w:szCs w:val="18"/>
                <w:color w:val="0000FF"/>
                <w:w w:val="97"/>
              </w:rPr>
            </w:pPr>
            <w:hyperlink r:id="rId88">
              <w:r>
                <w:rPr>
                  <w:rFonts w:ascii="Arial" w:cs="Arial" w:eastAsia="Arial" w:hAnsi="Arial"/>
                  <w:sz w:val="18"/>
                  <w:szCs w:val="18"/>
                  <w:color w:val="0000FF"/>
                  <w:w w:val="97"/>
                </w:rPr>
                <w:t>Form of stock certificate of Casella Class A common stock (incorporated herein by reference to Exhibit 4 to Amendment No. 2 to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registration statement on Form S-1 of Casella as filed on October 9, 1997 (file no. 333-33135)).</w:t>
              </w:r>
            </w:hyperlink>
          </w:p>
        </w:tc>
        <w:tc>
          <w:tcPr>
            <w:tcW w:w="6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80" w:type="dxa"/>
            <w:vAlign w:val="bottom"/>
            <w:tcBorders>
              <w:bottom w:val="single" w:sz="8" w:color="0000FF"/>
            </w:tcBorders>
            <w:gridSpan w:val="26"/>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Certificate of Designation creating Series A Convertible Preferred Stock (incorporated herein by reference to Exhibit 4.1 to the current report</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on Form 8-K of Casella as filed on August 18, 2000 (file no. 000-23211)).</w:t>
              </w:r>
            </w:hyperlink>
          </w:p>
        </w:tc>
        <w:tc>
          <w:tcPr>
            <w:tcW w:w="48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20" w:type="dxa"/>
            <w:vAlign w:val="bottom"/>
            <w:gridSpan w:val="28"/>
          </w:tcPr>
          <w:p>
            <w:pPr>
              <w:spacing w:after="0"/>
              <w:rPr>
                <w:rFonts w:ascii="Arial" w:cs="Arial" w:eastAsia="Arial" w:hAnsi="Arial"/>
                <w:sz w:val="18"/>
                <w:szCs w:val="18"/>
                <w:color w:val="0000FF"/>
                <w:w w:val="95"/>
              </w:rPr>
            </w:pPr>
            <w:hyperlink r:id="rId90">
              <w:r>
                <w:rPr>
                  <w:rFonts w:ascii="Arial" w:cs="Arial" w:eastAsia="Arial" w:hAnsi="Arial"/>
                  <w:sz w:val="18"/>
                  <w:szCs w:val="18"/>
                  <w:color w:val="0000FF"/>
                  <w:w w:val="95"/>
                </w:rPr>
                <w:t>FAME Financing Agreement, dated as of August 1, 2015, between Casella and the Finance Authority of Maine (incorporated herein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4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reference to Exhibit 4.1 to the current report on Form 8-K of Casella as filed on August 27, 2015 (file no. 000-23211)).</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820" w:type="dxa"/>
            <w:vAlign w:val="bottom"/>
            <w:gridSpan w:val="6"/>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20" w:type="dxa"/>
            <w:vAlign w:val="bottom"/>
            <w:gridSpan w:val="28"/>
          </w:tcPr>
          <w:p>
            <w:pPr>
              <w:spacing w:after="0"/>
              <w:rPr>
                <w:rFonts w:ascii="Arial" w:cs="Arial" w:eastAsia="Arial" w:hAnsi="Arial"/>
                <w:sz w:val="18"/>
                <w:szCs w:val="18"/>
                <w:color w:val="0000FF"/>
                <w:w w:val="91"/>
              </w:rPr>
            </w:pPr>
            <w:hyperlink r:id="rId91">
              <w:r>
                <w:rPr>
                  <w:rFonts w:ascii="Arial" w:cs="Arial" w:eastAsia="Arial" w:hAnsi="Arial"/>
                  <w:sz w:val="18"/>
                  <w:szCs w:val="18"/>
                  <w:color w:val="0000FF"/>
                  <w:w w:val="91"/>
                </w:rPr>
                <w:t>FAME Guaranty Agreement, dated as of August 1, 2015, by and between the guarantors named therein and U.S. Bank National Association,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as trustee (incorporated herein by reference to Exhibit 4.2 to the current report on Form 8-K of Casella as filed on August 27, 2015 (file no.</w:t>
              </w:r>
            </w:hyperlink>
          </w:p>
        </w:tc>
        <w:tc>
          <w:tcPr>
            <w:tcW w:w="80" w:type="dxa"/>
            <w:vAlign w:val="bottom"/>
            <w:tcBorders>
              <w:top w:val="single" w:sz="8" w:color="0000FF"/>
            </w:tcBorders>
            <w:gridSpan w:val="3"/>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ind w:left="40"/>
              <w:spacing w:after="0" w:line="196" w:lineRule="exact"/>
              <w:rPr>
                <w:rFonts w:ascii="Arial" w:cs="Arial" w:eastAsia="Arial" w:hAnsi="Arial"/>
                <w:sz w:val="18"/>
                <w:szCs w:val="18"/>
                <w:color w:val="0000FF"/>
                <w:w w:val="89"/>
              </w:rPr>
            </w:pPr>
            <w:hyperlink r:id="rId91">
              <w:r>
                <w:rPr>
                  <w:rFonts w:ascii="Arial" w:cs="Arial" w:eastAsia="Arial" w:hAnsi="Arial"/>
                  <w:sz w:val="18"/>
                  <w:szCs w:val="18"/>
                  <w:color w:val="0000FF"/>
                  <w:w w:val="89"/>
                </w:rPr>
                <w:t>000-23211)).</w:t>
              </w:r>
            </w:hyperlink>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tcBorders>
              <w:bottom w:val="single" w:sz="8" w:color="0000FF"/>
            </w:tcBorders>
            <w:gridSpan w:val="20"/>
          </w:tcPr>
          <w:p>
            <w:pPr>
              <w:spacing w:after="0"/>
              <w:rPr>
                <w:rFonts w:ascii="Arial" w:cs="Arial" w:eastAsia="Arial" w:hAnsi="Arial"/>
                <w:sz w:val="18"/>
                <w:szCs w:val="18"/>
                <w:color w:val="0000FF"/>
                <w:w w:val="90"/>
              </w:rPr>
            </w:pPr>
            <w:hyperlink r:id="rId92">
              <w:r>
                <w:rPr>
                  <w:rFonts w:ascii="Arial" w:cs="Arial" w:eastAsia="Arial" w:hAnsi="Arial"/>
                  <w:sz w:val="18"/>
                  <w:szCs w:val="18"/>
                  <w:color w:val="0000FF"/>
                  <w:w w:val="90"/>
                </w:rPr>
                <w:t>Loan Agreement, dated as of December 1, 2014, between New York State Environmental Facilities Corporation and Casella (incorporated</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FF"/>
                <w:w w:val="98"/>
              </w:rPr>
            </w:pPr>
            <w:hyperlink r:id="rId92">
              <w:r>
                <w:rPr>
                  <w:rFonts w:ascii="Arial" w:cs="Arial" w:eastAsia="Arial" w:hAnsi="Arial"/>
                  <w:sz w:val="18"/>
                  <w:szCs w:val="18"/>
                  <w:color w:val="0000FF"/>
                  <w:w w:val="98"/>
                </w:rPr>
                <w:t>herein by reference to Exhibit 4.1 to the current report on Form 8-K of Casella as filed on December 18, 2014 (file no. 000-23211)).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760" w:type="dxa"/>
            <w:vAlign w:val="bottom"/>
            <w:gridSpan w:val="8"/>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tcBorders>
              <w:bottom w:val="single" w:sz="8" w:color="0000FF"/>
            </w:tcBorders>
            <w:gridSpan w:val="18"/>
          </w:tcPr>
          <w:p>
            <w:pPr>
              <w:spacing w:after="0"/>
              <w:rPr>
                <w:rFonts w:ascii="Arial" w:cs="Arial" w:eastAsia="Arial" w:hAnsi="Arial"/>
                <w:sz w:val="18"/>
                <w:szCs w:val="18"/>
                <w:color w:val="0000FF"/>
                <w:w w:val="89"/>
              </w:rPr>
            </w:pPr>
            <w:hyperlink r:id="rId93">
              <w:r>
                <w:rPr>
                  <w:rFonts w:ascii="Arial" w:cs="Arial" w:eastAsia="Arial" w:hAnsi="Arial"/>
                  <w:sz w:val="18"/>
                  <w:szCs w:val="18"/>
                  <w:color w:val="0000FF"/>
                  <w:w w:val="89"/>
                </w:rPr>
                <w:t>NYSEFC Amended and Restated Guaranty Agreement, dated as of June 1, 2016, by and between the guarantors named therein and U.S.</w:t>
              </w:r>
            </w:hyperlink>
          </w:p>
        </w:tc>
        <w:tc>
          <w:tcPr>
            <w:tcW w:w="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Bank National Association, as Trustee (incorporated herein by reference to Exhibit 4.1 to the current report on Form 8-K of Casella as filed</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on June 2, 2016 (file no. 000-23211)).</w:t>
              </w:r>
            </w:hyperlink>
          </w:p>
        </w:tc>
        <w:tc>
          <w:tcPr>
            <w:tcW w:w="74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8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20" w:type="dxa"/>
            <w:vAlign w:val="bottom"/>
            <w:gridSpan w:val="28"/>
          </w:tcPr>
          <w:p>
            <w:pPr>
              <w:spacing w:after="0"/>
              <w:rPr>
                <w:rFonts w:ascii="Arial" w:cs="Arial" w:eastAsia="Arial" w:hAnsi="Arial"/>
                <w:sz w:val="18"/>
                <w:szCs w:val="18"/>
                <w:color w:val="0000FF"/>
                <w:w w:val="94"/>
              </w:rPr>
            </w:pPr>
            <w:hyperlink r:id="rId94">
              <w:r>
                <w:rPr>
                  <w:rFonts w:ascii="Arial" w:cs="Arial" w:eastAsia="Arial" w:hAnsi="Arial"/>
                  <w:sz w:val="18"/>
                  <w:szCs w:val="18"/>
                  <w:color w:val="0000FF"/>
                  <w:w w:val="94"/>
                </w:rPr>
                <w:t>BFA Guaranty Agreement, dated as of October 1, 2014, by and among U.S. Bank National Association, as Trustee, and the guarantors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8120" w:type="dxa"/>
            <w:vAlign w:val="bottom"/>
            <w:gridSpan w:val="11"/>
            <w:shd w:val="clear" w:color="auto" w:fill="0000FF"/>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identified therein (incorporated herein by reference to Exhibit 10.1 to the current report on Form 8-K of Casella as filed on October 16, 2014</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(file no. 000-23211)).</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Borders>
              <w:top w:val="single" w:sz="8" w:color="0000FF"/>
            </w:tcBorders>
            <w:gridSpan w:val="3"/>
          </w:tcPr>
          <w:p>
            <w:pPr>
              <w:spacing w:after="0"/>
              <w:rPr>
                <w:sz w:val="24"/>
                <w:szCs w:val="24"/>
                <w:color w:val="auto"/>
              </w:rPr>
            </w:pPr>
          </w:p>
        </w:tc>
        <w:tc>
          <w:tcPr>
            <w:tcW w:w="3800" w:type="dxa"/>
            <w:vAlign w:val="bottom"/>
            <w:gridSpan w:val="2"/>
          </w:tcPr>
          <w:p>
            <w:pPr>
              <w:jc w:val="right"/>
              <w:ind w:right="668"/>
              <w:spacing w:after="0"/>
              <w:rPr>
                <w:sz w:val="20"/>
                <w:szCs w:val="20"/>
                <w:color w:val="auto"/>
              </w:rPr>
            </w:pPr>
            <w:r>
              <w:rPr>
                <w:rFonts w:ascii="Arial" w:cs="Arial" w:eastAsia="Arial" w:hAnsi="Arial"/>
                <w:sz w:val="18"/>
                <w:szCs w:val="18"/>
                <w:color w:val="auto"/>
              </w:rPr>
              <w:t>47</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4.12</w:t>
            </w:r>
          </w:p>
        </w:tc>
        <w:tc>
          <w:tcPr>
            <w:tcW w:w="10160" w:type="dxa"/>
            <w:vAlign w:val="bottom"/>
            <w:tcBorders>
              <w:bottom w:val="single" w:sz="8" w:color="0000FF"/>
            </w:tcBorders>
            <w:gridSpan w:val="28"/>
          </w:tcPr>
          <w:p>
            <w:pPr>
              <w:spacing w:after="0"/>
              <w:rPr>
                <w:rFonts w:ascii="Arial" w:cs="Arial" w:eastAsia="Arial" w:hAnsi="Arial"/>
                <w:sz w:val="18"/>
                <w:szCs w:val="18"/>
                <w:color w:val="0000FF"/>
                <w:w w:val="90"/>
              </w:rPr>
            </w:pPr>
            <w:hyperlink r:id="rId95">
              <w:r>
                <w:rPr>
                  <w:rFonts w:ascii="Arial" w:cs="Arial" w:eastAsia="Arial" w:hAnsi="Arial"/>
                  <w:sz w:val="18"/>
                  <w:szCs w:val="18"/>
                  <w:color w:val="0000FF"/>
                  <w:w w:val="90"/>
                </w:rPr>
                <w:t>Financing Agreement dated as of March 1, 2013 between Casella and the Vermont Economic Development Authority, relating to issuance of</w:t>
              </w:r>
            </w:hyperlink>
          </w:p>
        </w:tc>
        <w:tc>
          <w:tcPr>
            <w:tcW w:w="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94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Vermont Economic Development Authority Solid Waste Disposal Revenue Bonds (incorporated herein by reference to Exhibit 10.1 to the</w:t>
              </w:r>
            </w:hyperlink>
          </w:p>
        </w:tc>
        <w:tc>
          <w:tcPr>
            <w:tcW w:w="26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92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current report on Form 8-K of Casella as filed April 5, 2013 (file no. 000-23211)).</w:t>
              </w:r>
            </w:hyperlink>
          </w:p>
        </w:tc>
        <w:tc>
          <w:tcPr>
            <w:tcW w:w="4280" w:type="dxa"/>
            <w:vAlign w:val="bottom"/>
            <w:gridSpan w:val="22"/>
          </w:tcPr>
          <w:p>
            <w:pPr>
              <w:spacing w:after="0"/>
              <w:rPr>
                <w:sz w:val="17"/>
                <w:szCs w:val="17"/>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4.13</w:t>
            </w:r>
          </w:p>
        </w:tc>
        <w:tc>
          <w:tcPr>
            <w:tcW w:w="10200" w:type="dxa"/>
            <w:vAlign w:val="bottom"/>
            <w:gridSpan w:val="30"/>
          </w:tcPr>
          <w:p>
            <w:pPr>
              <w:spacing w:after="0"/>
              <w:rPr>
                <w:rFonts w:ascii="Arial" w:cs="Arial" w:eastAsia="Arial" w:hAnsi="Arial"/>
                <w:sz w:val="18"/>
                <w:szCs w:val="18"/>
                <w:color w:val="0000FF"/>
                <w:w w:val="94"/>
              </w:rPr>
            </w:pPr>
            <w:hyperlink r:id="rId96">
              <w:r>
                <w:rPr>
                  <w:rFonts w:ascii="Arial" w:cs="Arial" w:eastAsia="Arial" w:hAnsi="Arial"/>
                  <w:sz w:val="18"/>
                  <w:szCs w:val="18"/>
                  <w:color w:val="0000FF"/>
                  <w:w w:val="94"/>
                </w:rPr>
                <w:t>VEDA Guaranty Agreement, dated as of March 1, 2013, by and among U.S. Bank National Association, as Trustee, and the guarantors</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20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identified therein (incorporated herein by reference to Exhibit 4.8 to the annual report on Form 10-K of Casella as filed on June 27, 2014 (file</w:t>
              </w:r>
            </w:hyperlink>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no. 000-23211)).</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4.14</w:t>
            </w:r>
          </w:p>
        </w:tc>
        <w:tc>
          <w:tcPr>
            <w:tcW w:w="10200" w:type="dxa"/>
            <w:vAlign w:val="bottom"/>
            <w:gridSpan w:val="30"/>
          </w:tcPr>
          <w:p>
            <w:pPr>
              <w:spacing w:after="0"/>
              <w:rPr>
                <w:rFonts w:ascii="Arial" w:cs="Arial" w:eastAsia="Arial" w:hAnsi="Arial"/>
                <w:sz w:val="18"/>
                <w:szCs w:val="18"/>
                <w:color w:val="0000FF"/>
                <w:w w:val="95"/>
              </w:rPr>
            </w:pPr>
            <w:hyperlink r:id="rId97">
              <w:r>
                <w:rPr>
                  <w:rFonts w:ascii="Arial" w:cs="Arial" w:eastAsia="Arial" w:hAnsi="Arial"/>
                  <w:sz w:val="18"/>
                  <w:szCs w:val="18"/>
                  <w:color w:val="0000FF"/>
                  <w:w w:val="95"/>
                </w:rPr>
                <w:t>Financing Agreement dated as of March 1, 2013 between Casella and the Business Finance Authority of the State of New Hampshire,</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1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relating to issuance of Business Finance Authority of the State of New Hampshire Solid Waste Disposal Revenue Bonds (incorporated herein</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by reference to Exhibit 10.2 to the current report on Form 8-K of Casella as filed on April 5, 2013 (file no. 000-23211)).</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4.15</w:t>
            </w:r>
          </w:p>
        </w:tc>
        <w:tc>
          <w:tcPr>
            <w:tcW w:w="9680" w:type="dxa"/>
            <w:vAlign w:val="bottom"/>
            <w:tcBorders>
              <w:bottom w:val="single" w:sz="8" w:color="0000FF"/>
            </w:tcBorders>
            <w:gridSpan w:val="16"/>
          </w:tcPr>
          <w:p>
            <w:pPr>
              <w:spacing w:after="0"/>
              <w:rPr>
                <w:rFonts w:ascii="Arial" w:cs="Arial" w:eastAsia="Arial" w:hAnsi="Arial"/>
                <w:sz w:val="18"/>
                <w:szCs w:val="18"/>
                <w:color w:val="0000FF"/>
                <w:w w:val="90"/>
              </w:rPr>
            </w:pPr>
            <w:hyperlink r:id="rId98">
              <w:r>
                <w:rPr>
                  <w:rFonts w:ascii="Arial" w:cs="Arial" w:eastAsia="Arial" w:hAnsi="Arial"/>
                  <w:sz w:val="18"/>
                  <w:szCs w:val="18"/>
                  <w:color w:val="0000FF"/>
                  <w:w w:val="90"/>
                </w:rPr>
                <w:t>Financing Agreement between Casella and Finance Authority of Maine, dated as of December 1, 2005, relating to issuance of Finance</w:t>
              </w:r>
            </w:hyperlink>
          </w:p>
        </w:tc>
        <w:tc>
          <w:tcPr>
            <w:tcW w:w="520" w:type="dxa"/>
            <w:vAlign w:val="bottom"/>
            <w:gridSpan w:val="1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5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Authority of Maine Solid Waste Disposal Revenue Bonds (Casella Waste Services, Inc. Project) Series 2005 (incorporated herein by</w:t>
              </w:r>
            </w:hyperlink>
          </w:p>
        </w:tc>
        <w:tc>
          <w:tcPr>
            <w:tcW w:w="660" w:type="dxa"/>
            <w:vAlign w:val="bottom"/>
            <w:gridSpan w:val="1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reference to Exhibit 10.1 to the current report on Form 8-K of Casella as filed on January 4, 2006 (file no. 000-23211)).</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4.16</w:t>
            </w:r>
          </w:p>
        </w:tc>
        <w:tc>
          <w:tcPr>
            <w:tcW w:w="9980" w:type="dxa"/>
            <w:vAlign w:val="bottom"/>
            <w:tcBorders>
              <w:bottom w:val="single" w:sz="8" w:color="0000FF"/>
            </w:tcBorders>
            <w:gridSpan w:val="24"/>
          </w:tcPr>
          <w:p>
            <w:pPr>
              <w:spacing w:after="0"/>
              <w:rPr>
                <w:rFonts w:ascii="Arial" w:cs="Arial" w:eastAsia="Arial" w:hAnsi="Arial"/>
                <w:sz w:val="18"/>
                <w:szCs w:val="18"/>
                <w:color w:val="0000FF"/>
                <w:w w:val="89"/>
              </w:rPr>
            </w:pPr>
            <w:hyperlink r:id="rId99">
              <w:r>
                <w:rPr>
                  <w:rFonts w:ascii="Arial" w:cs="Arial" w:eastAsia="Arial" w:hAnsi="Arial"/>
                  <w:sz w:val="18"/>
                  <w:szCs w:val="18"/>
                  <w:color w:val="0000FF"/>
                  <w:w w:val="89"/>
                </w:rPr>
                <w:t>First Amendment dated as of February 1, 2012 to Financing Agreement dated as of December 1, 2005, by and among Finance Authority of</w:t>
              </w:r>
            </w:hyperlink>
          </w:p>
        </w:tc>
        <w:tc>
          <w:tcPr>
            <w:tcW w:w="22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6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Maine, U.S. Bank National Association, as Trustee, Bank of America, as Credit Provider, and Casella (incorporated herein by reference to</w:t>
              </w:r>
            </w:hyperlink>
          </w:p>
        </w:tc>
        <w:tc>
          <w:tcPr>
            <w:tcW w:w="24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Exhibit 10.1 to the quarterly report on Form 10-Q of Casella as filed on March 2, 2012 (file no. 000-23211)).</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4.17</w:t>
            </w:r>
          </w:p>
        </w:tc>
        <w:tc>
          <w:tcPr>
            <w:tcW w:w="10200" w:type="dxa"/>
            <w:vAlign w:val="bottom"/>
            <w:gridSpan w:val="30"/>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Second Amendment dated as of February 1, 2017 to Financing Agreement dated as of December 1, 2005, by and among Finance Authority</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1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of Maine, U.S. Bank National Association, as Trustee, Bank of America, as Credit Provider, and Casella (incorporated herein by reference to</w:t>
              </w:r>
            </w:hyperlink>
          </w:p>
        </w:tc>
        <w:tc>
          <w:tcPr>
            <w:tcW w:w="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94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Exhibit 4.2 to the current report on Form 8-K as filed on February 7, 2017 (file no. 000-23211)).</w:t>
              </w:r>
            </w:hyperlink>
          </w:p>
        </w:tc>
        <w:tc>
          <w:tcPr>
            <w:tcW w:w="3260" w:type="dxa"/>
            <w:vAlign w:val="bottom"/>
            <w:gridSpan w:val="20"/>
          </w:tcPr>
          <w:p>
            <w:pPr>
              <w:spacing w:after="0"/>
              <w:rPr>
                <w:sz w:val="17"/>
                <w:szCs w:val="17"/>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4.18</w:t>
            </w:r>
          </w:p>
        </w:tc>
        <w:tc>
          <w:tcPr>
            <w:tcW w:w="10200" w:type="dxa"/>
            <w:vAlign w:val="bottom"/>
            <w:gridSpan w:val="30"/>
          </w:tcPr>
          <w:p>
            <w:pPr>
              <w:spacing w:after="0"/>
              <w:rPr>
                <w:rFonts w:ascii="Arial" w:cs="Arial" w:eastAsia="Arial" w:hAnsi="Arial"/>
                <w:sz w:val="18"/>
                <w:szCs w:val="18"/>
                <w:color w:val="0000FF"/>
                <w:w w:val="95"/>
              </w:rPr>
            </w:pPr>
            <w:hyperlink r:id="rId101">
              <w:r>
                <w:rPr>
                  <w:rFonts w:ascii="Arial" w:cs="Arial" w:eastAsia="Arial" w:hAnsi="Arial"/>
                  <w:sz w:val="18"/>
                  <w:szCs w:val="18"/>
                  <w:color w:val="0000FF"/>
                  <w:w w:val="95"/>
                </w:rPr>
                <w:t>FAME Amended and Restated Guaranty Agreement, dated as of February 1, 2017, by and among U.S. Bank National Association, as</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14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Trustee, and the guarantors identified therein (incorporated herein by reference to Exhibit 4.1 to the current report on Form 8-K of Casella as</w:t>
              </w:r>
            </w:hyperlink>
          </w:p>
        </w:tc>
        <w:tc>
          <w:tcPr>
            <w:tcW w:w="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filed on February 7, 2017 (file no. 000-23211)).</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FF"/>
            </w:tcBorders>
            <w:gridSpan w:val="23"/>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1997 Non-Employee Director Stock Option Plan (incorporated herein by reference to Exhibit 10.5 to Amendment No. 1 to the registration</w:t>
              </w:r>
            </w:hyperlink>
          </w:p>
        </w:tc>
        <w:tc>
          <w:tcPr>
            <w:tcW w:w="24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statement on Form S-1 of Casella as filed on September 24, 1997 (file no. 333-33135)).</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200" w:type="dxa"/>
            <w:vAlign w:val="bottom"/>
            <w:gridSpan w:val="30"/>
          </w:tcPr>
          <w:p>
            <w:pPr>
              <w:spacing w:after="0"/>
              <w:rPr>
                <w:rFonts w:ascii="Arial" w:cs="Arial" w:eastAsia="Arial" w:hAnsi="Arial"/>
                <w:sz w:val="18"/>
                <w:szCs w:val="18"/>
                <w:color w:val="0000FF"/>
                <w:w w:val="92"/>
              </w:rPr>
            </w:pPr>
            <w:hyperlink r:id="rId103">
              <w:r>
                <w:rPr>
                  <w:rFonts w:ascii="Arial" w:cs="Arial" w:eastAsia="Arial" w:hAnsi="Arial"/>
                  <w:sz w:val="18"/>
                  <w:szCs w:val="18"/>
                  <w:color w:val="0000FF"/>
                  <w:w w:val="92"/>
                </w:rPr>
                <w:t>Form of Nonstatutory Stock Option Agreement granted under the Amended and Restated 1997 Non-Employee Director Stock Option Plan</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60" w:type="dxa"/>
            <w:vAlign w:val="bottom"/>
            <w:gridSpan w:val="6"/>
            <w:shd w:val="clear" w:color="auto" w:fill="0000FF"/>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(incorporated herein by reference to Exhibit 10.2 to the quarterly report on Form 10-Q of Casella as filed on September 9, 2004 (file no. 000-</w:t>
              </w:r>
            </w:hyperlink>
          </w:p>
        </w:tc>
      </w:tr>
      <w:tr>
        <w:trPr>
          <w:trHeight w:val="196"/>
        </w:trPr>
        <w:tc>
          <w:tcPr>
            <w:tcW w:w="92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03">
              <w:r>
                <w:rPr>
                  <w:rFonts w:ascii="Arial" w:cs="Arial" w:eastAsia="Arial" w:hAnsi="Arial"/>
                  <w:sz w:val="18"/>
                  <w:szCs w:val="18"/>
                  <w:color w:val="0000FF"/>
                  <w:w w:val="86"/>
                </w:rPr>
                <w:t>23211)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3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9820" w:type="dxa"/>
            <w:vAlign w:val="bottom"/>
            <w:tcBorders>
              <w:bottom w:val="single" w:sz="8" w:color="0000FF"/>
            </w:tcBorders>
            <w:gridSpan w:val="19"/>
          </w:tcPr>
          <w:p>
            <w:pPr>
              <w:spacing w:after="0"/>
              <w:rPr>
                <w:rFonts w:ascii="Arial" w:cs="Arial" w:eastAsia="Arial" w:hAnsi="Arial"/>
                <w:sz w:val="18"/>
                <w:szCs w:val="18"/>
                <w:color w:val="0000FF"/>
                <w:w w:val="90"/>
              </w:rPr>
            </w:pPr>
            <w:hyperlink r:id="rId104">
              <w:r>
                <w:rPr>
                  <w:rFonts w:ascii="Arial" w:cs="Arial" w:eastAsia="Arial" w:hAnsi="Arial"/>
                  <w:sz w:val="18"/>
                  <w:szCs w:val="18"/>
                  <w:color w:val="0000FF"/>
                  <w:w w:val="90"/>
                </w:rPr>
                <w:t>Amended and Restated 1997 Stock Incentive Plan (incorporated herein by reference to Appendix 1 to the Definitive Proxy Statement on</w:t>
              </w:r>
            </w:hyperlink>
          </w:p>
        </w:tc>
        <w:tc>
          <w:tcPr>
            <w:tcW w:w="38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18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104">
              <w:r>
                <w:rPr>
                  <w:rFonts w:ascii="Arial" w:cs="Arial" w:eastAsia="Arial" w:hAnsi="Arial"/>
                  <w:sz w:val="18"/>
                  <w:szCs w:val="18"/>
                  <w:color w:val="0000FF"/>
                  <w:w w:val="89"/>
                </w:rPr>
                <w:t>Schedule 14A of Casella as filed on September 21, 1998).</w:t>
              </w:r>
            </w:hyperlink>
          </w:p>
        </w:tc>
        <w:tc>
          <w:tcPr>
            <w:tcW w:w="6020" w:type="dxa"/>
            <w:vAlign w:val="bottom"/>
            <w:gridSpan w:val="23"/>
          </w:tcPr>
          <w:p>
            <w:pPr>
              <w:spacing w:after="0"/>
              <w:rPr>
                <w:sz w:val="17"/>
                <w:szCs w:val="17"/>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tcBorders>
              <w:bottom w:val="single" w:sz="8" w:color="0000FF"/>
            </w:tcBorders>
            <w:gridSpan w:val="20"/>
          </w:tcPr>
          <w:p>
            <w:pPr>
              <w:spacing w:after="0"/>
              <w:rPr>
                <w:rFonts w:ascii="Arial" w:cs="Arial" w:eastAsia="Arial" w:hAnsi="Arial"/>
                <w:sz w:val="18"/>
                <w:szCs w:val="18"/>
                <w:color w:val="0000FF"/>
                <w:w w:val="90"/>
              </w:rPr>
            </w:pPr>
            <w:hyperlink r:id="rId105">
              <w:r>
                <w:rPr>
                  <w:rFonts w:ascii="Arial" w:cs="Arial" w:eastAsia="Arial" w:hAnsi="Arial"/>
                  <w:sz w:val="18"/>
                  <w:szCs w:val="18"/>
                  <w:color w:val="0000FF"/>
                  <w:w w:val="90"/>
                </w:rPr>
                <w:t>Form of Incentive Stock Option Agreement granted under the Amended and Restated 1997 Stock Incentive Plan (incorporated herein by</w:t>
              </w:r>
            </w:hyperlink>
          </w:p>
        </w:tc>
        <w:tc>
          <w:tcPr>
            <w:tcW w:w="36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reference to Exhibit 10.1 to the quarterly report on Form 10-Q of Casella as filed on September 9, 2004 (file no. 000-23211)).</w:t>
              </w:r>
            </w:hyperlink>
          </w:p>
        </w:tc>
      </w:tr>
      <w:tr>
        <w:trPr>
          <w:trHeight w:val="20"/>
        </w:trPr>
        <w:tc>
          <w:tcPr>
            <w:tcW w:w="9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80" w:type="dxa"/>
            <w:vAlign w:val="bottom"/>
            <w:gridSpan w:val="7"/>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200" w:type="dxa"/>
            <w:vAlign w:val="bottom"/>
            <w:gridSpan w:val="30"/>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Lease Agreement, as Amended, between Casella Associates and Casella Waste Management, Inc., dated August 1, 1993 (Rutland lease)</w:t>
              </w:r>
            </w:hyperlink>
          </w:p>
        </w:tc>
      </w:tr>
      <w:tr>
        <w:trPr>
          <w:trHeight w:val="20"/>
        </w:trPr>
        <w:tc>
          <w:tcPr>
            <w:tcW w:w="9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76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w w:val="93"/>
              </w:rPr>
            </w:pPr>
            <w:hyperlink r:id="rId106">
              <w:r>
                <w:rPr>
                  <w:rFonts w:ascii="Arial" w:cs="Arial" w:eastAsia="Arial" w:hAnsi="Arial"/>
                  <w:sz w:val="18"/>
                  <w:szCs w:val="18"/>
                  <w:color w:val="0000FF"/>
                  <w:w w:val="93"/>
                </w:rPr>
                <w:t>(incorporated herein by reference to Exhibit 10.17 to the registration statement on Form S-1 of Casella as filed on August 7, 1997 (file no.</w:t>
              </w:r>
            </w:hyperlink>
          </w:p>
        </w:tc>
      </w:tr>
      <w:tr>
        <w:trPr>
          <w:trHeight w:val="196"/>
        </w:trPr>
        <w:tc>
          <w:tcPr>
            <w:tcW w:w="920" w:type="dxa"/>
            <w:vAlign w:val="bottom"/>
          </w:tcPr>
          <w:p>
            <w:pPr>
              <w:spacing w:after="0"/>
              <w:rPr>
                <w:sz w:val="17"/>
                <w:szCs w:val="17"/>
                <w:color w:val="auto"/>
              </w:rPr>
            </w:pPr>
          </w:p>
        </w:tc>
        <w:tc>
          <w:tcPr>
            <w:tcW w:w="9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106">
              <w:r>
                <w:rPr>
                  <w:rFonts w:ascii="Arial" w:cs="Arial" w:eastAsia="Arial" w:hAnsi="Arial"/>
                  <w:sz w:val="18"/>
                  <w:szCs w:val="18"/>
                  <w:color w:val="0000FF"/>
                  <w:w w:val="89"/>
                </w:rPr>
                <w:t>333-33135)).</w:t>
              </w:r>
            </w:hyperlink>
          </w:p>
        </w:tc>
        <w:tc>
          <w:tcPr>
            <w:tcW w:w="26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200" w:type="dxa"/>
            <w:vAlign w:val="bottom"/>
            <w:gridSpan w:val="30"/>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Second Amendment to Lease Agreement, by and between Casella Associates and Casella Waste Management, Inc., dated as of November</w:t>
              </w:r>
            </w:hyperlink>
          </w:p>
        </w:tc>
      </w:tr>
      <w:tr>
        <w:trPr>
          <w:trHeight w:val="20"/>
        </w:trPr>
        <w:tc>
          <w:tcPr>
            <w:tcW w:w="92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760" w:type="dxa"/>
            <w:vAlign w:val="bottom"/>
            <w:tcBorders>
              <w:right w:val="single" w:sz="8" w:color="0000FF"/>
            </w:tcBorders>
            <w:gridSpan w:val="11"/>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20, 1997 (Rutland lease). (incorporated herein by reference to Exhibit 10.25 to the registration statement on Form S-1 of Casella as filed on</w:t>
              </w:r>
            </w:hyperlink>
          </w:p>
        </w:tc>
        <w:tc>
          <w:tcPr>
            <w:tcW w:w="14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June 25, 1998 (file no. 333-57745)).</w:t>
              </w:r>
            </w:hyperlink>
          </w:p>
        </w:tc>
      </w:tr>
      <w:tr>
        <w:trPr>
          <w:trHeight w:val="20"/>
        </w:trPr>
        <w:tc>
          <w:tcPr>
            <w:tcW w:w="92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60" w:type="dxa"/>
            <w:vAlign w:val="bottom"/>
            <w:gridSpan w:val="11"/>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9940" w:type="dxa"/>
            <w:vAlign w:val="bottom"/>
            <w:tcBorders>
              <w:bottom w:val="single" w:sz="8" w:color="0000FF"/>
            </w:tcBorders>
            <w:gridSpan w:val="22"/>
          </w:tcPr>
          <w:p>
            <w:pPr>
              <w:spacing w:after="0"/>
              <w:rPr>
                <w:rFonts w:ascii="Arial" w:cs="Arial" w:eastAsia="Arial" w:hAnsi="Arial"/>
                <w:sz w:val="18"/>
                <w:szCs w:val="18"/>
                <w:color w:val="0000FF"/>
                <w:w w:val="89"/>
              </w:rPr>
            </w:pPr>
            <w:hyperlink r:id="rId108">
              <w:r>
                <w:rPr>
                  <w:rFonts w:ascii="Arial" w:cs="Arial" w:eastAsia="Arial" w:hAnsi="Arial"/>
                  <w:sz w:val="18"/>
                  <w:szCs w:val="18"/>
                  <w:color w:val="0000FF"/>
                  <w:w w:val="89"/>
                </w:rPr>
                <w:t>Amendment to Lease Agreement dated as of March 13, 2008, between Casella Associates and Casella, amending Lease Agreement dated</w:t>
              </w:r>
            </w:hyperlink>
          </w:p>
        </w:tc>
        <w:tc>
          <w:tcPr>
            <w:tcW w:w="26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6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August 1, 1993, as amended (Rutland lease) (incorporated herein by reference to Exhibit 10.7 to the annual report on Form 10-K of Casella</w:t>
              </w:r>
            </w:hyperlink>
          </w:p>
        </w:tc>
        <w:tc>
          <w:tcPr>
            <w:tcW w:w="14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as filed on June 27, 2014 (file no. 000-23211)).</w:t>
              </w:r>
            </w:hyperlink>
          </w:p>
        </w:tc>
        <w:tc>
          <w:tcPr>
            <w:tcW w:w="6780" w:type="dxa"/>
            <w:vAlign w:val="bottom"/>
            <w:gridSpan w:val="25"/>
          </w:tcPr>
          <w:p>
            <w:pPr>
              <w:spacing w:after="0"/>
              <w:rPr>
                <w:sz w:val="17"/>
                <w:szCs w:val="17"/>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040" w:type="dxa"/>
            <w:vAlign w:val="bottom"/>
            <w:tcBorders>
              <w:bottom w:val="single" w:sz="8" w:color="0000FF"/>
            </w:tcBorders>
            <w:gridSpan w:val="25"/>
          </w:tcPr>
          <w:p>
            <w:pPr>
              <w:spacing w:after="0"/>
              <w:rPr>
                <w:rFonts w:ascii="Arial" w:cs="Arial" w:eastAsia="Arial" w:hAnsi="Arial"/>
                <w:sz w:val="18"/>
                <w:szCs w:val="18"/>
                <w:color w:val="0000FF"/>
                <w:w w:val="89"/>
              </w:rPr>
            </w:pPr>
            <w:hyperlink r:id="rId106">
              <w:r>
                <w:rPr>
                  <w:rFonts w:ascii="Arial" w:cs="Arial" w:eastAsia="Arial" w:hAnsi="Arial"/>
                  <w:sz w:val="18"/>
                  <w:szCs w:val="18"/>
                  <w:color w:val="0000FF"/>
                  <w:w w:val="89"/>
                </w:rPr>
                <w:t>Lease Agreement, as Amended, between Casella Associates and Casella Waste Management, Inc., dated August 1, 1993 (Montpelier lease)</w:t>
              </w:r>
            </w:hyperlink>
          </w:p>
        </w:tc>
        <w:tc>
          <w:tcPr>
            <w:tcW w:w="16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w w:val="93"/>
              </w:rPr>
            </w:pPr>
            <w:hyperlink r:id="rId106">
              <w:r>
                <w:rPr>
                  <w:rFonts w:ascii="Arial" w:cs="Arial" w:eastAsia="Arial" w:hAnsi="Arial"/>
                  <w:sz w:val="18"/>
                  <w:szCs w:val="18"/>
                  <w:color w:val="0000FF"/>
                  <w:w w:val="93"/>
                </w:rPr>
                <w:t>(incorporated herein by reference to Exhibit 10.18 to the registration statement on Form S-1 of Casella as filed on August 7, 1997 (file no.</w:t>
              </w:r>
            </w:hyperlink>
          </w:p>
        </w:tc>
      </w:tr>
      <w:tr>
        <w:trPr>
          <w:trHeight w:val="196"/>
        </w:trPr>
        <w:tc>
          <w:tcPr>
            <w:tcW w:w="920" w:type="dxa"/>
            <w:vAlign w:val="bottom"/>
          </w:tcPr>
          <w:p>
            <w:pPr>
              <w:spacing w:after="0"/>
              <w:rPr>
                <w:sz w:val="17"/>
                <w:szCs w:val="17"/>
                <w:color w:val="auto"/>
              </w:rPr>
            </w:pPr>
          </w:p>
        </w:tc>
        <w:tc>
          <w:tcPr>
            <w:tcW w:w="9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106">
              <w:r>
                <w:rPr>
                  <w:rFonts w:ascii="Arial" w:cs="Arial" w:eastAsia="Arial" w:hAnsi="Arial"/>
                  <w:sz w:val="18"/>
                  <w:szCs w:val="18"/>
                  <w:color w:val="0000FF"/>
                  <w:w w:val="89"/>
                </w:rPr>
                <w:t>333-33135)).</w:t>
              </w:r>
            </w:hyperlink>
          </w:p>
        </w:tc>
        <w:tc>
          <w:tcPr>
            <w:tcW w:w="26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9900" w:type="dxa"/>
            <w:vAlign w:val="bottom"/>
            <w:tcBorders>
              <w:bottom w:val="single" w:sz="8" w:color="0000FF"/>
            </w:tcBorders>
            <w:gridSpan w:val="21"/>
          </w:tcPr>
          <w:p>
            <w:pPr>
              <w:spacing w:after="0"/>
              <w:rPr>
                <w:rFonts w:ascii="Arial" w:cs="Arial" w:eastAsia="Arial" w:hAnsi="Arial"/>
                <w:sz w:val="18"/>
                <w:szCs w:val="18"/>
                <w:color w:val="0000FF"/>
                <w:w w:val="89"/>
              </w:rPr>
            </w:pPr>
            <w:hyperlink r:id="rId109">
              <w:r>
                <w:rPr>
                  <w:rFonts w:ascii="Arial" w:cs="Arial" w:eastAsia="Arial" w:hAnsi="Arial"/>
                  <w:sz w:val="18"/>
                  <w:szCs w:val="18"/>
                  <w:color w:val="0000FF"/>
                  <w:w w:val="89"/>
                </w:rPr>
                <w:t>Amendment to Lease Agreement dated as of March 13, 2008, between Casella Associates and Casella, amending Lease Agreement dated</w:t>
              </w:r>
            </w:hyperlink>
          </w:p>
        </w:tc>
        <w:tc>
          <w:tcPr>
            <w:tcW w:w="30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72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August 1, 1993, as amended (Montpelier lease) (incorporated herein by reference to Exhibit 10.9 to the annual report on Form 10-K of</w:t>
              </w:r>
            </w:hyperlink>
          </w:p>
        </w:tc>
        <w:tc>
          <w:tcPr>
            <w:tcW w:w="48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Casella as filed on June 27, 2014 (file no. 000-23211)).</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520" w:top="945" w:right="259" w:bottom="1440" w:gutter="0" w:footer="0" w:header="0"/>
        </w:sectPr>
      </w:pPr>
    </w:p>
    <w:p>
      <w:pPr>
        <w:spacing w:after="0" w:line="20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520" w:top="945" w:right="259" w:bottom="1440" w:gutter="0" w:footer="0" w:header="0"/>
          <w:type w:val="continuous"/>
        </w:sectPr>
      </w:pPr>
    </w:p>
    <w:bookmarkStart w:id="51" w:name="page52"/>
    <w:bookmarkEnd w:id="51"/>
    <w:p>
      <w:pPr>
        <w:ind w:left="920" w:right="24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06">
        <w:r>
          <w:rPr>
            <w:rFonts w:ascii="Arial" w:cs="Arial" w:eastAsia="Arial" w:hAnsi="Arial"/>
            <w:sz w:val="18"/>
            <w:szCs w:val="18"/>
            <w:u w:val="single" w:color="auto"/>
            <w:color w:val="0000FF"/>
          </w:rPr>
          <w:t>Lease, Operations and Maintenance Agreement between CV Landfill, Inc. and Casella Waste Systems, Inc. dated June 30, 1994</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(incorporated herein by reference to Exhibit 10.20 to the registration statement on Form S-1 of Casella as filed on August 7, 1997 (file no.</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333-33135)).</w:t>
        </w:r>
      </w:hyperlink>
    </w:p>
    <w:p>
      <w:pPr>
        <w:spacing w:after="0" w:line="141" w:lineRule="exact"/>
        <w:rPr>
          <w:rFonts w:ascii="Arial" w:cs="Arial" w:eastAsia="Arial" w:hAnsi="Arial"/>
          <w:sz w:val="18"/>
          <w:szCs w:val="18"/>
          <w:u w:val="single" w:color="auto"/>
          <w:color w:val="0000FF"/>
        </w:rPr>
      </w:pPr>
    </w:p>
    <w:p>
      <w:pPr>
        <w:ind w:left="920" w:right="4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10">
        <w:r>
          <w:rPr>
            <w:rFonts w:ascii="Arial" w:cs="Arial" w:eastAsia="Arial" w:hAnsi="Arial"/>
            <w:sz w:val="18"/>
            <w:szCs w:val="18"/>
            <w:u w:val="single" w:color="auto"/>
            <w:color w:val="0000FF"/>
          </w:rPr>
          <w:t>Employment Agreement between Casella and John W. Casella dated December 8, 1999 (incorporated herein by reference to Exhibit 10.43 to</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the annual report on Form 10-K of Casella as filed on August 4, 2000 (file no. 000-23211)).</w:t>
        </w:r>
      </w:hyperlink>
    </w:p>
    <w:p>
      <w:pPr>
        <w:spacing w:after="0" w:line="130" w:lineRule="exact"/>
        <w:rPr>
          <w:sz w:val="20"/>
          <w:szCs w:val="20"/>
          <w:color w:val="auto"/>
        </w:rPr>
      </w:pPr>
    </w:p>
    <w:p>
      <w:pPr>
        <w:ind w:left="920" w:right="2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ab/>
      </w:r>
      <w:hyperlink r:id="rId111">
        <w:r>
          <w:rPr>
            <w:rFonts w:ascii="Arial" w:cs="Arial" w:eastAsia="Arial" w:hAnsi="Arial"/>
            <w:sz w:val="17"/>
            <w:szCs w:val="17"/>
            <w:u w:val="single" w:color="auto"/>
            <w:color w:val="0000FF"/>
          </w:rPr>
          <w:t>Amendment to Employment Agreement by and between Casella and John W. Casella dated as of December 30, 2008 (incorporated herein by</w:t>
        </w:r>
      </w:hyperlink>
      <w:r>
        <w:rPr>
          <w:rFonts w:ascii="Arial" w:cs="Arial" w:eastAsia="Arial" w:hAnsi="Arial"/>
          <w:sz w:val="17"/>
          <w:szCs w:val="17"/>
          <w:u w:val="single" w:color="auto"/>
          <w:color w:val="0000FF"/>
        </w:rPr>
        <w:t xml:space="preserve"> </w:t>
      </w:r>
      <w:hyperlink r:id="rId111">
        <w:r>
          <w:rPr>
            <w:rFonts w:ascii="Arial" w:cs="Arial" w:eastAsia="Arial" w:hAnsi="Arial"/>
            <w:sz w:val="17"/>
            <w:szCs w:val="17"/>
            <w:u w:val="single" w:color="auto"/>
            <w:color w:val="0000FF"/>
          </w:rPr>
          <w:t>reference to Exhibit 10.3 to the quarterly report on Form 10-Q of Casella as filed on March 6, 2009 (file no. 000-23211)).</w:t>
        </w:r>
      </w:hyperlink>
    </w:p>
    <w:p>
      <w:pPr>
        <w:spacing w:after="0" w:line="106" w:lineRule="exact"/>
        <w:rPr>
          <w:sz w:val="20"/>
          <w:szCs w:val="20"/>
          <w:color w:val="auto"/>
        </w:rPr>
      </w:pPr>
    </w:p>
    <w:p>
      <w:pPr>
        <w:ind w:left="920" w:right="20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12">
        <w:r>
          <w:rPr>
            <w:rFonts w:ascii="Arial" w:cs="Arial" w:eastAsia="Arial" w:hAnsi="Arial"/>
            <w:sz w:val="18"/>
            <w:szCs w:val="18"/>
            <w:u w:val="single" w:color="auto"/>
            <w:color w:val="0000FF"/>
          </w:rPr>
          <w:t>2006 Stock Incentive Plan, as amended (incorporated herein by reference to Exhibit 10.13 to the annual report on Form 10-K of Casella as</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filed on March 2, 2016 (file no. 000-023211)).</w:t>
        </w:r>
      </w:hyperlink>
    </w:p>
    <w:p>
      <w:pPr>
        <w:spacing w:after="0" w:line="130" w:lineRule="exact"/>
        <w:rPr>
          <w:sz w:val="20"/>
          <w:szCs w:val="20"/>
          <w:color w:val="auto"/>
        </w:rPr>
      </w:pPr>
    </w:p>
    <w:p>
      <w:pPr>
        <w:jc w:val="both"/>
        <w:ind w:left="920" w:right="22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13">
        <w:r>
          <w:rPr>
            <w:rFonts w:ascii="Arial" w:cs="Arial" w:eastAsia="Arial" w:hAnsi="Arial"/>
            <w:sz w:val="18"/>
            <w:szCs w:val="18"/>
            <w:u w:val="single" w:color="auto"/>
            <w:color w:val="0000FF"/>
          </w:rPr>
          <w:t>Form of Incentive Stock Option Agreement granted under 2006 Stock Incentive Plan (incorporated herein by reference to Exhibit 10.14 to</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the annual report on Form 10-K of Casella as filed on June 27, 2014 (file no. 000-23211)).</w:t>
        </w:r>
      </w:hyperlink>
    </w:p>
    <w:p>
      <w:pPr>
        <w:spacing w:after="0" w:line="130" w:lineRule="exact"/>
        <w:rPr>
          <w:sz w:val="20"/>
          <w:szCs w:val="20"/>
          <w:color w:val="auto"/>
        </w:rPr>
      </w:pPr>
    </w:p>
    <w:p>
      <w:pPr>
        <w:ind w:left="920" w:right="44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14">
        <w:r>
          <w:rPr>
            <w:rFonts w:ascii="Arial" w:cs="Arial" w:eastAsia="Arial" w:hAnsi="Arial"/>
            <w:sz w:val="18"/>
            <w:szCs w:val="18"/>
            <w:u w:val="single" w:color="auto"/>
            <w:color w:val="0000FF"/>
          </w:rPr>
          <w:t>Form of Restricted Stock Agreement granted under 2006 Stock Incentive Plan (incorporated herein by reference to Exhibit 10.15 to the</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annual report on Form 10-K of Casella as filed on June 27, 2014 (file no. 000-23211)).</w:t>
        </w:r>
      </w:hyperlink>
    </w:p>
    <w:p>
      <w:pPr>
        <w:spacing w:after="0" w:line="130" w:lineRule="exact"/>
        <w:rPr>
          <w:sz w:val="20"/>
          <w:szCs w:val="20"/>
          <w:color w:val="auto"/>
        </w:rPr>
      </w:pPr>
    </w:p>
    <w:p>
      <w:pPr>
        <w:ind w:left="920" w:right="36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115">
        <w:r>
          <w:rPr>
            <w:rFonts w:ascii="Arial" w:cs="Arial" w:eastAsia="Arial" w:hAnsi="Arial"/>
            <w:sz w:val="16"/>
            <w:szCs w:val="16"/>
            <w:u w:val="single" w:color="auto"/>
            <w:color w:val="0000FF"/>
          </w:rPr>
          <w:t>Form of Restricted Share Unit Agreement granted under 2006 Stock Incentive Plan (employee with employment contract) (incorporated</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herein by reference to Exhibit 10.16 to the annual report on Form 10-K of Casella as filed on June 27, 2014 (file no. 000-23211)).</w:t>
        </w:r>
      </w:hyperlink>
    </w:p>
    <w:p>
      <w:pPr>
        <w:spacing w:after="0" w:line="83" w:lineRule="exact"/>
        <w:rPr>
          <w:sz w:val="20"/>
          <w:szCs w:val="20"/>
          <w:color w:val="auto"/>
        </w:rPr>
      </w:pPr>
    </w:p>
    <w:p>
      <w:pPr>
        <w:ind w:left="920" w:right="14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116">
        <w:r>
          <w:rPr>
            <w:rFonts w:ascii="Arial" w:cs="Arial" w:eastAsia="Arial" w:hAnsi="Arial"/>
            <w:sz w:val="16"/>
            <w:szCs w:val="16"/>
            <w:u w:val="single" w:color="auto"/>
            <w:color w:val="0000FF"/>
          </w:rPr>
          <w:t>Form of Restricted Share Unit Agreement granted under 2006 Stock Incentive Plan (employee with no employment contract) (incorporated</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herein by reference to Exhibit 10.17 to the annual report on Form 10-K of Casella as filed on June 27, 2014 (file no. 000-23211)).</w:t>
        </w:r>
      </w:hyperlink>
    </w:p>
    <w:p>
      <w:pPr>
        <w:spacing w:after="0" w:line="83" w:lineRule="exact"/>
        <w:rPr>
          <w:sz w:val="20"/>
          <w:szCs w:val="20"/>
          <w:color w:val="auto"/>
        </w:rPr>
      </w:pPr>
    </w:p>
    <w:p>
      <w:pPr>
        <w:ind w:left="920" w:right="36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117">
        <w:r>
          <w:rPr>
            <w:rFonts w:ascii="Arial" w:cs="Arial" w:eastAsia="Arial" w:hAnsi="Arial"/>
            <w:sz w:val="16"/>
            <w:szCs w:val="16"/>
            <w:u w:val="single" w:color="auto"/>
            <w:color w:val="0000FF"/>
          </w:rPr>
          <w:t>Form of Restricted Stock Unit Agreement granted under 2006 Stock Incentive Plan (employee with employment contract) (incorporated</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herein by reference to Exhibit 10.18 to the annual report on Form 10-K of Casella as filed on June 27, 2014 (file no. 000-23211)).</w:t>
        </w:r>
      </w:hyperlink>
    </w:p>
    <w:p>
      <w:pPr>
        <w:spacing w:after="0" w:line="83" w:lineRule="exact"/>
        <w:rPr>
          <w:sz w:val="20"/>
          <w:szCs w:val="20"/>
          <w:color w:val="auto"/>
        </w:rPr>
      </w:pPr>
    </w:p>
    <w:p>
      <w:pPr>
        <w:ind w:left="920" w:right="14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118">
        <w:r>
          <w:rPr>
            <w:rFonts w:ascii="Arial" w:cs="Arial" w:eastAsia="Arial" w:hAnsi="Arial"/>
            <w:sz w:val="16"/>
            <w:szCs w:val="16"/>
            <w:u w:val="single" w:color="auto"/>
            <w:color w:val="0000FF"/>
          </w:rPr>
          <w:t>Form of Restricted Stock Unit Agreement granted under 2006 Stock Incentive Plan (employee with no employment contract) (incorporated</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herein by reference to Exhibit 10.19 to the annual report on Form 10-K of Casella as filed on June 27, 2014 (file no. 000-23211)).</w:t>
        </w:r>
      </w:hyperlink>
    </w:p>
    <w:p>
      <w:pPr>
        <w:spacing w:after="0" w:line="83" w:lineRule="exact"/>
        <w:rPr>
          <w:sz w:val="20"/>
          <w:szCs w:val="20"/>
          <w:color w:val="auto"/>
        </w:rPr>
      </w:pPr>
    </w:p>
    <w:p>
      <w:pPr>
        <w:jc w:val="both"/>
        <w:ind w:left="920" w:right="24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19">
        <w:r>
          <w:rPr>
            <w:rFonts w:ascii="Arial" w:cs="Arial" w:eastAsia="Arial" w:hAnsi="Arial"/>
            <w:sz w:val="18"/>
            <w:szCs w:val="18"/>
            <w:u w:val="single" w:color="auto"/>
            <w:color w:val="0000FF"/>
          </w:rPr>
          <w:t>Form of Performance Share Unit Agreement granted under 2006 Stock Incentive Plan (incorporated herein by reference to Exhibit 10.2 to</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the quarterly report on Form 10-Q of Casella as filed on September 4, 2008 (file no. 000-23211)).</w:t>
        </w:r>
      </w:hyperlink>
    </w:p>
    <w:p>
      <w:pPr>
        <w:spacing w:after="0" w:line="130" w:lineRule="exact"/>
        <w:rPr>
          <w:sz w:val="20"/>
          <w:szCs w:val="20"/>
          <w:color w:val="auto"/>
        </w:rPr>
      </w:pPr>
    </w:p>
    <w:p>
      <w:pPr>
        <w:jc w:val="both"/>
        <w:ind w:left="920" w:right="24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20">
        <w:r>
          <w:rPr>
            <w:rFonts w:ascii="Arial" w:cs="Arial" w:eastAsia="Arial" w:hAnsi="Arial"/>
            <w:sz w:val="18"/>
            <w:szCs w:val="18"/>
            <w:u w:val="single" w:color="auto"/>
            <w:color w:val="0000FF"/>
          </w:rPr>
          <w:t>Form of Restricted Stock Unit Agreement granted under 2006 Stock Incentive Plan (adopted March 1, 2016) (employee with employment</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contract) (incorporated herein by reference to Exhibit 10.2 to the current report on Form 8-K of Casella as filed on March 7, 2016 (file no.</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000-23211)).</w:t>
        </w:r>
      </w:hyperlink>
    </w:p>
    <w:p>
      <w:pPr>
        <w:spacing w:after="0" w:line="141" w:lineRule="exact"/>
        <w:rPr>
          <w:rFonts w:ascii="Arial" w:cs="Arial" w:eastAsia="Arial" w:hAnsi="Arial"/>
          <w:sz w:val="18"/>
          <w:szCs w:val="18"/>
          <w:u w:val="single" w:color="auto"/>
          <w:color w:val="0000FF"/>
        </w:rPr>
      </w:pPr>
    </w:p>
    <w:p>
      <w:pPr>
        <w:ind w:left="92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21">
        <w:r>
          <w:rPr>
            <w:rFonts w:ascii="Arial" w:cs="Arial" w:eastAsia="Arial" w:hAnsi="Arial"/>
            <w:sz w:val="18"/>
            <w:szCs w:val="18"/>
            <w:u w:val="single" w:color="auto"/>
            <w:color w:val="0000FF"/>
          </w:rPr>
          <w:t>Form of Restricted Stock Unit Agreement granted under 2006 Stock Incentive Plan (adopted March 1, 2016) (employee with no employment</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contract) (incorporated herein by reference to Exhibit 10.3 to the current report on Form 8-K of Casella as filed on March 7, 2016 (file no.</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000-23211)).</w:t>
        </w:r>
      </w:hyperlink>
    </w:p>
    <w:p>
      <w:pPr>
        <w:spacing w:after="0" w:line="141" w:lineRule="exact"/>
        <w:rPr>
          <w:rFonts w:ascii="Arial" w:cs="Arial" w:eastAsia="Arial" w:hAnsi="Arial"/>
          <w:sz w:val="18"/>
          <w:szCs w:val="18"/>
          <w:u w:val="single" w:color="auto"/>
          <w:color w:val="0000FF"/>
        </w:rPr>
      </w:pPr>
    </w:p>
    <w:p>
      <w:pPr>
        <w:ind w:left="920" w:right="18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22">
        <w:r>
          <w:rPr>
            <w:rFonts w:ascii="Arial" w:cs="Arial" w:eastAsia="Arial" w:hAnsi="Arial"/>
            <w:sz w:val="18"/>
            <w:szCs w:val="18"/>
            <w:u w:val="single" w:color="auto"/>
            <w:color w:val="0000FF"/>
          </w:rPr>
          <w:t>Loan and Security Agreement, dated as of February 27, 2015, among Casella, the subsidiaries of Casella identified therein and Bank of</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America, N.A., as agent for the lenders party thereto (incorporated herein by reference to Exhibit 10.1 to the current report on Form 8-K of</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Casella as filed on March 3, 2015 (file no. 00-23211)).</w:t>
        </w:r>
      </w:hyperlink>
    </w:p>
    <w:p>
      <w:pPr>
        <w:spacing w:after="0" w:line="141" w:lineRule="exact"/>
        <w:rPr>
          <w:rFonts w:ascii="Arial" w:cs="Arial" w:eastAsia="Arial" w:hAnsi="Arial"/>
          <w:sz w:val="18"/>
          <w:szCs w:val="18"/>
          <w:u w:val="single" w:color="auto"/>
          <w:color w:val="0000FF"/>
        </w:rPr>
      </w:pPr>
    </w:p>
    <w:p>
      <w:pPr>
        <w:ind w:left="920" w:right="60" w:hanging="917"/>
        <w:spacing w:after="0" w:line="25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23">
        <w:r>
          <w:rPr>
            <w:rFonts w:ascii="Arial" w:cs="Arial" w:eastAsia="Arial" w:hAnsi="Arial"/>
            <w:sz w:val="18"/>
            <w:szCs w:val="18"/>
            <w:u w:val="single" w:color="auto"/>
            <w:color w:val="0000FF"/>
          </w:rPr>
          <w:t>First Amendment to Loan and Security Agreement, dated as of June 26, 2015, by and among Casella, its subsidiaries listed in Schedule 1 to</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the Loan and Security Agreement, dated as of February 27, 2015, the lenders from time to time party thereto, and Bank of America, N.A., as</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Agent (incorporated herein by reference to Exhibit 10.1 to the current report on Form 8-K of Casella as filed on June 26, 2015 (file no. 00-</w:t>
        </w:r>
      </w:hyperlink>
      <w:hyperlink r:id="rId123">
        <w:r>
          <w:rPr>
            <w:rFonts w:ascii="Arial" w:cs="Arial" w:eastAsia="Arial" w:hAnsi="Arial"/>
            <w:sz w:val="18"/>
            <w:szCs w:val="18"/>
            <w:u w:val="single" w:color="auto"/>
            <w:color w:val="0000FF"/>
          </w:rPr>
          <w:t>23211)).</w:t>
        </w:r>
      </w:hyperlink>
    </w:p>
    <w:p>
      <w:pPr>
        <w:spacing w:after="0" w:line="146" w:lineRule="exact"/>
        <w:rPr>
          <w:rFonts w:ascii="Arial" w:cs="Arial" w:eastAsia="Arial" w:hAnsi="Arial"/>
          <w:sz w:val="18"/>
          <w:szCs w:val="18"/>
          <w:u w:val="single" w:color="auto"/>
          <w:color w:val="0000FF"/>
        </w:rPr>
      </w:pPr>
    </w:p>
    <w:p>
      <w:pPr>
        <w:ind w:left="92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24">
        <w:r>
          <w:rPr>
            <w:rFonts w:ascii="Arial" w:cs="Arial" w:eastAsia="Arial" w:hAnsi="Arial"/>
            <w:sz w:val="18"/>
            <w:szCs w:val="18"/>
            <w:u w:val="single" w:color="auto"/>
            <w:color w:val="0000FF"/>
          </w:rPr>
          <w:t>Employment Agreement between Casella and Edwin D. Johnson dated as of July 6, 2010 (incorporated herein by reference to Exhibit 10.1 to</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the quarterly report on Form 10-Q of Casella as filed on September 3, 2010 (file no. 000-23211)).</w:t>
        </w:r>
      </w:hyperlink>
    </w:p>
    <w:p>
      <w:pPr>
        <w:spacing w:after="0" w:line="130" w:lineRule="exact"/>
        <w:rPr>
          <w:sz w:val="20"/>
          <w:szCs w:val="20"/>
          <w:color w:val="auto"/>
        </w:rPr>
      </w:pPr>
    </w:p>
    <w:p>
      <w:pPr>
        <w:ind w:left="920" w:right="16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25">
        <w:r>
          <w:rPr>
            <w:rFonts w:ascii="Arial" w:cs="Arial" w:eastAsia="Arial" w:hAnsi="Arial"/>
            <w:sz w:val="18"/>
            <w:szCs w:val="18"/>
            <w:u w:val="single" w:color="auto"/>
            <w:color w:val="0000FF"/>
          </w:rPr>
          <w:t>Letter Agreement between Casella and Edwin D. Johnson dated as of February 12, 2013 (incorporated herein by reference to Exhibit 10.26</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to the annual report on Form 10-K of Casella as filed on June 27, 2014 (file no. 000-23211)).</w:t>
        </w:r>
      </w:hyperlink>
    </w:p>
    <w:p>
      <w:pPr>
        <w:spacing w:after="0" w:line="34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520" w:top="962" w:right="279" w:bottom="1440" w:gutter="0" w:footer="0" w:header="0"/>
        </w:sectPr>
      </w:pPr>
    </w:p>
    <w:bookmarkStart w:id="52" w:name="page53"/>
    <w:bookmarkEnd w:id="52"/>
    <w:p>
      <w:pPr>
        <w:ind w:left="920" w:right="16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26">
        <w:r>
          <w:rPr>
            <w:rFonts w:ascii="Arial" w:cs="Arial" w:eastAsia="Arial" w:hAnsi="Arial"/>
            <w:sz w:val="18"/>
            <w:szCs w:val="18"/>
            <w:u w:val="single" w:color="auto"/>
            <w:color w:val="0000FF"/>
          </w:rPr>
          <w:t>Employment Agreement between Casella and David L. Schmitt dated as of May 31, 2006, as amended (incorporated herein by reference to</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Exhibit 10.27 to the annual report on Form 10-K of Casella as filed on June 27, 2014 (file no. 000-23211)).</w:t>
        </w:r>
      </w:hyperlink>
    </w:p>
    <w:p>
      <w:pPr>
        <w:spacing w:after="0" w:line="130"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ab/>
      </w:r>
      <w:hyperlink r:id="rId127">
        <w:r>
          <w:rPr>
            <w:rFonts w:ascii="Arial" w:cs="Arial" w:eastAsia="Arial" w:hAnsi="Arial"/>
            <w:sz w:val="16"/>
            <w:szCs w:val="16"/>
            <w:u w:val="single" w:color="auto"/>
            <w:color w:val="0000FF"/>
          </w:rPr>
          <w:t>Employment Agreement between Casella and Edmond Coletta dated as of September 1, 2012 (incorporated herein by reference to Exhibit</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10.28 to the annual report on Form 10-K of Casella as filed on June 27, 2014 (file no. 000-23211)).</w:t>
        </w:r>
      </w:hyperlink>
    </w:p>
    <w:p>
      <w:pPr>
        <w:spacing w:after="0" w:line="170"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128">
        <w:r>
          <w:rPr>
            <w:rFonts w:ascii="Arial" w:cs="Arial" w:eastAsia="Arial" w:hAnsi="Arial"/>
            <w:sz w:val="16"/>
            <w:szCs w:val="16"/>
            <w:u w:val="single" w:color="auto"/>
            <w:color w:val="0000FF"/>
          </w:rPr>
          <w:t>Employment Agreement between Casella and Christopher B. Heald dated as of March 1, 2016 (incorporated herein by reference to Exhibit</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10.4 to the current report on Form 8-K of Casella as filed on March 7, 2016 (file no. 000-23211)).</w:t>
        </w:r>
      </w:hyperlink>
    </w:p>
    <w:p>
      <w:pPr>
        <w:spacing w:after="0" w:line="170" w:lineRule="exact"/>
        <w:rPr>
          <w:sz w:val="20"/>
          <w:szCs w:val="20"/>
          <w:color w:val="auto"/>
        </w:rPr>
      </w:pPr>
    </w:p>
    <w:p>
      <w:pPr>
        <w:jc w:val="both"/>
        <w:ind w:left="920" w:right="220" w:hanging="917"/>
        <w:spacing w:after="0" w:line="31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10.30</w:t>
      </w:r>
      <w:r>
        <w:rPr>
          <w:sz w:val="20"/>
          <w:szCs w:val="20"/>
          <w:color w:val="auto"/>
        </w:rPr>
        <w:tab/>
      </w:r>
      <w:hyperlink r:id="rId129">
        <w:r>
          <w:rPr>
            <w:rFonts w:ascii="Arial" w:cs="Arial" w:eastAsia="Arial" w:hAnsi="Arial"/>
            <w:sz w:val="16"/>
            <w:szCs w:val="16"/>
            <w:u w:val="single" w:color="auto"/>
            <w:color w:val="0000FF"/>
          </w:rPr>
          <w:t>Extension of Lease Agreements dated as of April 23, 2013, between Casella Associates and Casella, amending (i) Lease Agreement dated</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August 1, 1993, as amended (Montpelier lease) and (ii) Lease Agreement dated August 1, 1993, as amended (Rutland lease) (incorporated</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herein by reference to Exhibit 10.29 to the annual report on Form 10-K of Casella as filed on June 27, 2014 (file no. 000-23211)).</w:t>
        </w:r>
      </w:hyperlink>
    </w:p>
    <w:p>
      <w:pPr>
        <w:spacing w:after="0" w:line="106" w:lineRule="exact"/>
        <w:rPr>
          <w:rFonts w:ascii="Arial" w:cs="Arial" w:eastAsia="Arial" w:hAnsi="Arial"/>
          <w:sz w:val="16"/>
          <w:szCs w:val="16"/>
          <w:u w:val="single" w:color="auto"/>
          <w:color w:val="0000FF"/>
        </w:rPr>
      </w:pPr>
    </w:p>
    <w:p>
      <w:pPr>
        <w:ind w:left="920" w:right="24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130">
        <w:r>
          <w:rPr>
            <w:rFonts w:ascii="Arial" w:cs="Arial" w:eastAsia="Arial" w:hAnsi="Arial"/>
            <w:sz w:val="18"/>
            <w:szCs w:val="18"/>
            <w:u w:val="single" w:color="auto"/>
            <w:color w:val="0000FF"/>
          </w:rPr>
          <w:t>Credit Agreement, dated as of October 17, 2016, among Casella Waste Systems, Inc., the subsidiaries of Casella Waste Systems, Inc.</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identified therein and Bank of America, N.A., as agent for the lender party thereto (incorporated herein by reference to Exhibit 10.1 of the</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current report on Form 8-K as filed October 17, 2016 (file no. 000-23211)).</w:t>
        </w:r>
      </w:hyperlink>
    </w:p>
    <w:p>
      <w:pPr>
        <w:spacing w:after="0" w:line="141" w:lineRule="exact"/>
        <w:rPr>
          <w:rFonts w:ascii="Arial" w:cs="Arial" w:eastAsia="Arial" w:hAnsi="Arial"/>
          <w:sz w:val="18"/>
          <w:szCs w:val="18"/>
          <w:u w:val="single" w:color="auto"/>
          <w:color w:val="0000FF"/>
        </w:rPr>
      </w:pPr>
    </w:p>
    <w:p>
      <w:pPr>
        <w:ind w:left="920" w:right="160" w:hanging="917"/>
        <w:spacing w:after="0" w:line="31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r:id="rId131">
        <w:r>
          <w:rPr>
            <w:rFonts w:ascii="Arial" w:cs="Arial" w:eastAsia="Arial" w:hAnsi="Arial"/>
            <w:sz w:val="16"/>
            <w:szCs w:val="16"/>
            <w:u w:val="single" w:color="auto"/>
            <w:color w:val="0000FF"/>
          </w:rPr>
          <w:t>First Amendment to Credit Agreement, dated as of April 18, 2017, by and among Casella Waste Systems, Inc., the subsidiaries of Casella</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Waste Systems, Inc. identified therein, the lenders party thereto and Bank of America N.A., as administrative agent (incorporated herein by</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reference to Exhibit 10.1 to the Current Report on Form 8-K of Casella as filed on April 18, 2017 (file No. 000-23211)).</w:t>
        </w:r>
      </w:hyperlink>
    </w:p>
    <w:p>
      <w:pPr>
        <w:spacing w:after="0" w:line="106" w:lineRule="exact"/>
        <w:rPr>
          <w:rFonts w:ascii="Arial" w:cs="Arial" w:eastAsia="Arial" w:hAnsi="Arial"/>
          <w:sz w:val="16"/>
          <w:szCs w:val="16"/>
          <w:u w:val="single" w:color="auto"/>
          <w:color w:val="0000FF"/>
        </w:rPr>
      </w:pPr>
    </w:p>
    <w:p>
      <w:pPr>
        <w:ind w:left="920" w:right="14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132">
        <w:r>
          <w:rPr>
            <w:rFonts w:ascii="Arial" w:cs="Arial" w:eastAsia="Arial" w:hAnsi="Arial"/>
            <w:sz w:val="18"/>
            <w:szCs w:val="18"/>
            <w:u w:val="single" w:color="auto"/>
            <w:color w:val="0000FF"/>
          </w:rPr>
          <w:t>Casella Waste Systems, Inc. Non-Equity Incentive Plan (incorporated herein by reference to Exhibit 10.1 of the current report on Form 8-K</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of Casella as filed on March 7, 2016 (file no. 000-23211)).</w:t>
        </w:r>
      </w:hyperlink>
    </w:p>
    <w:p>
      <w:pPr>
        <w:spacing w:after="0" w:line="130" w:lineRule="exact"/>
        <w:rPr>
          <w:sz w:val="20"/>
          <w:szCs w:val="20"/>
          <w:color w:val="auto"/>
        </w:rPr>
      </w:pPr>
    </w:p>
    <w:p>
      <w:pPr>
        <w:ind w:left="920" w:right="2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133">
        <w:r>
          <w:rPr>
            <w:rFonts w:ascii="Arial" w:cs="Arial" w:eastAsia="Arial" w:hAnsi="Arial"/>
            <w:sz w:val="18"/>
            <w:szCs w:val="18"/>
            <w:u w:val="single" w:color="auto"/>
            <w:color w:val="0000FF"/>
          </w:rPr>
          <w:t>Casella Waste Systems, Inc. 2016 Incentive Plan (incorporated herein by reference to Exhibit 99.1 to the Registration Statement on Form S-8</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of Casella as filed on November 17, 2016 (file No. 333-214683)).</w:t>
        </w:r>
      </w:hyperlink>
    </w:p>
    <w:p>
      <w:pPr>
        <w:spacing w:after="0" w:line="130" w:lineRule="exact"/>
        <w:rPr>
          <w:sz w:val="20"/>
          <w:szCs w:val="20"/>
          <w:color w:val="auto"/>
        </w:rPr>
      </w:pPr>
    </w:p>
    <w:p>
      <w:pPr>
        <w:ind w:left="920" w:right="68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10.35*</w:t>
      </w:r>
      <w:r>
        <w:rPr>
          <w:sz w:val="20"/>
          <w:szCs w:val="20"/>
          <w:color w:val="auto"/>
        </w:rPr>
        <w:tab/>
      </w:r>
      <w:hyperlink r:id="rId134">
        <w:r>
          <w:rPr>
            <w:rFonts w:ascii="Arial" w:cs="Arial" w:eastAsia="Arial" w:hAnsi="Arial"/>
            <w:sz w:val="16"/>
            <w:szCs w:val="16"/>
            <w:u w:val="single" w:color="auto"/>
            <w:color w:val="0000FF"/>
          </w:rPr>
          <w:t>Form of Restricted Stock Unit Agreement under 2016 Incentive Plan (employee with employment contract) (incorporated herein by</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reference to Exhibit 10.1 to the current report on Form 8-K of Casella as filed on November 22, 2016 (file No. 000-23211)).</w:t>
        </w:r>
      </w:hyperlink>
    </w:p>
    <w:p>
      <w:pPr>
        <w:spacing w:after="0" w:line="83" w:lineRule="exact"/>
        <w:rPr>
          <w:sz w:val="20"/>
          <w:szCs w:val="20"/>
          <w:color w:val="auto"/>
        </w:rPr>
      </w:pPr>
    </w:p>
    <w:p>
      <w:pPr>
        <w:ind w:left="920" w:right="46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10.36*</w:t>
      </w:r>
      <w:r>
        <w:rPr>
          <w:sz w:val="20"/>
          <w:szCs w:val="20"/>
          <w:color w:val="auto"/>
        </w:rPr>
        <w:tab/>
      </w:r>
      <w:hyperlink r:id="rId135">
        <w:r>
          <w:rPr>
            <w:rFonts w:ascii="Arial" w:cs="Arial" w:eastAsia="Arial" w:hAnsi="Arial"/>
            <w:sz w:val="16"/>
            <w:szCs w:val="16"/>
            <w:u w:val="single" w:color="auto"/>
            <w:color w:val="0000FF"/>
          </w:rPr>
          <w:t>Form of Restricted Stock Unit Agreement under 2016 Incentive Plan (employee with no employment contract) (incorporated herein by</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reference to Exhibit 10.2 to the current report on Form 8-K of Casella as filed on November 22, 2016 (file No. 000-23211)).</w:t>
        </w:r>
      </w:hyperlink>
    </w:p>
    <w:p>
      <w:pPr>
        <w:spacing w:after="0" w:line="83" w:lineRule="exact"/>
        <w:rPr>
          <w:sz w:val="20"/>
          <w:szCs w:val="20"/>
          <w:color w:val="auto"/>
        </w:rPr>
      </w:pPr>
    </w:p>
    <w:p>
      <w:pPr>
        <w:ind w:left="92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10.37*</w:t>
      </w:r>
      <w:r>
        <w:rPr>
          <w:sz w:val="20"/>
          <w:szCs w:val="20"/>
          <w:color w:val="auto"/>
        </w:rPr>
        <w:tab/>
      </w:r>
      <w:hyperlink r:id="rId136">
        <w:r>
          <w:rPr>
            <w:rFonts w:ascii="Arial" w:cs="Arial" w:eastAsia="Arial" w:hAnsi="Arial"/>
            <w:sz w:val="17"/>
            <w:szCs w:val="17"/>
            <w:u w:val="single" w:color="auto"/>
            <w:color w:val="0000FF"/>
          </w:rPr>
          <w:t>Form of Performance-Based Stock Unit Agreement under 2016 Incentive Plan (employee with employment contract) (incorporated herein by</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reference to Exhibit 10.3 to the current report on Form 8-K of Casella as filed on November 22, 2016 (file No. 000-23211)).</w:t>
        </w:r>
      </w:hyperlink>
    </w:p>
    <w:p>
      <w:pPr>
        <w:spacing w:after="0" w:line="106" w:lineRule="exact"/>
        <w:rPr>
          <w:sz w:val="20"/>
          <w:szCs w:val="20"/>
          <w:color w:val="auto"/>
        </w:rPr>
      </w:pPr>
    </w:p>
    <w:p>
      <w:pPr>
        <w:ind w:left="92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10.38*</w:t>
      </w:r>
      <w:r>
        <w:rPr>
          <w:sz w:val="20"/>
          <w:szCs w:val="20"/>
          <w:color w:val="auto"/>
        </w:rPr>
        <w:tab/>
      </w:r>
      <w:hyperlink r:id="rId137">
        <w:r>
          <w:rPr>
            <w:rFonts w:ascii="Arial" w:cs="Arial" w:eastAsia="Arial" w:hAnsi="Arial"/>
            <w:sz w:val="17"/>
            <w:szCs w:val="17"/>
            <w:u w:val="single" w:color="auto"/>
            <w:color w:val="0000FF"/>
          </w:rPr>
          <w:t>Form of Performance-Based Stock Unit Agreement under 2016 Incentive Plan (employee with no employment contract) (incorporated herein</w:t>
        </w:r>
      </w:hyperlink>
      <w:r>
        <w:rPr>
          <w:rFonts w:ascii="Arial" w:cs="Arial" w:eastAsia="Arial" w:hAnsi="Arial"/>
          <w:sz w:val="17"/>
          <w:szCs w:val="17"/>
          <w:u w:val="single" w:color="auto"/>
          <w:color w:val="0000FF"/>
        </w:rPr>
        <w:t xml:space="preserve"> </w:t>
      </w:r>
      <w:hyperlink r:id="rId137">
        <w:r>
          <w:rPr>
            <w:rFonts w:ascii="Arial" w:cs="Arial" w:eastAsia="Arial" w:hAnsi="Arial"/>
            <w:sz w:val="17"/>
            <w:szCs w:val="17"/>
            <w:u w:val="single" w:color="auto"/>
            <w:color w:val="0000FF"/>
          </w:rPr>
          <w:t>by reference to Exhibit 10.4 to the current report on Form 8-K of Casella as filed on November 22, 2016 (file No. 000-23211)).</w:t>
        </w:r>
      </w:hyperlink>
    </w:p>
    <w:p>
      <w:pPr>
        <w:spacing w:after="0" w:line="106" w:lineRule="exact"/>
        <w:rPr>
          <w:sz w:val="20"/>
          <w:szCs w:val="20"/>
          <w:color w:val="auto"/>
        </w:rPr>
      </w:pPr>
    </w:p>
    <w:p>
      <w:pPr>
        <w:ind w:left="920" w:right="32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138">
        <w:r>
          <w:rPr>
            <w:rFonts w:ascii="Arial" w:cs="Arial" w:eastAsia="Arial" w:hAnsi="Arial"/>
            <w:sz w:val="18"/>
            <w:szCs w:val="18"/>
            <w:u w:val="single" w:color="auto"/>
            <w:color w:val="0000FF"/>
          </w:rPr>
          <w:t>Form of Restricted Stock Agreement under 2016 Incentive Plan (incorporated herein by reference to Exhibit 10.5 to the current report on</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Form 8-K of Casella as filed on November 22, 2016 (file No. 000-23211)).</w:t>
        </w:r>
      </w:hyperlink>
    </w:p>
    <w:p>
      <w:pPr>
        <w:spacing w:after="0" w:line="130" w:lineRule="exact"/>
        <w:rPr>
          <w:sz w:val="20"/>
          <w:szCs w:val="20"/>
          <w:color w:val="auto"/>
        </w:rPr>
      </w:pPr>
    </w:p>
    <w:p>
      <w:pPr>
        <w:ind w:left="920" w:right="56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10.40*</w:t>
      </w:r>
      <w:r>
        <w:rPr>
          <w:sz w:val="20"/>
          <w:szCs w:val="20"/>
          <w:color w:val="auto"/>
        </w:rPr>
        <w:tab/>
      </w:r>
      <w:hyperlink r:id="rId139">
        <w:r>
          <w:rPr>
            <w:rFonts w:ascii="Arial" w:cs="Arial" w:eastAsia="Arial" w:hAnsi="Arial"/>
            <w:sz w:val="16"/>
            <w:szCs w:val="16"/>
            <w:u w:val="single" w:color="auto"/>
            <w:color w:val="0000FF"/>
          </w:rPr>
          <w:t>Form of Incentive Stock Option Agreement under 2016 Incentive Plan (employee with employment contract) (incorporated herein by</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reference to Exhibit 10.6 to the current report on Form 8-K of Casella as filed on November 22, 2016 (file No. 000-23211)).</w:t>
        </w:r>
      </w:hyperlink>
    </w:p>
    <w:p>
      <w:pPr>
        <w:spacing w:after="0" w:line="83"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10.41*</w:t>
      </w:r>
      <w:r>
        <w:rPr>
          <w:sz w:val="20"/>
          <w:szCs w:val="20"/>
          <w:color w:val="auto"/>
        </w:rPr>
        <w:tab/>
      </w:r>
      <w:hyperlink r:id="rId140">
        <w:r>
          <w:rPr>
            <w:rFonts w:ascii="Arial" w:cs="Arial" w:eastAsia="Arial" w:hAnsi="Arial"/>
            <w:sz w:val="16"/>
            <w:szCs w:val="16"/>
            <w:u w:val="single" w:color="auto"/>
            <w:color w:val="0000FF"/>
          </w:rPr>
          <w:t>Form of Nonstatutory Stock Option Agreement under 2016 Incentive Plan (employee with employment contract) (incorporated herein by</w:t>
        </w:r>
      </w:hyperlink>
    </w:p>
    <w:p>
      <w:pPr>
        <w:spacing w:after="0" w:line="23" w:lineRule="exact"/>
        <w:rPr>
          <w:sz w:val="20"/>
          <w:szCs w:val="20"/>
          <w:color w:val="auto"/>
        </w:rPr>
      </w:pPr>
    </w:p>
    <w:p>
      <w:pPr>
        <w:jc w:val="center"/>
        <w:ind w:right="320"/>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reference to Exhibit 10.7 to the current report on Form 8-K of Casella as filed on November 22, 2016 (file No. 000-23211)).</w:t>
        </w:r>
      </w:hyperlink>
    </w:p>
    <w:p>
      <w:pPr>
        <w:spacing w:after="0" w:line="170"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10.42*</w:t>
      </w:r>
      <w:r>
        <w:rPr>
          <w:sz w:val="20"/>
          <w:szCs w:val="20"/>
          <w:color w:val="auto"/>
        </w:rPr>
        <w:tab/>
      </w:r>
      <w:hyperlink r:id="rId141">
        <w:r>
          <w:rPr>
            <w:rFonts w:ascii="Arial" w:cs="Arial" w:eastAsia="Arial" w:hAnsi="Arial"/>
            <w:sz w:val="16"/>
            <w:szCs w:val="16"/>
            <w:u w:val="single" w:color="auto"/>
            <w:color w:val="0000FF"/>
          </w:rPr>
          <w:t>Form of Incentive Stock Option Agreement under 2016 Incentive Plan (employee with no employment contract) (incorporated herein by</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reference to Exhibit 10.8 to the current report on Form 8-K of Casella as filed on November 22, 2016 (file No. 000-23211)).</w:t>
        </w:r>
      </w:hyperlink>
    </w:p>
    <w:p>
      <w:pPr>
        <w:spacing w:after="0" w:line="170" w:lineRule="exact"/>
        <w:rPr>
          <w:sz w:val="20"/>
          <w:szCs w:val="20"/>
          <w:color w:val="auto"/>
        </w:rPr>
      </w:pPr>
    </w:p>
    <w:p>
      <w:pPr>
        <w:ind w:left="920" w:right="8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10.43*</w:t>
      </w:r>
      <w:r>
        <w:rPr>
          <w:sz w:val="20"/>
          <w:szCs w:val="20"/>
          <w:color w:val="auto"/>
        </w:rPr>
        <w:tab/>
      </w:r>
      <w:hyperlink r:id="rId142">
        <w:r>
          <w:rPr>
            <w:rFonts w:ascii="Arial" w:cs="Arial" w:eastAsia="Arial" w:hAnsi="Arial"/>
            <w:sz w:val="17"/>
            <w:szCs w:val="17"/>
            <w:u w:val="single" w:color="auto"/>
            <w:color w:val="0000FF"/>
          </w:rPr>
          <w:t>Form of Nonstatutory Stock Option Agreement under 2016 Incentive Plan (employee with no employment contract) (incorporated herein by</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reference to Exhibit 10.9 to the current report on Form 8-K of Casella as filed on November 22, 2016 (file No. 000-23211)).</w:t>
        </w:r>
      </w:hyperlink>
    </w:p>
    <w:p>
      <w:pPr>
        <w:spacing w:after="0" w:line="106"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10.44*</w:t>
      </w:r>
      <w:r>
        <w:rPr>
          <w:sz w:val="20"/>
          <w:szCs w:val="20"/>
          <w:color w:val="auto"/>
        </w:rPr>
        <w:tab/>
      </w:r>
      <w:hyperlink r:id="rId143">
        <w:r>
          <w:rPr>
            <w:rFonts w:ascii="Arial" w:cs="Arial" w:eastAsia="Arial" w:hAnsi="Arial"/>
            <w:sz w:val="16"/>
            <w:szCs w:val="16"/>
            <w:u w:val="single" w:color="auto"/>
            <w:color w:val="0000FF"/>
          </w:rPr>
          <w:t>Form of Performance-Based Stock Option Agreement under 2016 Incentive Plan (employee with employment contract) (incorporated herein</w:t>
        </w:r>
      </w:hyperlink>
    </w:p>
    <w:p>
      <w:pPr>
        <w:spacing w:after="0" w:line="23" w:lineRule="exact"/>
        <w:rPr>
          <w:sz w:val="20"/>
          <w:szCs w:val="20"/>
          <w:color w:val="auto"/>
        </w:rPr>
      </w:pPr>
    </w:p>
    <w:p>
      <w:pPr>
        <w:jc w:val="center"/>
        <w:ind w:right="20"/>
        <w:spacing w:after="0"/>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by reference to Exhibit 10.10 to the current report on Form 8-K of Casella as filed on November 22, 2016 (file No. 000-23211)).</w:t>
        </w:r>
      </w:hyperlink>
    </w:p>
    <w:p>
      <w:pPr>
        <w:spacing w:after="0" w:line="38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520" w:top="963" w:right="279" w:bottom="1440" w:gutter="0" w:footer="0" w:header="0"/>
        </w:sectPr>
      </w:pPr>
    </w:p>
    <w:bookmarkStart w:id="53" w:name="page54"/>
    <w:bookmarkEnd w:id="53"/>
    <w:tbl>
      <w:tblPr>
        <w:tblLayout w:type="fixed"/>
        <w:tblInd w:w="200" w:type="dxa"/>
        <w:tblCellMar>
          <w:top w:w="0" w:type="dxa"/>
          <w:left w:w="0" w:type="dxa"/>
          <w:bottom w:w="0" w:type="dxa"/>
          <w:right w:w="0" w:type="dxa"/>
        </w:tblCellMar>
      </w:tblPr>
      <w:tr>
        <w:trPr>
          <w:trHeight w:val="207"/>
        </w:trPr>
        <w:tc>
          <w:tcPr>
            <w:tcW w:w="980" w:type="dxa"/>
            <w:vAlign w:val="bottom"/>
          </w:tcPr>
          <w:p>
            <w:pPr>
              <w:jc w:val="center"/>
              <w:ind w:right="230"/>
              <w:spacing w:after="0"/>
              <w:rPr>
                <w:sz w:val="20"/>
                <w:szCs w:val="20"/>
                <w:color w:val="auto"/>
              </w:rPr>
            </w:pPr>
            <w:r>
              <w:rPr>
                <w:rFonts w:ascii="Arial" w:cs="Arial" w:eastAsia="Arial" w:hAnsi="Arial"/>
                <w:sz w:val="18"/>
                <w:szCs w:val="18"/>
                <w:color w:val="auto"/>
                <w:w w:val="95"/>
              </w:rPr>
              <w:t>10.45*</w:t>
            </w:r>
          </w:p>
        </w:tc>
        <w:tc>
          <w:tcPr>
            <w:tcW w:w="9880" w:type="dxa"/>
            <w:vAlign w:val="bottom"/>
            <w:tcBorders>
              <w:bottom w:val="single" w:sz="8" w:color="0000FF"/>
            </w:tcBorders>
            <w:gridSpan w:val="6"/>
          </w:tcPr>
          <w:p>
            <w:pPr>
              <w:spacing w:after="0"/>
              <w:rPr>
                <w:rFonts w:ascii="Arial" w:cs="Arial" w:eastAsia="Arial" w:hAnsi="Arial"/>
                <w:sz w:val="18"/>
                <w:szCs w:val="18"/>
                <w:color w:val="0000FF"/>
                <w:w w:val="91"/>
              </w:rPr>
            </w:pPr>
            <w:hyperlink r:id="rId144">
              <w:r>
                <w:rPr>
                  <w:rFonts w:ascii="Arial" w:cs="Arial" w:eastAsia="Arial" w:hAnsi="Arial"/>
                  <w:sz w:val="18"/>
                  <w:szCs w:val="18"/>
                  <w:color w:val="0000FF"/>
                  <w:w w:val="91"/>
                </w:rPr>
                <w:t>Form of Performance-Based Stock Option Agreement under 2016 Incentive Plan (employee with no employment contract) (incorporated</w:t>
              </w:r>
            </w:hyperlink>
          </w:p>
        </w:tc>
        <w:tc>
          <w:tcPr>
            <w:tcW w:w="20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80" w:type="dxa"/>
            <w:vAlign w:val="bottom"/>
            <w:gridSpan w:val="9"/>
          </w:tcPr>
          <w:p>
            <w:pPr>
              <w:spacing w:after="0" w:line="196" w:lineRule="exact"/>
              <w:rPr>
                <w:rFonts w:ascii="Arial" w:cs="Arial" w:eastAsia="Arial" w:hAnsi="Arial"/>
                <w:sz w:val="18"/>
                <w:szCs w:val="18"/>
                <w:color w:val="0000FF"/>
                <w:w w:val="94"/>
              </w:rPr>
            </w:pPr>
            <w:hyperlink r:id="rId144">
              <w:r>
                <w:rPr>
                  <w:rFonts w:ascii="Arial" w:cs="Arial" w:eastAsia="Arial" w:hAnsi="Arial"/>
                  <w:sz w:val="18"/>
                  <w:szCs w:val="18"/>
                  <w:color w:val="0000FF"/>
                  <w:w w:val="94"/>
                </w:rPr>
                <w:t>herein by reference to Exhibit 10.11 to the current report on Form 8-K of Casella as filed on November 22, 2016 (file No. 000-23211)).</w:t>
              </w:r>
            </w:hyperlink>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80" w:type="dxa"/>
            <w:vAlign w:val="bottom"/>
          </w:tcPr>
          <w:p>
            <w:pPr>
              <w:jc w:val="center"/>
              <w:ind w:right="230"/>
              <w:spacing w:after="0"/>
              <w:rPr>
                <w:sz w:val="20"/>
                <w:szCs w:val="20"/>
                <w:color w:val="auto"/>
              </w:rPr>
            </w:pPr>
            <w:r>
              <w:rPr>
                <w:rFonts w:ascii="Arial" w:cs="Arial" w:eastAsia="Arial" w:hAnsi="Arial"/>
                <w:sz w:val="18"/>
                <w:szCs w:val="18"/>
                <w:color w:val="auto"/>
                <w:w w:val="95"/>
              </w:rPr>
              <w:t>10.46*</w:t>
            </w:r>
          </w:p>
        </w:tc>
        <w:tc>
          <w:tcPr>
            <w:tcW w:w="9980" w:type="dxa"/>
            <w:vAlign w:val="bottom"/>
            <w:tcBorders>
              <w:bottom w:val="single" w:sz="8" w:color="0000FF"/>
            </w:tcBorders>
            <w:gridSpan w:val="7"/>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Form of Restricted Stock Unit Agreement under 2016 Incentive Plan (non-employee director) (incorporated herein by reference to Exhibit</w:t>
              </w:r>
            </w:hyperlink>
          </w:p>
        </w:tc>
        <w:tc>
          <w:tcPr>
            <w:tcW w:w="100" w:type="dxa"/>
            <w:vAlign w:val="bottom"/>
            <w:gridSpan w:val="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080" w:type="dxa"/>
            <w:vAlign w:val="bottom"/>
            <w:gridSpan w:val="9"/>
          </w:tcPr>
          <w:p>
            <w:pPr>
              <w:spacing w:after="0" w:line="196" w:lineRule="exact"/>
              <w:rPr>
                <w:rFonts w:ascii="Arial" w:cs="Arial" w:eastAsia="Arial" w:hAnsi="Arial"/>
                <w:sz w:val="18"/>
                <w:szCs w:val="18"/>
                <w:color w:val="0000FF"/>
              </w:rPr>
            </w:pPr>
            <w:hyperlink r:id="rId145">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quarterly report on Form 10-Q of Casella as filed on November 2, 2017 (file No. 000-23211)).</w:t>
              </w:r>
            </w:hyperlink>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980" w:type="dxa"/>
            <w:vAlign w:val="bottom"/>
          </w:tcPr>
          <w:p>
            <w:pPr>
              <w:jc w:val="center"/>
              <w:ind w:right="230"/>
              <w:spacing w:after="0"/>
              <w:rPr>
                <w:sz w:val="20"/>
                <w:szCs w:val="20"/>
                <w:color w:val="auto"/>
              </w:rPr>
            </w:pPr>
            <w:r>
              <w:rPr>
                <w:rFonts w:ascii="Arial" w:cs="Arial" w:eastAsia="Arial" w:hAnsi="Arial"/>
                <w:sz w:val="18"/>
                <w:szCs w:val="18"/>
                <w:color w:val="auto"/>
                <w:w w:val="90"/>
              </w:rPr>
              <w:t>31.1 +</w:t>
            </w:r>
          </w:p>
        </w:tc>
        <w:tc>
          <w:tcPr>
            <w:tcW w:w="10080" w:type="dxa"/>
            <w:vAlign w:val="bottom"/>
            <w:gridSpan w:val="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Certification of John W. Casella, Principal Executive Officer, pursuant to Section 302 of the Sarbanes – Oxley Act of 2002.</w:t>
              </w:r>
            </w:hyperlink>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80" w:type="dxa"/>
            <w:vAlign w:val="bottom"/>
          </w:tcPr>
          <w:p>
            <w:pPr>
              <w:jc w:val="center"/>
              <w:ind w:right="230"/>
              <w:spacing w:after="0"/>
              <w:rPr>
                <w:sz w:val="20"/>
                <w:szCs w:val="20"/>
                <w:color w:val="auto"/>
              </w:rPr>
            </w:pPr>
            <w:r>
              <w:rPr>
                <w:rFonts w:ascii="Arial" w:cs="Arial" w:eastAsia="Arial" w:hAnsi="Arial"/>
                <w:sz w:val="18"/>
                <w:szCs w:val="18"/>
                <w:color w:val="auto"/>
                <w:w w:val="90"/>
              </w:rPr>
              <w:t>31.2 +</w:t>
            </w:r>
          </w:p>
        </w:tc>
        <w:tc>
          <w:tcPr>
            <w:tcW w:w="10080" w:type="dxa"/>
            <w:vAlign w:val="bottom"/>
            <w:gridSpan w:val="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Certification of Edmond R. Coletta, Principal Financial Officer, pursuant to Section 302 of the Sarbanes – Oxley Act of 2002.</w:t>
              </w:r>
            </w:hyperlink>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60" w:type="dxa"/>
            <w:vAlign w:val="bottom"/>
            <w:gridSpan w:val="3"/>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80" w:type="dxa"/>
            <w:vAlign w:val="bottom"/>
          </w:tcPr>
          <w:p>
            <w:pPr>
              <w:jc w:val="center"/>
              <w:ind w:right="250"/>
              <w:spacing w:after="0"/>
              <w:rPr>
                <w:sz w:val="20"/>
                <w:szCs w:val="20"/>
                <w:color w:val="auto"/>
              </w:rPr>
            </w:pPr>
            <w:r>
              <w:rPr>
                <w:rFonts w:ascii="Arial" w:cs="Arial" w:eastAsia="Arial" w:hAnsi="Arial"/>
                <w:sz w:val="18"/>
                <w:szCs w:val="18"/>
                <w:color w:val="auto"/>
                <w:w w:val="91"/>
              </w:rPr>
              <w:t>32.1 ++</w:t>
            </w:r>
          </w:p>
        </w:tc>
        <w:tc>
          <w:tcPr>
            <w:tcW w:w="1008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Certification of Chief Executive Officer pursuant to 18 U.S.C. Section 1350, as adopted pursuant to Section 906 of the Sarbanes- Oxley Act</w:t>
              </w:r>
            </w:hyperlink>
          </w:p>
        </w:tc>
      </w:tr>
      <w:tr>
        <w:trPr>
          <w:trHeight w:val="196"/>
        </w:trPr>
        <w:tc>
          <w:tcPr>
            <w:tcW w:w="980" w:type="dxa"/>
            <w:vAlign w:val="bottom"/>
          </w:tcPr>
          <w:p>
            <w:pPr>
              <w:spacing w:after="0"/>
              <w:rPr>
                <w:sz w:val="17"/>
                <w:szCs w:val="17"/>
                <w:color w:val="auto"/>
              </w:rPr>
            </w:pPr>
          </w:p>
        </w:tc>
        <w:tc>
          <w:tcPr>
            <w:tcW w:w="10080" w:type="dxa"/>
            <w:vAlign w:val="bottom"/>
            <w:gridSpan w:val="9"/>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of 2002.</w:t>
              </w:r>
            </w:hyperlink>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80" w:type="dxa"/>
            <w:vAlign w:val="bottom"/>
          </w:tcPr>
          <w:p>
            <w:pPr>
              <w:jc w:val="center"/>
              <w:ind w:right="250"/>
              <w:spacing w:after="0"/>
              <w:rPr>
                <w:sz w:val="20"/>
                <w:szCs w:val="20"/>
                <w:color w:val="auto"/>
              </w:rPr>
            </w:pPr>
            <w:r>
              <w:rPr>
                <w:rFonts w:ascii="Arial" w:cs="Arial" w:eastAsia="Arial" w:hAnsi="Arial"/>
                <w:sz w:val="18"/>
                <w:szCs w:val="18"/>
                <w:color w:val="auto"/>
                <w:w w:val="91"/>
              </w:rPr>
              <w:t>32.2 ++</w:t>
            </w:r>
          </w:p>
        </w:tc>
        <w:tc>
          <w:tcPr>
            <w:tcW w:w="1004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Certification of Chief Financial Officer pursuant to 18 U.S.C. Section 1350, as adopted pursuant to Section 906 of the Sarbanes- Oxley Act</w:t>
              </w:r>
            </w:hyperlink>
          </w:p>
        </w:tc>
        <w:tc>
          <w:tcPr>
            <w:tcW w:w="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080" w:type="dxa"/>
            <w:vAlign w:val="bottom"/>
            <w:gridSpan w:val="9"/>
          </w:tcPr>
          <w:p>
            <w:pPr>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of 2002.</w:t>
              </w:r>
            </w:hyperlink>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80" w:type="dxa"/>
            <w:vAlign w:val="bottom"/>
            <w:gridSpan w:val="8"/>
          </w:tcPr>
          <w:p>
            <w:pPr>
              <w:spacing w:after="0" w:line="20" w:lineRule="exact"/>
              <w:rPr>
                <w:sz w:val="1"/>
                <w:szCs w:val="1"/>
                <w:color w:val="auto"/>
              </w:rPr>
            </w:pPr>
          </w:p>
        </w:tc>
      </w:tr>
      <w:tr>
        <w:trPr>
          <w:trHeight w:val="412"/>
        </w:trPr>
        <w:tc>
          <w:tcPr>
            <w:tcW w:w="980" w:type="dxa"/>
            <w:vAlign w:val="bottom"/>
          </w:tcPr>
          <w:p>
            <w:pPr>
              <w:jc w:val="center"/>
              <w:ind w:right="230"/>
              <w:spacing w:after="0"/>
              <w:rPr>
                <w:sz w:val="20"/>
                <w:szCs w:val="20"/>
                <w:color w:val="auto"/>
              </w:rPr>
            </w:pPr>
            <w:r>
              <w:rPr>
                <w:rFonts w:ascii="Arial" w:cs="Arial" w:eastAsia="Arial" w:hAnsi="Arial"/>
                <w:sz w:val="18"/>
                <w:szCs w:val="18"/>
                <w:color w:val="auto"/>
                <w:w w:val="95"/>
              </w:rPr>
              <w:t>101.INS</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980" w:type="dxa"/>
            <w:vAlign w:val="bottom"/>
          </w:tcPr>
          <w:p>
            <w:pPr>
              <w:jc w:val="center"/>
              <w:ind w:right="230"/>
              <w:spacing w:after="0"/>
              <w:rPr>
                <w:sz w:val="20"/>
                <w:szCs w:val="20"/>
                <w:color w:val="auto"/>
              </w:rPr>
            </w:pPr>
            <w:r>
              <w:rPr>
                <w:rFonts w:ascii="Arial" w:cs="Arial" w:eastAsia="Arial" w:hAnsi="Arial"/>
                <w:sz w:val="18"/>
                <w:szCs w:val="18"/>
                <w:color w:val="auto"/>
                <w:w w:val="90"/>
              </w:rPr>
              <w:t>101.SCH</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980" w:type="dxa"/>
            <w:vAlign w:val="bottom"/>
          </w:tcPr>
          <w:p>
            <w:pPr>
              <w:jc w:val="center"/>
              <w:ind w:right="230"/>
              <w:spacing w:after="0"/>
              <w:rPr>
                <w:sz w:val="20"/>
                <w:szCs w:val="20"/>
                <w:color w:val="auto"/>
              </w:rPr>
            </w:pPr>
            <w:r>
              <w:rPr>
                <w:rFonts w:ascii="Arial" w:cs="Arial" w:eastAsia="Arial" w:hAnsi="Arial"/>
                <w:sz w:val="18"/>
                <w:szCs w:val="18"/>
                <w:color w:val="auto"/>
                <w:w w:val="94"/>
              </w:rPr>
              <w:t>101.CAL</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392"/>
        </w:trPr>
        <w:tc>
          <w:tcPr>
            <w:tcW w:w="980" w:type="dxa"/>
            <w:vAlign w:val="bottom"/>
          </w:tcPr>
          <w:p>
            <w:pPr>
              <w:jc w:val="center"/>
              <w:ind w:right="230"/>
              <w:spacing w:after="0"/>
              <w:rPr>
                <w:sz w:val="20"/>
                <w:szCs w:val="20"/>
                <w:color w:val="auto"/>
              </w:rPr>
            </w:pPr>
            <w:r>
              <w:rPr>
                <w:rFonts w:ascii="Arial" w:cs="Arial" w:eastAsia="Arial" w:hAnsi="Arial"/>
                <w:sz w:val="18"/>
                <w:szCs w:val="18"/>
                <w:color w:val="auto"/>
                <w:w w:val="95"/>
              </w:rPr>
              <w:t>101.LAB</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Label Linkbase Document.**</w:t>
            </w:r>
          </w:p>
        </w:tc>
      </w:tr>
      <w:tr>
        <w:trPr>
          <w:trHeight w:val="392"/>
        </w:trPr>
        <w:tc>
          <w:tcPr>
            <w:tcW w:w="980" w:type="dxa"/>
            <w:vAlign w:val="bottom"/>
          </w:tcPr>
          <w:p>
            <w:pPr>
              <w:jc w:val="center"/>
              <w:ind w:right="230"/>
              <w:spacing w:after="0"/>
              <w:rPr>
                <w:sz w:val="20"/>
                <w:szCs w:val="20"/>
                <w:color w:val="auto"/>
              </w:rPr>
            </w:pPr>
            <w:r>
              <w:rPr>
                <w:rFonts w:ascii="Arial" w:cs="Arial" w:eastAsia="Arial" w:hAnsi="Arial"/>
                <w:sz w:val="18"/>
                <w:szCs w:val="18"/>
                <w:color w:val="auto"/>
                <w:w w:val="91"/>
              </w:rPr>
              <w:t>101.PRE</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392"/>
        </w:trPr>
        <w:tc>
          <w:tcPr>
            <w:tcW w:w="980" w:type="dxa"/>
            <w:vAlign w:val="bottom"/>
          </w:tcPr>
          <w:p>
            <w:pPr>
              <w:jc w:val="center"/>
              <w:ind w:right="230"/>
              <w:spacing w:after="0"/>
              <w:rPr>
                <w:sz w:val="20"/>
                <w:szCs w:val="20"/>
                <w:color w:val="auto"/>
              </w:rPr>
            </w:pPr>
            <w:r>
              <w:rPr>
                <w:rFonts w:ascii="Arial" w:cs="Arial" w:eastAsia="Arial" w:hAnsi="Arial"/>
                <w:sz w:val="18"/>
                <w:szCs w:val="18"/>
                <w:color w:val="auto"/>
                <w:w w:val="92"/>
              </w:rPr>
              <w:t>101.DEF</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75" w:lineRule="exact"/>
        <w:rPr>
          <w:sz w:val="20"/>
          <w:szCs w:val="20"/>
          <w:color w:val="auto"/>
        </w:rPr>
      </w:pPr>
    </w:p>
    <w:p>
      <w:pPr>
        <w:ind w:left="1180" w:hanging="697"/>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is a management contract or compensatory plan or arrangement.</w:t>
      </w:r>
    </w:p>
    <w:p>
      <w:pPr>
        <w:spacing w:after="0" w:line="63" w:lineRule="exact"/>
        <w:rPr>
          <w:sz w:val="20"/>
          <w:szCs w:val="20"/>
          <w:color w:val="auto"/>
        </w:rPr>
      </w:pPr>
    </w:p>
    <w:p>
      <w:pPr>
        <w:ind w:left="1180" w:right="120" w:hanging="742"/>
        <w:spacing w:after="0" w:line="255"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XBRL (Extensible Business Reporting Language): (i) Consolidated Balance Sheets as of March 31, 2018 and December 31, 2017, (ii) Consolidated Statements of Operations for the three months ended March 31, 2018 and 2017, (iii) Consolidated Statements of Comprehensive Income (Loss) for the three months ended March 31, 2018 and 2017, (iv) Consolidated Statement of Stockholders’ Deficit for the three months ended March 31, 2018, (v) Consolidated Statements of Cash Flows for the three months ended March 31, 2018 and 2017, and (vi) Notes to Consolidated Financial Statements.</w:t>
      </w:r>
    </w:p>
    <w:p>
      <w:pPr>
        <w:spacing w:after="0" w:line="31" w:lineRule="exact"/>
        <w:rPr>
          <w:sz w:val="20"/>
          <w:szCs w:val="20"/>
          <w:color w:val="auto"/>
        </w:rPr>
      </w:pPr>
    </w:p>
    <w:p>
      <w:pPr>
        <w:ind w:left="1180" w:hanging="703"/>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180" w:hanging="754"/>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Casella Waste Systems, Inc.</w:t>
      </w:r>
    </w:p>
    <w:p>
      <w:pPr>
        <w:spacing w:after="0" w:line="387" w:lineRule="exact"/>
        <w:rPr>
          <w:sz w:val="20"/>
          <w:szCs w:val="20"/>
          <w:color w:val="auto"/>
        </w:rPr>
      </w:pPr>
    </w:p>
    <w:p>
      <w:pPr>
        <w:ind w:left="40"/>
        <w:spacing w:after="0"/>
        <w:tabs>
          <w:tab w:leader="none" w:pos="3780" w:val="left"/>
        </w:tabs>
        <w:rPr>
          <w:sz w:val="20"/>
          <w:szCs w:val="20"/>
          <w:color w:val="auto"/>
        </w:rPr>
      </w:pPr>
      <w:r>
        <w:rPr>
          <w:rFonts w:ascii="Arial" w:cs="Arial" w:eastAsia="Arial" w:hAnsi="Arial"/>
          <w:sz w:val="18"/>
          <w:szCs w:val="18"/>
          <w:color w:val="auto"/>
        </w:rPr>
        <w:t>Date: May 4, 2018</w:t>
      </w:r>
      <w:r>
        <w:rPr>
          <w:sz w:val="20"/>
          <w:szCs w:val="20"/>
          <w:color w:val="auto"/>
        </w:rPr>
        <w:tab/>
      </w:r>
      <w:r>
        <w:rPr>
          <w:rFonts w:ascii="Arial" w:cs="Arial" w:eastAsia="Arial" w:hAnsi="Arial"/>
          <w:sz w:val="16"/>
          <w:szCs w:val="16"/>
          <w:color w:val="auto"/>
        </w:rPr>
        <w:t>By: /s/ Christopher B. Heald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3404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Christopher B. Heald</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Vice President and Chief Accounting Officer</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(Principal Accounting Officer)</w:t>
      </w:r>
    </w:p>
    <w:p>
      <w:pPr>
        <w:spacing w:after="0" w:line="387" w:lineRule="exact"/>
        <w:rPr>
          <w:sz w:val="20"/>
          <w:szCs w:val="20"/>
          <w:color w:val="auto"/>
        </w:rPr>
      </w:pPr>
    </w:p>
    <w:p>
      <w:pPr>
        <w:ind w:left="40"/>
        <w:spacing w:after="0"/>
        <w:tabs>
          <w:tab w:leader="none" w:pos="3780" w:val="left"/>
        </w:tabs>
        <w:rPr>
          <w:sz w:val="20"/>
          <w:szCs w:val="20"/>
          <w:color w:val="auto"/>
        </w:rPr>
      </w:pPr>
      <w:r>
        <w:rPr>
          <w:rFonts w:ascii="Arial" w:cs="Arial" w:eastAsia="Arial" w:hAnsi="Arial"/>
          <w:sz w:val="18"/>
          <w:szCs w:val="18"/>
          <w:color w:val="auto"/>
        </w:rPr>
        <w:t>Date: May 4, 2018</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3404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60"/>
          </w:cols>
          <w:pgMar w:left="240" w:top="945" w:right="399" w:bottom="1440" w:gutter="0" w:footer="0" w:header="0"/>
        </w:sectPr>
      </w:pP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60"/>
          </w:cols>
          <w:pgMar w:left="240" w:top="945" w:right="39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44" w:lineRule="exact"/>
        <w:rPr>
          <w:sz w:val="20"/>
          <w:szCs w:val="20"/>
          <w:color w:val="auto"/>
        </w:rPr>
      </w:pPr>
    </w:p>
    <w:p>
      <w:pPr>
        <w:ind w:left="800" w:hanging="38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57" w:lineRule="exact"/>
        <w:rPr>
          <w:rFonts w:ascii="Arial" w:cs="Arial" w:eastAsia="Arial" w:hAnsi="Arial"/>
          <w:sz w:val="18"/>
          <w:szCs w:val="18"/>
          <w:color w:val="auto"/>
        </w:rPr>
      </w:pPr>
    </w:p>
    <w:p>
      <w:pPr>
        <w:jc w:val="both"/>
        <w:ind w:left="420" w:right="160" w:hanging="7"/>
        <w:spacing w:after="0" w:line="311" w:lineRule="auto"/>
        <w:tabs>
          <w:tab w:leader="none" w:pos="79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320" w:hanging="7"/>
        <w:spacing w:after="0" w:line="395" w:lineRule="auto"/>
        <w:tabs>
          <w:tab w:leader="none" w:pos="798"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311" w:lineRule="auto"/>
        <w:tabs>
          <w:tab w:leader="none" w:pos="79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00" w:firstLine="479"/>
        <w:spacing w:after="0" w:line="311" w:lineRule="auto"/>
        <w:tabs>
          <w:tab w:leader="none" w:pos="145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40" w:firstLine="479"/>
        <w:spacing w:after="0" w:line="311" w:lineRule="auto"/>
        <w:tabs>
          <w:tab w:leader="none" w:pos="146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280" w:firstLine="479"/>
        <w:spacing w:after="0" w:line="395" w:lineRule="auto"/>
        <w:tabs>
          <w:tab w:leader="none" w:pos="1451"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311" w:lineRule="auto"/>
        <w:tabs>
          <w:tab w:leader="none" w:pos="146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40" w:hanging="7"/>
        <w:spacing w:after="0" w:line="357" w:lineRule="auto"/>
        <w:tabs>
          <w:tab w:leader="none" w:pos="79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420" w:right="480" w:firstLine="479"/>
        <w:spacing w:after="0" w:line="357" w:lineRule="auto"/>
        <w:tabs>
          <w:tab w:leader="none" w:pos="1451"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420" w:right="160" w:firstLine="479"/>
        <w:spacing w:after="0" w:line="324" w:lineRule="auto"/>
        <w:tabs>
          <w:tab w:leader="none" w:pos="1461"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May 4, 2018</w:t>
            </w:r>
          </w:p>
        </w:tc>
        <w:tc>
          <w:tcPr>
            <w:tcW w:w="4560" w:type="dxa"/>
            <w:vAlign w:val="bottom"/>
          </w:tcPr>
          <w:p>
            <w:pPr>
              <w:ind w:left="20"/>
              <w:spacing w:after="0"/>
              <w:rPr>
                <w:sz w:val="20"/>
                <w:szCs w:val="20"/>
                <w:color w:val="auto"/>
              </w:rPr>
            </w:pPr>
            <w:r>
              <w:rPr>
                <w:rFonts w:ascii="Arial" w:cs="Arial" w:eastAsia="Arial" w:hAnsi="Arial"/>
                <w:sz w:val="18"/>
                <w:szCs w:val="18"/>
                <w:color w:val="auto"/>
              </w:rPr>
              <w:t>By: /s/ John W. Casella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44" w:lineRule="exact"/>
        <w:rPr>
          <w:sz w:val="20"/>
          <w:szCs w:val="20"/>
          <w:color w:val="auto"/>
        </w:rPr>
      </w:pPr>
    </w:p>
    <w:p>
      <w:pPr>
        <w:ind w:left="800" w:hanging="387"/>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57" w:lineRule="exact"/>
        <w:rPr>
          <w:rFonts w:ascii="Arial" w:cs="Arial" w:eastAsia="Arial" w:hAnsi="Arial"/>
          <w:sz w:val="18"/>
          <w:szCs w:val="18"/>
          <w:color w:val="auto"/>
        </w:rPr>
      </w:pPr>
    </w:p>
    <w:p>
      <w:pPr>
        <w:jc w:val="both"/>
        <w:ind w:left="420" w:right="160" w:hanging="7"/>
        <w:spacing w:after="0" w:line="311" w:lineRule="auto"/>
        <w:tabs>
          <w:tab w:leader="none" w:pos="7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320" w:hanging="7"/>
        <w:spacing w:after="0" w:line="395" w:lineRule="auto"/>
        <w:tabs>
          <w:tab w:leader="none" w:pos="798"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311" w:lineRule="auto"/>
        <w:tabs>
          <w:tab w:leader="none" w:pos="7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00" w:firstLine="479"/>
        <w:spacing w:after="0" w:line="311" w:lineRule="auto"/>
        <w:tabs>
          <w:tab w:leader="none" w:pos="145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40" w:firstLine="479"/>
        <w:spacing w:after="0" w:line="311" w:lineRule="auto"/>
        <w:tabs>
          <w:tab w:leader="none" w:pos="146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280" w:firstLine="479"/>
        <w:spacing w:after="0" w:line="395" w:lineRule="auto"/>
        <w:tabs>
          <w:tab w:leader="none" w:pos="1451"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311" w:lineRule="auto"/>
        <w:tabs>
          <w:tab w:leader="none" w:pos="146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40" w:hanging="7"/>
        <w:spacing w:after="0" w:line="357" w:lineRule="auto"/>
        <w:tabs>
          <w:tab w:leader="none" w:pos="79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420" w:right="480" w:firstLine="479"/>
        <w:spacing w:after="0" w:line="357" w:lineRule="auto"/>
        <w:tabs>
          <w:tab w:leader="none" w:pos="1451"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420" w:right="160" w:firstLine="479"/>
        <w:spacing w:after="0" w:line="324" w:lineRule="auto"/>
        <w:tabs>
          <w:tab w:leader="none" w:pos="1461"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May 4, 2018</w:t>
            </w:r>
          </w:p>
        </w:tc>
        <w:tc>
          <w:tcPr>
            <w:tcW w:w="4560" w:type="dxa"/>
            <w:vAlign w:val="bottom"/>
          </w:tcPr>
          <w:p>
            <w:pPr>
              <w:ind w:left="20"/>
              <w:spacing w:after="0"/>
              <w:rPr>
                <w:sz w:val="20"/>
                <w:szCs w:val="20"/>
                <w:color w:val="auto"/>
              </w:rPr>
            </w:pPr>
            <w:r>
              <w:rPr>
                <w:rFonts w:ascii="Arial" w:cs="Arial" w:eastAsia="Arial" w:hAnsi="Arial"/>
                <w:sz w:val="18"/>
                <w:szCs w:val="18"/>
                <w:color w:val="auto"/>
              </w:rPr>
              <w:t>By: /s/ Edmond R. Coletta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March 31, 2018 as filed with the Securities and Exchange Commission on the date hereof (“Report”), the undersigned, John W. Casella, Chairman and Chief Executive Officer, hereby certifies, pursuant to 18 U.S.C. Section 1350, that, to his knowledge:</w:t>
      </w:r>
    </w:p>
    <w:p>
      <w:pPr>
        <w:spacing w:after="0" w:line="208" w:lineRule="exact"/>
        <w:rPr>
          <w:sz w:val="20"/>
          <w:szCs w:val="20"/>
          <w:color w:val="auto"/>
        </w:rPr>
      </w:pPr>
    </w:p>
    <w:p>
      <w:pPr>
        <w:ind w:left="860" w:hanging="447"/>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860" w:hanging="447"/>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4, 2018</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March 31, 2018 as filed with the Securities and Exchange Commission on the date hereof (“Report”), the undersigned, Edmond R. Coletta, Senior Vice President and Chief Financial Officer, hereby certifies, pursuant to 18 U.S.C. Section 1350, that, to his knowledge:</w:t>
      </w:r>
    </w:p>
    <w:p>
      <w:pPr>
        <w:spacing w:after="0" w:line="208" w:lineRule="exact"/>
        <w:rPr>
          <w:sz w:val="20"/>
          <w:szCs w:val="20"/>
          <w:color w:val="auto"/>
        </w:rPr>
      </w:pPr>
    </w:p>
    <w:p>
      <w:pPr>
        <w:ind w:left="860" w:hanging="44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860" w:hanging="44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4, 2018</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2"/>
    </w:lvl>
  </w:abstractNum>
  <w:abstractNum w:abstractNumId="4">
    <w:nsid w:val="7C3DBD3D"/>
    <w:multiLevelType w:val="hybridMultilevel"/>
    <w:lvl w:ilvl="0">
      <w:lvlJc w:val="left"/>
      <w:lvlText w:val="%1."/>
      <w:numFmt w:val="decimal"/>
      <w:start w:val="3"/>
    </w:lvl>
  </w:abstractNum>
  <w:abstractNum w:abstractNumId="5">
    <w:nsid w:val="737B8DDC"/>
    <w:multiLevelType w:val="hybridMultilevel"/>
    <w:lvl w:ilvl="0">
      <w:lvlJc w:val="left"/>
      <w:lvlText w:val="%1."/>
      <w:numFmt w:val="decimal"/>
      <w:start w:val="4"/>
    </w:lvl>
  </w:abstractNum>
  <w:abstractNum w:abstractNumId="6">
    <w:nsid w:val="6CEAF087"/>
    <w:multiLevelType w:val="hybridMultilevel"/>
    <w:lvl w:ilvl="0">
      <w:lvlJc w:val="left"/>
      <w:lvlText w:val="%1."/>
      <w:numFmt w:val="decimal"/>
      <w:start w:val="5"/>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6"/>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8"/>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9"/>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0"/>
    </w:lvl>
  </w:abstractNum>
  <w:abstractNum w:abstractNumId="17">
    <w:nsid w:val="7724C67E"/>
    <w:multiLevelType w:val="hybridMultilevel"/>
    <w:lvl w:ilvl="0">
      <w:lvlJc w:val="left"/>
      <w:lvlText w:val="%1."/>
      <w:numFmt w:val="decimal"/>
      <w:start w:val="1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2"/>
    </w:lvl>
  </w:abstractNum>
  <w:abstractNum w:abstractNumId="20">
    <w:nsid w:val="5E884ADC"/>
    <w:multiLevelType w:val="hybridMultilevel"/>
    <w:lvl w:ilvl="0">
      <w:lvlJc w:val="left"/>
      <w:lvlText w:val="%1."/>
      <w:numFmt w:val="decimal"/>
      <w:start w:val="13"/>
    </w:lvl>
  </w:abstractNum>
  <w:abstractNum w:abstractNumId="21">
    <w:nsid w:val="51EAD36B"/>
    <w:multiLevelType w:val="hybridMultilevel"/>
    <w:lvl w:ilvl="0">
      <w:lvlJc w:val="left"/>
      <w:lvlText w:val="%1."/>
      <w:numFmt w:val="decimal"/>
      <w:start w:val="14"/>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lvl w:ilvl="1">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lvl w:ilvl="1">
      <w:lvlJc w:val="left"/>
      <w:lvlText w:val="•"/>
      <w:numFmt w:val="bullet"/>
      <w:start w:val="1"/>
    </w:lvl>
  </w:abstractNum>
  <w:abstractNum w:abstractNumId="41">
    <w:nsid w:val="579478FE"/>
    <w:multiLevelType w:val="hybridMultilevel"/>
    <w:lvl w:ilvl="0">
      <w:lvlJc w:val="left"/>
      <w:lvlText w:val="•"/>
      <w:numFmt w:val="bullet"/>
      <w:start w:val="1"/>
    </w:lvl>
    <w:lvl w:ilvl="1">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46" Type="http://schemas.openxmlformats.org/officeDocument/2006/relationships/image" Target="media/image75.png"/><Relationship Id="rId147" Type="http://schemas.openxmlformats.org/officeDocument/2006/relationships/image" Target="media/image76.png"/><Relationship Id="rId148" Type="http://schemas.openxmlformats.org/officeDocument/2006/relationships/image" Target="media/image77.png"/><Relationship Id="rId149" Type="http://schemas.openxmlformats.org/officeDocument/2006/relationships/image" Target="media/image78.png"/><Relationship Id="rId82" Type="http://schemas.openxmlformats.org/officeDocument/2006/relationships/hyperlink" Target="http://www.sec.gov/Archives/edgar/data/911177/000091205799005429/0000912057-99-005429.txt" TargetMode="External"/><Relationship Id="rId83" Type="http://schemas.openxmlformats.org/officeDocument/2006/relationships/hyperlink" Target="http://www.sec.gov/Archives/edgar/data/911177/000110465911012173/a11-5937_1ex2d1.htm" TargetMode="External"/><Relationship Id="rId84" Type="http://schemas.openxmlformats.org/officeDocument/2006/relationships/hyperlink" Target="http://www.sec.gov/Archives/edgar/data/911177/000119312512497009/d451302dex101.htm" TargetMode="External"/><Relationship Id="rId85" Type="http://schemas.openxmlformats.org/officeDocument/2006/relationships/hyperlink" Target="http://www.sec.gov/Archives/edgar/data/911177/000119312513463744/d638304dex101.htm" TargetMode="External"/><Relationship Id="rId86" Type="http://schemas.openxmlformats.org/officeDocument/2006/relationships/hyperlink" Target="http://www.sec.gov/Archives/edgar/data/911177/000104746907009844/a2181401zex-3_1.htm" TargetMode="External"/><Relationship Id="rId87" Type="http://schemas.openxmlformats.org/officeDocument/2006/relationships/hyperlink" Target="http://www.sec.gov/Archives/edgar/data/911177/000110465909013184/a09-6186_1ex3d1.htm" TargetMode="External"/><Relationship Id="rId88" Type="http://schemas.openxmlformats.org/officeDocument/2006/relationships/hyperlink" Target="http://www.sec.gov/Archives/edgar/data/911177/0001029869-97-001166.txt" TargetMode="External"/><Relationship Id="rId89" Type="http://schemas.openxmlformats.org/officeDocument/2006/relationships/hyperlink" Target="http://www.sec.gov/Archives/edgar/data/911177/000091205700038357/ex-4_1.txt" TargetMode="External"/><Relationship Id="rId90" Type="http://schemas.openxmlformats.org/officeDocument/2006/relationships/hyperlink" Target="http://www.sec.gov/Archives/edgar/data/911177/000119312515305083/d68513dex41.htm" TargetMode="External"/><Relationship Id="rId91" Type="http://schemas.openxmlformats.org/officeDocument/2006/relationships/hyperlink" Target="http://www.sec.gov/Archives/edgar/data/911177/000119312515305083/d68513dex42.htm" TargetMode="External"/><Relationship Id="rId92" Type="http://schemas.openxmlformats.org/officeDocument/2006/relationships/hyperlink" Target="http://www.sec.gov/Archives/edgar/data/911177/000119312514446866/d839310dex41.htm" TargetMode="External"/><Relationship Id="rId93" Type="http://schemas.openxmlformats.org/officeDocument/2006/relationships/hyperlink" Target="http://www.sec.gov/Archives/edgar/data/911177/000119312516611235/d202767dex41.htm" TargetMode="External"/><Relationship Id="rId94" Type="http://schemas.openxmlformats.org/officeDocument/2006/relationships/hyperlink" Target="http://www.sec.gov/Archives/edgar/data/911177/000119312514373867/d805861dex101.htm" TargetMode="External"/><Relationship Id="rId95" Type="http://schemas.openxmlformats.org/officeDocument/2006/relationships/hyperlink" Target="http://www.sec.gov/Archives/edgar/data/911177/000119312513144248/d516725dex101.htm" TargetMode="External"/><Relationship Id="rId96" Type="http://schemas.openxmlformats.org/officeDocument/2006/relationships/hyperlink" Target="http://www.sec.gov/Archives/edgar/data/911177/000119312514251471/d708462dex48.htm" TargetMode="External"/><Relationship Id="rId97" Type="http://schemas.openxmlformats.org/officeDocument/2006/relationships/hyperlink" Target="http://www.sec.gov/Archives/edgar/data/911177/000119312513144248/d516725dex102.htm" TargetMode="External"/><Relationship Id="rId98" Type="http://schemas.openxmlformats.org/officeDocument/2006/relationships/hyperlink" Target="http://www.sec.gov/Archives/edgar/data/911177/000110465906000398/a05-22599_1ex10d1.htm" TargetMode="External"/><Relationship Id="rId99" Type="http://schemas.openxmlformats.org/officeDocument/2006/relationships/hyperlink" Target="http://www.sec.gov/Archives/edgar/data/911177/000141057812000058/a12-2158_1ex10d1.htm" TargetMode="External"/><Relationship Id="rId100" Type="http://schemas.openxmlformats.org/officeDocument/2006/relationships/hyperlink" Target="http://www.sec.gov/Archives/edgar/data/911177/000091117717000010/cwst17-0207_x8kex4d2.htm" TargetMode="External"/><Relationship Id="rId101" Type="http://schemas.openxmlformats.org/officeDocument/2006/relationships/hyperlink" Target="http://www.sec.gov/Archives/edgar/data/911177/000091117717000010/cwst17-0207_x8kex4d1.htm" TargetMode="External"/><Relationship Id="rId102" Type="http://schemas.openxmlformats.org/officeDocument/2006/relationships/hyperlink" Target="http://www.sec.gov/Archives/edgar/data/911177/0001029869-97-001112.txt" TargetMode="External"/><Relationship Id="rId103" Type="http://schemas.openxmlformats.org/officeDocument/2006/relationships/hyperlink" Target="http://www.sec.gov/Archives/edgar/data/911177/000110465904027205/a04-10311_1ex10d2.htm" TargetMode="External"/><Relationship Id="rId104" Type="http://schemas.openxmlformats.org/officeDocument/2006/relationships/hyperlink" Target="http://www.sec.gov/Archives/edgar/data/911177/0001029869-98-001145.txt" TargetMode="External"/><Relationship Id="rId105" Type="http://schemas.openxmlformats.org/officeDocument/2006/relationships/hyperlink" Target="http://www.sec.gov/Archives/edgar/data/911177/000110465904027205/a04-10311_1ex10d1.htm" TargetMode="External"/><Relationship Id="rId106" Type="http://schemas.openxmlformats.org/officeDocument/2006/relationships/hyperlink" Target="http://www.sec.gov/Archives/edgar/data/911177/0001029869-97-000958.txt" TargetMode="External"/><Relationship Id="rId107" Type="http://schemas.openxmlformats.org/officeDocument/2006/relationships/hyperlink" Target="http://www.sec.gov/Archives/edgar/data/911177/0001029869-98-000841.txt" TargetMode="External"/><Relationship Id="rId108" Type="http://schemas.openxmlformats.org/officeDocument/2006/relationships/hyperlink" Target="http://www.sec.gov/Archives/edgar/data/911177/000119312514251471/d708462dex107.htm" TargetMode="External"/><Relationship Id="rId109" Type="http://schemas.openxmlformats.org/officeDocument/2006/relationships/hyperlink" Target="http://www.sec.gov/Archives/edgar/data/911177/000119312514251471/d708462dex109.htm" TargetMode="External"/><Relationship Id="rId110" Type="http://schemas.openxmlformats.org/officeDocument/2006/relationships/hyperlink" Target="http://www.sec.gov/Archives/edgar/data/911177/000107261300000765/0001072613-00-000765-0002.txt" TargetMode="External"/><Relationship Id="rId111" Type="http://schemas.openxmlformats.org/officeDocument/2006/relationships/hyperlink" Target="http://www.sec.gov/Archives/edgar/data/911177/000110465909015154/a09-6583_1ex10d3.htm" TargetMode="External"/><Relationship Id="rId112" Type="http://schemas.openxmlformats.org/officeDocument/2006/relationships/hyperlink" Target="http://www.sec.gov/Archives/edgar/data/911177/000119312516490223/d27133dex1013.htm" TargetMode="External"/><Relationship Id="rId113" Type="http://schemas.openxmlformats.org/officeDocument/2006/relationships/hyperlink" Target="http://www.sec.gov/Archives/edgar/data/911177/000119312514251471/d708462dex1014.htm" TargetMode="External"/><Relationship Id="rId114" Type="http://schemas.openxmlformats.org/officeDocument/2006/relationships/hyperlink" Target="http://www.sec.gov/Archives/edgar/data/911177/000119312514251471/d708462dex1015.htm" TargetMode="External"/><Relationship Id="rId115" Type="http://schemas.openxmlformats.org/officeDocument/2006/relationships/hyperlink" Target="http://www.sec.gov/Archives/edgar/data/911177/000119312514251471/d708462dex1016.htm" TargetMode="External"/><Relationship Id="rId116" Type="http://schemas.openxmlformats.org/officeDocument/2006/relationships/hyperlink" Target="http://www.sec.gov/Archives/edgar/data/911177/000119312514251471/d708462dex1017.htm" TargetMode="External"/><Relationship Id="rId117" Type="http://schemas.openxmlformats.org/officeDocument/2006/relationships/hyperlink" Target="http://www.sec.gov/Archives/edgar/data/911177/000119312514251471/d708462dex1018.htm" TargetMode="External"/><Relationship Id="rId118" Type="http://schemas.openxmlformats.org/officeDocument/2006/relationships/hyperlink" Target="http://www.sec.gov/Archives/edgar/data/911177/000119312514251471/d708462dex1019.htm" TargetMode="External"/><Relationship Id="rId119" Type="http://schemas.openxmlformats.org/officeDocument/2006/relationships/hyperlink" Target="http://www.sec.gov/Archives/edgar/data/911177/000110465908057068/a08-22715_1ex10d2.htm" TargetMode="External"/><Relationship Id="rId120" Type="http://schemas.openxmlformats.org/officeDocument/2006/relationships/hyperlink" Target="http://www.sec.gov/Archives/edgar/data/911177/000119312516495282/d137543dex102.htm" TargetMode="External"/><Relationship Id="rId121" Type="http://schemas.openxmlformats.org/officeDocument/2006/relationships/hyperlink" Target="http://www.sec.gov/Archives/edgar/data/911177/000119312516495282/d137543dex103.htm" TargetMode="External"/><Relationship Id="rId122" Type="http://schemas.openxmlformats.org/officeDocument/2006/relationships/hyperlink" Target="http://www.sec.gov/Archives/edgar/data/911177/000119312515074266/d883633dex101.htm" TargetMode="External"/><Relationship Id="rId123" Type="http://schemas.openxmlformats.org/officeDocument/2006/relationships/hyperlink" Target="http://www.sec.gov/Archives/edgar/data/911177/000119312515237105/d948603dex101.htm" TargetMode="External"/><Relationship Id="rId124" Type="http://schemas.openxmlformats.org/officeDocument/2006/relationships/hyperlink" Target="http://www.sec.gov/Archives/edgar/data/911177/000110465910047160/a10-16550_1ex10d1.htm" TargetMode="External"/><Relationship Id="rId125" Type="http://schemas.openxmlformats.org/officeDocument/2006/relationships/hyperlink" Target="http://www.sec.gov/Archives/edgar/data/911177/000119312514251471/d708462dex1026.htm" TargetMode="External"/><Relationship Id="rId126" Type="http://schemas.openxmlformats.org/officeDocument/2006/relationships/hyperlink" Target="http://www.sec.gov/Archives/edgar/data/911177/000119312514251471/d708462dex1027.htm" TargetMode="External"/><Relationship Id="rId127" Type="http://schemas.openxmlformats.org/officeDocument/2006/relationships/hyperlink" Target="http://www.sec.gov/Archives/edgar/data/911177/000119312514251471/d708462dex1028.htm" TargetMode="External"/><Relationship Id="rId128" Type="http://schemas.openxmlformats.org/officeDocument/2006/relationships/hyperlink" Target="http://www.sec.gov/Archives/edgar/data/911177/000119312516495282/d137543dex104.htm" TargetMode="External"/><Relationship Id="rId129" Type="http://schemas.openxmlformats.org/officeDocument/2006/relationships/hyperlink" Target="http://www.sec.gov/Archives/edgar/data/911177/000119312514251471/d708462dex1029.htm" TargetMode="External"/><Relationship Id="rId130" Type="http://schemas.openxmlformats.org/officeDocument/2006/relationships/hyperlink" Target="http://www.sec.gov/Archives/edgar/data/911177/000119312516739872/d69336dex101.htm" TargetMode="External"/><Relationship Id="rId131" Type="http://schemas.openxmlformats.org/officeDocument/2006/relationships/hyperlink" Target="http://www.sec.gov/Archives/edgar/data/911177/000091117717000024/cwst17-0418_8kxex10d1.htm" TargetMode="External"/><Relationship Id="rId132" Type="http://schemas.openxmlformats.org/officeDocument/2006/relationships/hyperlink" Target="http://www.sec.gov/Archives/edgar/data/911177/000119312516495282/d137543dex101.htm" TargetMode="External"/><Relationship Id="rId133" Type="http://schemas.openxmlformats.org/officeDocument/2006/relationships/hyperlink" Target="http://www.sec.gov/Archives/edgar/data/911177/000091117716000011/cwst16-1117_1s8xex99d1.htm" TargetMode="External"/><Relationship Id="rId134" Type="http://schemas.openxmlformats.org/officeDocument/2006/relationships/hyperlink" Target="http://www.sec.gov/Archives/edgar/data/911177/000091117716000015/cwst16-1122_8kxex10d1.htm" TargetMode="External"/><Relationship Id="rId135" Type="http://schemas.openxmlformats.org/officeDocument/2006/relationships/hyperlink" Target="http://www.sec.gov/Archives/edgar/data/911177/000091117716000015/cwst16-1122_8kxex10d2.htm" TargetMode="External"/><Relationship Id="rId136" Type="http://schemas.openxmlformats.org/officeDocument/2006/relationships/hyperlink" Target="http://www.sec.gov/Archives/edgar/data/911177/000091117716000015/cwst16-1122_8kxex10d3.htm" TargetMode="External"/><Relationship Id="rId137" Type="http://schemas.openxmlformats.org/officeDocument/2006/relationships/hyperlink" Target="http://www.sec.gov/Archives/edgar/data/911177/000091117716000015/cwst16-1122_8kxex10d4.htm" TargetMode="External"/><Relationship Id="rId138" Type="http://schemas.openxmlformats.org/officeDocument/2006/relationships/hyperlink" Target="http://www.sec.gov/Archives/edgar/data/911177/000091117716000015/cwst16-1122_8kxex10d5.htm" TargetMode="External"/><Relationship Id="rId139" Type="http://schemas.openxmlformats.org/officeDocument/2006/relationships/hyperlink" Target="http://www.sec.gov/Archives/edgar/data/911177/000091117716000015/cwst16-1122_8kxex10d6.htm" TargetMode="External"/><Relationship Id="rId140" Type="http://schemas.openxmlformats.org/officeDocument/2006/relationships/hyperlink" Target="http://www.sec.gov/Archives/edgar/data/911177/000091117716000015/cwst16-1122_8kxex10d7.htm" TargetMode="External"/><Relationship Id="rId141" Type="http://schemas.openxmlformats.org/officeDocument/2006/relationships/hyperlink" Target="http://www.sec.gov/Archives/edgar/data/911177/000091117716000015/cwst16-1122_8kxex10d8.htm" TargetMode="External"/><Relationship Id="rId142" Type="http://schemas.openxmlformats.org/officeDocument/2006/relationships/hyperlink" Target="http://www.sec.gov/Archives/edgar/data/911177/000091117716000015/cwst16-1122_8kxex10d9.htm" TargetMode="External"/><Relationship Id="rId143" Type="http://schemas.openxmlformats.org/officeDocument/2006/relationships/hyperlink" Target="http://www.sec.gov/Archives/edgar/data/911177/000091117716000015/cwst16-1122_8kxex10d10.htm" TargetMode="External"/><Relationship Id="rId144" Type="http://schemas.openxmlformats.org/officeDocument/2006/relationships/hyperlink" Target="http://www.sec.gov/Archives/edgar/data/911177/000091117716000015/cwst16-1122_8kxex10d11.htm" TargetMode="External"/><Relationship Id="rId145" Type="http://schemas.openxmlformats.org/officeDocument/2006/relationships/hyperlink" Target="http://www.sec.gov/Archives/edgar/data/911177/000091117717000053/cwst-093017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2019-12-28T22:33:32Z</dcterms:created>
  <dcterms:modified xsi:type="dcterms:W3CDTF">2019-12-28T22:33:32Z</dcterms:modified>
</cp:coreProperties>
</file>