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p>
    <w:p>
      <w:pPr>
        <w:pStyle w:val="TextBody"/>
        <w:spacing w:before="0" w:after="0"/>
        <w:jc w:val="right"/>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6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000-23211</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CASELLA WASTE SYSTEMS,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3854" w:type="dxa"/>
        <w:jc w:val="center"/>
        <w:tblInd w:w="0" w:type="dxa"/>
        <w:tblCellMar>
          <w:top w:w="28" w:type="dxa"/>
          <w:left w:w="28" w:type="dxa"/>
          <w:bottom w:w="28" w:type="dxa"/>
          <w:right w:w="28" w:type="dxa"/>
        </w:tblCellMar>
      </w:tblPr>
      <w:tblGrid>
        <w:gridCol w:w="859"/>
        <w:gridCol w:w="753"/>
        <w:gridCol w:w="758"/>
        <w:gridCol w:w="432"/>
        <w:gridCol w:w="432"/>
        <w:gridCol w:w="620"/>
      </w:tblGrid>
      <w:tr>
        <w:trPr/>
        <w:tc>
          <w:tcPr>
            <w:tcW w:w="85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03-0338873</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tbl>
      <w:tblPr>
        <w:tblW w:w="3850" w:type="dxa"/>
        <w:jc w:val="center"/>
        <w:tblInd w:w="0" w:type="dxa"/>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292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25 Greens Hill Lane,</w:t>
            </w:r>
          </w:p>
        </w:tc>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Rutland,</w:t>
            </w:r>
          </w:p>
        </w:tc>
        <w:tc>
          <w:tcPr>
            <w:tcW w:w="14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Vermont</w:t>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05701</w:t>
            </w:r>
          </w:p>
        </w:tc>
      </w:tr>
      <w:tr>
        <w:trPr/>
        <w:tc>
          <w:tcPr>
            <w:tcW w:w="292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(802) 775-0325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00"/>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342" w:type="dxa"/>
        <w:jc w:val="left"/>
        <w:tblInd w:w="0" w:type="dxa"/>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Trading </w:t>
              <w:b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3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spacing w:lineRule="auto" w:line="288" w:before="60" w:after="283"/>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60" w:after="283"/>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625" w:type="dxa"/>
        <w:jc w:val="left"/>
        <w:tblInd w:w="0" w:type="dxa"/>
        <w:tblCellMar>
          <w:top w:w="28" w:type="dxa"/>
          <w:left w:w="28" w:type="dxa"/>
          <w:bottom w:w="28" w:type="dxa"/>
          <w:right w:w="28" w:type="dxa"/>
        </w:tblCellMar>
      </w:tblPr>
      <w:tblGrid>
        <w:gridCol w:w="603"/>
        <w:gridCol w:w="530"/>
        <w:gridCol w:w="532"/>
        <w:gridCol w:w="109"/>
        <w:gridCol w:w="109"/>
        <w:gridCol w:w="109"/>
        <w:gridCol w:w="420"/>
        <w:gridCol w:w="420"/>
        <w:gridCol w:w="421"/>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tbl>
      <w:tblPr>
        <w:tblW w:w="4314" w:type="dxa"/>
        <w:jc w:val="center"/>
        <w:tblInd w:w="0" w:type="dxa"/>
        <w:tblCellMar>
          <w:top w:w="28" w:type="dxa"/>
          <w:left w:w="28" w:type="dxa"/>
          <w:bottom w:w="28" w:type="dxa"/>
          <w:right w:w="28" w:type="dxa"/>
        </w:tblCellMar>
      </w:tblPr>
      <w:tblGrid>
        <w:gridCol w:w="576"/>
        <w:gridCol w:w="505"/>
        <w:gridCol w:w="508"/>
        <w:gridCol w:w="109"/>
        <w:gridCol w:w="109"/>
        <w:gridCol w:w="109"/>
        <w:gridCol w:w="675"/>
        <w:gridCol w:w="675"/>
        <w:gridCol w:w="676"/>
        <w:gridCol w:w="109"/>
        <w:gridCol w:w="109"/>
        <w:gridCol w:w="154"/>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color w:val="000000"/>
              </w:rPr>
            </w:pPr>
            <w:r>
              <w:rPr>
                <w:color w:val="000000"/>
              </w:rPr>
              <w:t>☐</w:t>
            </w:r>
          </w:p>
        </w:tc>
      </w:tr>
    </w:tbl>
    <w:tbl>
      <w:tblPr>
        <w:tblW w:w="3080" w:type="dxa"/>
        <w:jc w:val="center"/>
        <w:tblInd w:w="0" w:type="dxa"/>
        <w:tblCellMar>
          <w:top w:w="28" w:type="dxa"/>
          <w:left w:w="28" w:type="dxa"/>
          <w:bottom w:w="28" w:type="dxa"/>
          <w:right w:w="28" w:type="dxa"/>
        </w:tblCellMar>
      </w:tblPr>
      <w:tblGrid>
        <w:gridCol w:w="124"/>
        <w:gridCol w:w="109"/>
        <w:gridCol w:w="109"/>
        <w:gridCol w:w="109"/>
        <w:gridCol w:w="109"/>
        <w:gridCol w:w="109"/>
        <w:gridCol w:w="679"/>
        <w:gridCol w:w="679"/>
        <w:gridCol w:w="68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color w:val="000000"/>
              </w:rPr>
            </w:pPr>
            <w:r>
              <w:rPr>
                <w:color w:val="000000"/>
              </w:rPr>
              <w:t>☐</w:t>
            </w:r>
          </w:p>
        </w:tc>
      </w:tr>
    </w:tbl>
    <w:p>
      <w:pPr>
        <w:pStyle w:val="TextBody"/>
        <w:spacing w:lineRule="auto" w:line="288" w:before="60" w:after="283"/>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The number of shares outstanding of each of the registrant’s classes of common stock, as of April 15, 2023:</w:t>
      </w:r>
    </w:p>
    <w:tbl>
      <w:tblPr>
        <w:tblW w:w="5131" w:type="dxa"/>
        <w:jc w:val="left"/>
        <w:tblInd w:w="0" w:type="dxa"/>
        <w:tblCellMar>
          <w:top w:w="28" w:type="dxa"/>
          <w:left w:w="28" w:type="dxa"/>
          <w:bottom w:w="28" w:type="dxa"/>
          <w:right w:w="28" w:type="dxa"/>
        </w:tblCellMar>
      </w:tblPr>
      <w:tblGrid>
        <w:gridCol w:w="1333"/>
        <w:gridCol w:w="1173"/>
        <w:gridCol w:w="1183"/>
        <w:gridCol w:w="480"/>
        <w:gridCol w:w="481"/>
        <w:gridCol w:w="109"/>
        <w:gridCol w:w="109"/>
        <w:gridCol w:w="109"/>
        <w:gridCol w:w="154"/>
      </w:tblGrid>
      <w:tr>
        <w:trPr/>
        <w:tc>
          <w:tcPr>
            <w:tcW w:w="1333"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per share:</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50,897,927 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$0.01 par value per share:</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988,200 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2644"/>
        <w:gridCol w:w="2293"/>
        <w:gridCol w:w="2302"/>
        <w:gridCol w:w="211"/>
        <w:gridCol w:w="976"/>
        <w:gridCol w:w="109"/>
        <w:gridCol w:w="109"/>
        <w:gridCol w:w="109"/>
        <w:gridCol w:w="109"/>
        <w:gridCol w:w="211"/>
        <w:gridCol w:w="976"/>
        <w:gridCol w:w="156"/>
      </w:tblGrid>
      <w:tr>
        <w:trPr/>
        <w:tc>
          <w:tcPr>
            <w:tcW w:w="2644" w:type="dxa"/>
            <w:tcBorders/>
            <w:shd w:fill="auto" w:val="clear"/>
            <w:vAlign w:val="center"/>
          </w:tcPr>
          <w:p>
            <w:pPr>
              <w:pStyle w:val="TableContents"/>
              <w:spacing w:before="0" w:after="283"/>
              <w:rPr>
                <w:sz w:val="4"/>
                <w:szCs w:val="4"/>
              </w:rPr>
            </w:pPr>
            <w:r>
              <w:rPr>
                <w:sz w:val="4"/>
                <w:szCs w:val="4"/>
              </w:rPr>
            </w:r>
          </w:p>
        </w:tc>
        <w:tc>
          <w:tcPr>
            <w:tcW w:w="2293" w:type="dxa"/>
            <w:tcBorders/>
            <w:shd w:fill="auto" w:val="clear"/>
            <w:vAlign w:val="center"/>
          </w:tcPr>
          <w:p>
            <w:pPr>
              <w:pStyle w:val="TableContents"/>
              <w:spacing w:before="0" w:after="283"/>
              <w:rPr>
                <w:sz w:val="4"/>
                <w:szCs w:val="4"/>
              </w:rPr>
            </w:pPr>
            <w:r>
              <w:rPr>
                <w:sz w:val="4"/>
                <w:szCs w:val="4"/>
              </w:rPr>
            </w:r>
          </w:p>
        </w:tc>
        <w:tc>
          <w:tcPr>
            <w:tcW w:w="23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$3,590 and $3,016,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100,886 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and amortization of $1,090,951 and $1,064,756,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data)</w:t>
      </w:r>
    </w:p>
    <w:tbl>
      <w:tblPr>
        <w:tblW w:w="10205" w:type="dxa"/>
        <w:jc w:val="center"/>
        <w:tblInd w:w="0" w:type="dxa"/>
        <w:tblCellMar>
          <w:top w:w="28" w:type="dxa"/>
          <w:left w:w="28" w:type="dxa"/>
          <w:bottom w:w="28" w:type="dxa"/>
          <w:right w:w="28" w:type="dxa"/>
        </w:tblCellMar>
      </w:tblPr>
      <w:tblGrid>
        <w:gridCol w:w="2611"/>
        <w:gridCol w:w="2086"/>
        <w:gridCol w:w="2099"/>
        <w:gridCol w:w="242"/>
        <w:gridCol w:w="1122"/>
        <w:gridCol w:w="124"/>
        <w:gridCol w:w="124"/>
        <w:gridCol w:w="124"/>
        <w:gridCol w:w="124"/>
        <w:gridCol w:w="242"/>
        <w:gridCol w:w="1122"/>
        <w:gridCol w:w="185"/>
      </w:tblGrid>
      <w:tr>
        <w:trPr/>
        <w:tc>
          <w:tcPr>
            <w:tcW w:w="2611"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6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66,640 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accrued final capping, closure and post-closure costs</w:t>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577,567 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585,015 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final capping, closure and post-closure costs, less current portion</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auto" w:val="clear"/>
            <w:vAlign w:val="center"/>
          </w:tcPr>
          <w:p>
            <w:pPr>
              <w:pStyle w:val="TableContents"/>
              <w:spacing w:before="0" w:after="283"/>
              <w:rPr>
                <w:sz w:val="4"/>
                <w:szCs w:val="4"/>
              </w:rPr>
            </w:pPr>
            <w:r>
              <w:rPr>
                <w:sz w:val="4"/>
                <w:szCs w:val="4"/>
              </w:rPr>
            </w:r>
          </w:p>
        </w:tc>
        <w:tc>
          <w:tcPr>
            <w:tcW w:w="1488"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549" w:type="dxa"/>
            <w:gridSpan w:val="3"/>
            <w:tcBorders/>
            <w:shd w:fill="auto" w:val="cle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per share; 100,000,000 shares authorized; 50,898,000 and 50,704,000 shares issued and outstanding, respectively</w:t>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per share; 1,000,000 shares authorized; 988,000 shares issued and outstanding, respectively; 10 votes per share</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663,735 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661,761 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(171,920)</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net of tax</w:t>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auto" w:val="clear"/>
            <w:vAlign w:val="center"/>
          </w:tcPr>
          <w:p>
            <w:pPr>
              <w:pStyle w:val="TableContents"/>
              <w:spacing w:before="0" w:after="283"/>
              <w:rPr>
                <w:sz w:val="4"/>
                <w:szCs w:val="4"/>
              </w:rPr>
            </w:pPr>
            <w:r>
              <w:rPr>
                <w:sz w:val="4"/>
                <w:szCs w:val="4"/>
              </w:rPr>
            </w:r>
          </w:p>
        </w:tc>
        <w:tc>
          <w:tcPr>
            <w:tcW w:w="1488"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549" w:type="dxa"/>
            <w:gridSpan w:val="3"/>
            <w:tcBorders/>
            <w:shd w:fill="auto" w:val="clear"/>
            <w:vAlign w:val="center"/>
          </w:tcPr>
          <w:p>
            <w:pPr>
              <w:pStyle w:val="TableContents"/>
              <w:spacing w:before="0" w:after="283"/>
              <w:rPr>
                <w:sz w:val="4"/>
                <w:szCs w:val="4"/>
              </w:rPr>
            </w:pPr>
            <w:r>
              <w:rPr>
                <w:sz w:val="4"/>
                <w:szCs w:val="4"/>
              </w:rPr>
            </w:r>
          </w:p>
        </w:tc>
      </w:tr>
      <w:tr>
        <w:trPr/>
        <w:tc>
          <w:tcPr>
            <w:tcW w:w="6796" w:type="dxa"/>
            <w:gridSpan w:val="3"/>
            <w:tcBorders/>
            <w:shd w:fill="auto" w:val="clear"/>
            <w:vAlign w:val="center"/>
          </w:tcPr>
          <w:p>
            <w:pPr>
              <w:pStyle w:val="TableContents"/>
              <w:spacing w:before="0" w:after="283"/>
              <w:rPr>
                <w:sz w:val="4"/>
                <w:szCs w:val="4"/>
              </w:rPr>
            </w:pPr>
            <w:r>
              <w:rPr>
                <w:sz w:val="4"/>
                <w:szCs w:val="4"/>
              </w:rPr>
            </w:r>
          </w:p>
        </w:tc>
        <w:tc>
          <w:tcPr>
            <w:tcW w:w="1488"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549" w:type="dxa"/>
            <w:gridSpan w:val="3"/>
            <w:tcBorders/>
            <w:shd w:fill="auto" w:val="clear"/>
            <w:vAlign w:val="center"/>
          </w:tcPr>
          <w:p>
            <w:pPr>
              <w:pStyle w:val="TableContents"/>
              <w:spacing w:before="0" w:after="283"/>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501,655 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1,419,890 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1,449,215 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bl>
      <w:tblPr>
        <w:tblW w:w="8665" w:type="dxa"/>
        <w:jc w:val="center"/>
        <w:tblInd w:w="0" w:type="dxa"/>
        <w:tblCellMar>
          <w:top w:w="28" w:type="dxa"/>
          <w:left w:w="28" w:type="dxa"/>
          <w:bottom w:w="28" w:type="dxa"/>
          <w:right w:w="28" w:type="dxa"/>
        </w:tblCellMar>
      </w:tblPr>
      <w:tblGrid>
        <w:gridCol w:w="1931"/>
        <w:gridCol w:w="1687"/>
        <w:gridCol w:w="1707"/>
        <w:gridCol w:w="109"/>
        <w:gridCol w:w="109"/>
        <w:gridCol w:w="128"/>
        <w:gridCol w:w="128"/>
        <w:gridCol w:w="248"/>
        <w:gridCol w:w="972"/>
        <w:gridCol w:w="128"/>
        <w:gridCol w:w="109"/>
        <w:gridCol w:w="109"/>
        <w:gridCol w:w="109"/>
        <w:gridCol w:w="211"/>
        <w:gridCol w:w="826"/>
        <w:gridCol w:w="154"/>
      </w:tblGrid>
      <w:tr>
        <w:trPr/>
        <w:tc>
          <w:tcPr>
            <w:tcW w:w="1931"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acquisition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Southbridge Landfill closure charge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252,330 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COMPREHENSIVE INCOME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179" w:type="dxa"/>
        <w:jc w:val="center"/>
        <w:tblInd w:w="0" w:type="dxa"/>
        <w:tblCellMar>
          <w:top w:w="28" w:type="dxa"/>
          <w:left w:w="28" w:type="dxa"/>
          <w:bottom w:w="28" w:type="dxa"/>
          <w:right w:w="28" w:type="dxa"/>
        </w:tblCellMar>
      </w:tblPr>
      <w:tblGrid>
        <w:gridCol w:w="2514"/>
        <w:gridCol w:w="2206"/>
        <w:gridCol w:w="2225"/>
        <w:gridCol w:w="109"/>
        <w:gridCol w:w="109"/>
        <w:gridCol w:w="151"/>
        <w:gridCol w:w="151"/>
        <w:gridCol w:w="293"/>
        <w:gridCol w:w="857"/>
        <w:gridCol w:w="151"/>
        <w:gridCol w:w="109"/>
        <w:gridCol w:w="109"/>
        <w:gridCol w:w="109"/>
        <w:gridCol w:w="211"/>
        <w:gridCol w:w="721"/>
        <w:gridCol w:w="154"/>
      </w:tblGrid>
      <w:tr>
        <w:trPr/>
        <w:tc>
          <w:tcPr>
            <w:tcW w:w="2514"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6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Hedging activity: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settlements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amounts reclassified into 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resulting from changes in fair value of derivative instruments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 related to items of other comprehensive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9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jc w:val="center"/>
        <w:rPr/>
      </w:pPr>
      <w:r>
        <w:rPr/>
      </w:r>
    </w:p>
    <w:tbl>
      <w:tblPr>
        <w:tblW w:w="10683" w:type="dxa"/>
        <w:jc w:val="center"/>
        <w:tblInd w:w="0" w:type="dxa"/>
        <w:tblCellMar>
          <w:top w:w="28" w:type="dxa"/>
          <w:left w:w="28" w:type="dxa"/>
          <w:bottom w:w="28" w:type="dxa"/>
          <w:right w:w="28" w:type="dxa"/>
        </w:tblCellMar>
      </w:tblPr>
      <w:tblGrid>
        <w:gridCol w:w="750"/>
        <w:gridCol w:w="225"/>
        <w:gridCol w:w="226"/>
        <w:gridCol w:w="196"/>
        <w:gridCol w:w="736"/>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32"/>
        <w:gridCol w:w="659"/>
        <w:gridCol w:w="130"/>
        <w:gridCol w:w="109"/>
        <w:gridCol w:w="154"/>
      </w:tblGrid>
      <w:tr>
        <w:trPr/>
        <w:tc>
          <w:tcPr>
            <w:tcW w:w="7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1"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Casella Waste Systems, Inc.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w:t>
              <w:b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tbl>
      <w:tblPr>
        <w:tblW w:w="11773" w:type="dxa"/>
        <w:jc w:val="center"/>
        <w:tblInd w:w="0" w:type="dxa"/>
        <w:tblCellMar>
          <w:top w:w="28" w:type="dxa"/>
          <w:left w:w="28" w:type="dxa"/>
          <w:bottom w:w="28" w:type="dxa"/>
          <w:right w:w="28" w:type="dxa"/>
        </w:tblCellMar>
      </w:tblPr>
      <w:tblGrid>
        <w:gridCol w:w="750"/>
        <w:gridCol w:w="225"/>
        <w:gridCol w:w="226"/>
        <w:gridCol w:w="196"/>
        <w:gridCol w:w="736"/>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28"/>
        <w:gridCol w:w="665"/>
        <w:gridCol w:w="128"/>
        <w:gridCol w:w="109"/>
        <w:gridCol w:w="109"/>
        <w:gridCol w:w="109"/>
        <w:gridCol w:w="109"/>
        <w:gridCol w:w="109"/>
        <w:gridCol w:w="109"/>
        <w:gridCol w:w="109"/>
        <w:gridCol w:w="109"/>
        <w:gridCol w:w="109"/>
        <w:gridCol w:w="109"/>
        <w:gridCol w:w="109"/>
        <w:gridCol w:w="154"/>
      </w:tblGrid>
      <w:tr>
        <w:trPr/>
        <w:tc>
          <w:tcPr>
            <w:tcW w:w="7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1"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Casella Waste Systems, Inc.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w:t>
              <w:br/>
              <w:t>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Class A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Hedging activity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425" w:type="dxa"/>
        <w:jc w:val="center"/>
        <w:tblInd w:w="0" w:type="dxa"/>
        <w:tblCellMar>
          <w:top w:w="28" w:type="dxa"/>
          <w:left w:w="28" w:type="dxa"/>
          <w:bottom w:w="28" w:type="dxa"/>
          <w:right w:w="28" w:type="dxa"/>
        </w:tblCellMar>
      </w:tblPr>
      <w:tblGrid>
        <w:gridCol w:w="2071"/>
        <w:gridCol w:w="1819"/>
        <w:gridCol w:w="1825"/>
        <w:gridCol w:w="196"/>
        <w:gridCol w:w="646"/>
        <w:gridCol w:w="109"/>
        <w:gridCol w:w="109"/>
        <w:gridCol w:w="109"/>
        <w:gridCol w:w="109"/>
        <w:gridCol w:w="196"/>
        <w:gridCol w:w="646"/>
        <w:gridCol w:w="109"/>
        <w:gridCol w:w="109"/>
        <w:gridCol w:w="109"/>
        <w:gridCol w:w="109"/>
        <w:gridCol w:w="154"/>
      </w:tblGrid>
      <w:tr>
        <w:trPr/>
        <w:tc>
          <w:tcPr>
            <w:tcW w:w="2071"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accretion on landfill and environmental remediation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Disposition of assets, other items and charges,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effects of acquisitions and divestitures: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inventories and other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contract liabilities and other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net of cash acquired</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property, plant and equipment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and equipment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 borrowings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debt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share based awards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interest payments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income tax payments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financing lease obligations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operating lease obligations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CASELLA WASTE SYSTEMS,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Casella Waste Systems, Inc. (“Parent”), a Delaware corporation, and its consolidated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 </w:t>
      </w:r>
    </w:p>
    <w:p>
      <w:pPr>
        <w:pStyle w:val="TextBody"/>
        <w:spacing w:lineRule="auto" w:line="288" w:before="120" w:after="283"/>
        <w:rPr/>
      </w:pPr>
      <w:r>
        <w:rPr>
          <w:rFonts w:ascii="Times New Roman;sans-serif" w:hAnsi="Times New Roman;sans-serif"/>
          <w:b w:val="false"/>
          <w:color w:val="000000"/>
          <w:sz w:val="20"/>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of our Annual Report on Form 10-K for the fiscal year ended December 31, 2022 ("fiscal year 2022"), which was filed with the SEC on February 17, 2023 ("2022 Form 10-K").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months ended March 31, 2023 may not be indicative of the results for any other interim period or the entire fiscal year. The consolidated financial statements presented herein should be read in conjunction with our audited consolidated financial statements included in our 2022 Form 10-K.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When necessary, certain prior period amounts in the consolidated financial statements are conformed to current period presentation. This includes the presentation of certain adjustments to reconcile net income to net cash provided by operating activities, which have been reclassified within cash flows from operating activities.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or transactions that have occurred after the consolidated balance sheet date of March 31, 2023 through the date of filing of the consolidated financial statements with the SEC on this Quarterly Report on Form 10-Q. Except as disclosed, no material subsequent events have occurred since March 31, 2023 through the date of this filing that would require recognition or disclosure in our consolidated financial statements.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2.    ACCOUNTING CHANGES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brief description of a recent Accounting Standards Update ("ASU(s)") to the Accounting Standards Codification ("ASC") issued by the Financial Accounting Standards Board (“FASB”) that we adopted and is deemed to have a possible material impact on our consolidated financial statements based on current account balances and activity:</w:t>
      </w:r>
    </w:p>
    <w:tbl>
      <w:tblPr>
        <w:tblW w:w="10205" w:type="dxa"/>
        <w:jc w:val="left"/>
        <w:tblInd w:w="0" w:type="dxa"/>
        <w:tblCellMar>
          <w:top w:w="28" w:type="dxa"/>
          <w:left w:w="28" w:type="dxa"/>
          <w:bottom w:w="28" w:type="dxa"/>
          <w:right w:w="28" w:type="dxa"/>
        </w:tblCellMar>
      </w:tblPr>
      <w:tblGrid>
        <w:gridCol w:w="456"/>
        <w:gridCol w:w="400"/>
        <w:gridCol w:w="407"/>
        <w:gridCol w:w="109"/>
        <w:gridCol w:w="109"/>
        <w:gridCol w:w="109"/>
        <w:gridCol w:w="774"/>
        <w:gridCol w:w="774"/>
        <w:gridCol w:w="782"/>
        <w:gridCol w:w="109"/>
        <w:gridCol w:w="109"/>
        <w:gridCol w:w="109"/>
        <w:gridCol w:w="2075"/>
        <w:gridCol w:w="1605"/>
        <w:gridCol w:w="2278"/>
      </w:tblGrid>
      <w:tr>
        <w:trPr/>
        <w:tc>
          <w:tcPr>
            <w:tcW w:w="45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5"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58" w:type="dxa"/>
            <w:gridSpan w:val="3"/>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or Other</w:t>
              <w:br/>
              <w:t>Significant Matters</w:t>
            </w:r>
          </w:p>
        </w:tc>
      </w:tr>
      <w:tr>
        <w:trPr/>
        <w:tc>
          <w:tcPr>
            <w:tcW w:w="1020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Accounting standards adopted effective January 1, 2023</w:t>
            </w:r>
          </w:p>
        </w:tc>
      </w:tr>
      <w:tr>
        <w:trPr/>
        <w:tc>
          <w:tcPr>
            <w:tcW w:w="12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No. 2020-04: Reference Rate Reform (Topic 848), as amended through December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Provides temporary optional guidance to ease the potential burden in applying GAAP to contract modifications and hedging relationships that reference London Inter-Bank Offered Rate ("LIBOR") or another reference rate expected to be discontinued, subject to meeting certain criteria.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interest rate derivative agreements with hedging relationships that reference LIBOR, which is going to be discontinued effective July 1, 2023. This guidance provides optional expedients and exceptions for applying GAAP to contracts, hedging relationships and other transactions affected by reference rate reform if certain criteria are met. Effective the three months ended March 31, 2023, we elected optional expedients under this guidance that provide temporary relief over contract modifications and hedge accounting in order to maintain hedge effectiveness upon modifying contract terms related to reference rate reform in our amended and restated credit agreement, dated as of December 22, 2021, as amended by the first amendment, dated as of February 9, 2023, and the second amendment, dated as of February 9, 2023 (the "Amended and Restated Credit Agreement") and to transition our interest rate derivative agreements from LIBOR to another reference rate prior to the planned discontinuation of LIBOR on July 1, 2023. See Note 7, Debt. This guidance will be in effect through December 31, 2024.</w:t>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58" w:type="dxa"/>
            <w:gridSpan w:val="3"/>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58" w:type="dxa"/>
            <w:gridSpan w:val="3"/>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58" w:type="dxa"/>
            <w:gridSpan w:val="3"/>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8942" w:type="dxa"/>
            <w:gridSpan w:val="12"/>
            <w:tcBorders/>
            <w:shd w:fill="auto" w:val="clea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58" w:type="dxa"/>
            <w:gridSpan w:val="3"/>
            <w:tcBorders/>
            <w:shd w:fill="auto" w:val="clear"/>
            <w:vAlign w:val="center"/>
          </w:tcPr>
          <w:p>
            <w:pPr>
              <w:pStyle w:val="TableContents"/>
              <w:spacing w:before="0" w:after="283"/>
              <w:rPr>
                <w:sz w:val="4"/>
                <w:szCs w:val="4"/>
              </w:rPr>
            </w:pPr>
            <w:r>
              <w:rPr>
                <w:sz w:val="4"/>
                <w:szCs w:val="4"/>
              </w:rPr>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resource-renewal operations are derived from processing services, and non-processing services, which we now refer to as our National Accounts business.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disaggregated by service line and timing of revenue recognition by operating segment for each of the three months ended March 31, 2023 and 2022:</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Three Months Ended March 31, 2023</w:t>
      </w:r>
    </w:p>
    <w:tbl>
      <w:tblPr>
        <w:tblW w:w="8387" w:type="dxa"/>
        <w:jc w:val="left"/>
        <w:tblInd w:w="0" w:type="dxa"/>
        <w:tblCellMar>
          <w:top w:w="28" w:type="dxa"/>
          <w:left w:w="28" w:type="dxa"/>
          <w:bottom w:w="28" w:type="dxa"/>
          <w:right w:w="28" w:type="dxa"/>
        </w:tblCellMar>
      </w:tblPr>
      <w:tblGrid>
        <w:gridCol w:w="902"/>
        <w:gridCol w:w="790"/>
        <w:gridCol w:w="797"/>
        <w:gridCol w:w="211"/>
        <w:gridCol w:w="721"/>
        <w:gridCol w:w="109"/>
        <w:gridCol w:w="109"/>
        <w:gridCol w:w="109"/>
        <w:gridCol w:w="109"/>
        <w:gridCol w:w="211"/>
        <w:gridCol w:w="826"/>
        <w:gridCol w:w="109"/>
        <w:gridCol w:w="109"/>
        <w:gridCol w:w="109"/>
        <w:gridCol w:w="109"/>
        <w:gridCol w:w="298"/>
        <w:gridCol w:w="1018"/>
        <w:gridCol w:w="154"/>
        <w:gridCol w:w="109"/>
        <w:gridCol w:w="109"/>
        <w:gridCol w:w="109"/>
        <w:gridCol w:w="223"/>
        <w:gridCol w:w="874"/>
        <w:gridCol w:w="163"/>
      </w:tblGrid>
      <w:tr>
        <w:trPr/>
        <w:tc>
          <w:tcPr>
            <w:tcW w:w="90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24,382 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2022 </w:t>
      </w:r>
    </w:p>
    <w:tbl>
      <w:tblPr>
        <w:tblW w:w="8282" w:type="dxa"/>
        <w:jc w:val="left"/>
        <w:tblInd w:w="0" w:type="dxa"/>
        <w:tblCellMar>
          <w:top w:w="28" w:type="dxa"/>
          <w:left w:w="28" w:type="dxa"/>
          <w:bottom w:w="28" w:type="dxa"/>
          <w:right w:w="28" w:type="dxa"/>
        </w:tblCellMar>
      </w:tblPr>
      <w:tblGrid>
        <w:gridCol w:w="902"/>
        <w:gridCol w:w="790"/>
        <w:gridCol w:w="797"/>
        <w:gridCol w:w="211"/>
        <w:gridCol w:w="721"/>
        <w:gridCol w:w="109"/>
        <w:gridCol w:w="109"/>
        <w:gridCol w:w="109"/>
        <w:gridCol w:w="109"/>
        <w:gridCol w:w="211"/>
        <w:gridCol w:w="721"/>
        <w:gridCol w:w="109"/>
        <w:gridCol w:w="109"/>
        <w:gridCol w:w="109"/>
        <w:gridCol w:w="109"/>
        <w:gridCol w:w="298"/>
        <w:gridCol w:w="1018"/>
        <w:gridCol w:w="154"/>
        <w:gridCol w:w="109"/>
        <w:gridCol w:w="109"/>
        <w:gridCol w:w="109"/>
        <w:gridCol w:w="223"/>
        <w:gridCol w:w="874"/>
        <w:gridCol w:w="163"/>
      </w:tblGrid>
      <w:tr>
        <w:trPr/>
        <w:tc>
          <w:tcPr>
            <w:tcW w:w="90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Eastern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Western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Resource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gas-to-energy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218,310 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234,027 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$6,629 in the three months ended March 31, 2023 and $3,794 in the three months ended March 31, 2022. Rebates are generally recorded as a reduction of revenues upon the sale of such materials, or upon receipt of the recycled materials at our facilities. We did not record any revenues in the three months ended March 31, 2023 or March 31, 2022 from performance obligations satisfied in previous periods.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Contract receivables, which are included in Accounts receivable, net are recorded when billed or when related revenue is earned, if earlier, and represent claims against third-parties that will be settled in cash. Accounts receivable, net includes gross receivables from contracts of $97,340 and $102,234 as of March 31, 2023 and December 31, 2022, respectively. Certain customers are billed in advance and, accordingly, recognition of the related revenues is deferred as a contract liability until the services are provided and control transferred to the customer. We recognized contract liabilities of $4,146 and $3,742 as of March 31, 2023 and December 31, 2022, respectively. Due to the short term nature of advanced billings, substantially all of the deferred revenue recognized as a contract liability as of December 31, 2022 and December 31, 2021 was recognized as revenue during the three months ended March 31, 2023 and March 31, 2022, respectively, when the services were performed.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INTANGIBLE ASSETS</w:t>
      </w:r>
    </w:p>
    <w:tbl>
      <w:tblPr>
        <w:tblW w:w="180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Summaries of intangible assets by type follows:</w:t>
      </w:r>
    </w:p>
    <w:tbl>
      <w:tblPr>
        <w:tblW w:w="8982" w:type="dxa"/>
        <w:jc w:val="left"/>
        <w:tblInd w:w="0" w:type="dxa"/>
        <w:tblCellMar>
          <w:top w:w="28" w:type="dxa"/>
          <w:left w:w="28" w:type="dxa"/>
          <w:bottom w:w="28" w:type="dxa"/>
          <w:right w:w="28" w:type="dxa"/>
        </w:tblCellMar>
      </w:tblPr>
      <w:tblGrid>
        <w:gridCol w:w="956"/>
        <w:gridCol w:w="841"/>
        <w:gridCol w:w="843"/>
        <w:gridCol w:w="261"/>
        <w:gridCol w:w="894"/>
        <w:gridCol w:w="136"/>
        <w:gridCol w:w="109"/>
        <w:gridCol w:w="109"/>
        <w:gridCol w:w="109"/>
        <w:gridCol w:w="334"/>
        <w:gridCol w:w="1308"/>
        <w:gridCol w:w="172"/>
        <w:gridCol w:w="109"/>
        <w:gridCol w:w="109"/>
        <w:gridCol w:w="109"/>
        <w:gridCol w:w="240"/>
        <w:gridCol w:w="701"/>
        <w:gridCol w:w="124"/>
        <w:gridCol w:w="109"/>
        <w:gridCol w:w="109"/>
        <w:gridCol w:w="109"/>
        <w:gridCol w:w="211"/>
        <w:gridCol w:w="826"/>
        <w:gridCol w:w="154"/>
      </w:tblGrid>
      <w:tr>
        <w:trPr/>
        <w:tc>
          <w:tcPr>
            <w:tcW w:w="95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Covenants</w:t>
              <w:br/>
              <w:t>Not-to-Compete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 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2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tbl>
      <w:tblPr>
        <w:tblW w:w="8981" w:type="dxa"/>
        <w:jc w:val="center"/>
        <w:tblInd w:w="0" w:type="dxa"/>
        <w:tblCellMar>
          <w:top w:w="28" w:type="dxa"/>
          <w:left w:w="28" w:type="dxa"/>
          <w:bottom w:w="28" w:type="dxa"/>
          <w:right w:w="28" w:type="dxa"/>
        </w:tblCellMar>
      </w:tblPr>
      <w:tblGrid>
        <w:gridCol w:w="956"/>
        <w:gridCol w:w="840"/>
        <w:gridCol w:w="843"/>
        <w:gridCol w:w="261"/>
        <w:gridCol w:w="894"/>
        <w:gridCol w:w="136"/>
        <w:gridCol w:w="109"/>
        <w:gridCol w:w="109"/>
        <w:gridCol w:w="109"/>
        <w:gridCol w:w="334"/>
        <w:gridCol w:w="1308"/>
        <w:gridCol w:w="172"/>
        <w:gridCol w:w="109"/>
        <w:gridCol w:w="109"/>
        <w:gridCol w:w="109"/>
        <w:gridCol w:w="240"/>
        <w:gridCol w:w="701"/>
        <w:gridCol w:w="124"/>
        <w:gridCol w:w="109"/>
        <w:gridCol w:w="109"/>
        <w:gridCol w:w="109"/>
        <w:gridCol w:w="211"/>
        <w:gridCol w:w="826"/>
        <w:gridCol w:w="154"/>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Covenants</w:t>
              <w:br/>
              <w:t>Not-to-Compete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 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2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Intangible amortization expense was $4,071 during the three months ended March 31, 2023 and $3,789 during the three months ended March 31,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intangible amortization expense estimated for each of the next five fiscal years following fiscal year 2022 and thereafter is estimated as follows:</w:t>
      </w:r>
    </w:p>
    <w:tbl>
      <w:tblPr>
        <w:tblW w:w="5705" w:type="dxa"/>
        <w:jc w:val="left"/>
        <w:tblInd w:w="0" w:type="dxa"/>
        <w:tblCellMar>
          <w:top w:w="28" w:type="dxa"/>
          <w:left w:w="28" w:type="dxa"/>
          <w:bottom w:w="28" w:type="dxa"/>
          <w:right w:w="28" w:type="dxa"/>
        </w:tblCellMar>
      </w:tblPr>
      <w:tblGrid>
        <w:gridCol w:w="1673"/>
        <w:gridCol w:w="1471"/>
        <w:gridCol w:w="1475"/>
        <w:gridCol w:w="211"/>
        <w:gridCol w:w="721"/>
        <w:gridCol w:w="154"/>
      </w:tblGrid>
      <w:tr>
        <w:trPr/>
        <w:tc>
          <w:tcPr>
            <w:tcW w:w="1673"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Estimated Future Amortization Expense as of March 31, 2023</w:t>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2024</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2025</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2026</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December 31, 2027</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5.    OTHER ACCRUED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other accrued liabilities, classified as current liabilities follows:</w:t>
      </w:r>
    </w:p>
    <w:tbl>
      <w:tblPr>
        <w:tblW w:w="5746" w:type="dxa"/>
        <w:jc w:val="left"/>
        <w:tblInd w:w="0" w:type="dxa"/>
        <w:tblCellMar>
          <w:top w:w="28" w:type="dxa"/>
          <w:left w:w="28" w:type="dxa"/>
          <w:bottom w:w="28" w:type="dxa"/>
          <w:right w:w="28" w:type="dxa"/>
        </w:tblCellMar>
      </w:tblPr>
      <w:tblGrid>
        <w:gridCol w:w="1172"/>
        <w:gridCol w:w="1032"/>
        <w:gridCol w:w="1035"/>
        <w:gridCol w:w="211"/>
        <w:gridCol w:w="721"/>
        <w:gridCol w:w="109"/>
        <w:gridCol w:w="109"/>
        <w:gridCol w:w="109"/>
        <w:gridCol w:w="109"/>
        <w:gridCol w:w="221"/>
        <w:gridCol w:w="757"/>
        <w:gridCol w:w="161"/>
      </w:tblGrid>
      <w:tr>
        <w:trPr/>
        <w:tc>
          <w:tcPr>
            <w:tcW w:w="1172"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466" w:type="dxa"/>
            <w:gridSpan w:val="6"/>
            <w:tcBorders/>
            <w:shd w:fill="auto" w:val="clea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 insurance reserve -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6.    ACCRUED FINAL CAPPING, CLOSURE AND POST CLOSURE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to accrued final capping, closure and post-closure liabilities follows:</w:t>
      </w:r>
    </w:p>
    <w:tbl>
      <w:tblPr>
        <w:tblW w:w="4493" w:type="dxa"/>
        <w:jc w:val="left"/>
        <w:tblInd w:w="0" w:type="dxa"/>
        <w:tblCellMar>
          <w:top w:w="28" w:type="dxa"/>
          <w:left w:w="28" w:type="dxa"/>
          <w:bottom w:w="28" w:type="dxa"/>
          <w:right w:w="28" w:type="dxa"/>
        </w:tblCellMar>
      </w:tblPr>
      <w:tblGrid>
        <w:gridCol w:w="701"/>
        <w:gridCol w:w="615"/>
        <w:gridCol w:w="618"/>
        <w:gridCol w:w="211"/>
        <w:gridCol w:w="826"/>
        <w:gridCol w:w="109"/>
        <w:gridCol w:w="109"/>
        <w:gridCol w:w="109"/>
        <w:gridCol w:w="109"/>
        <w:gridCol w:w="211"/>
        <w:gridCol w:w="721"/>
        <w:gridCol w:w="154"/>
      </w:tblGrid>
      <w:tr>
        <w:trPr/>
        <w:tc>
          <w:tcPr>
            <w:tcW w:w="70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incurred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Accretion expense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Obligations settled</w:t>
            </w:r>
            <w:r>
              <w:rPr>
                <w:color w:val="000000"/>
              </w:rPr>
              <w:t xml:space="preserve"> </w:t>
            </w:r>
            <w:r>
              <w:rPr>
                <w:rFonts w:ascii="Times New Roman;sans-serif" w:hAnsi="Times New Roman;sans-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60" w:after="283"/>
        <w:ind w:left="0" w:right="0" w:hanging="720"/>
        <w:rPr/>
      </w:pPr>
      <w:r>
        <w:rPr>
          <w:rFonts w:ascii="Times New Roman;sans-serif" w:hAnsi="Times New Roman;sans-serif"/>
          <w:b w:val="false"/>
          <w:color w:val="000000"/>
          <w:sz w:val="16"/>
        </w:rPr>
        <w:t>(1)</w:t>
      </w:r>
      <w:r>
        <w:rPr>
          <w:rFonts w:ascii="Times New Roman;sans-serif" w:hAnsi="Times New Roman;sans-serif"/>
          <w:b w:val="false"/>
          <w:color w:val="000000"/>
          <w:sz w:val="20"/>
        </w:rPr>
        <w:t>May include amounts that are being processed through accounts payable as a part of our disbursements cycle.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debt is as follows:</w:t>
      </w:r>
    </w:p>
    <w:tbl>
      <w:tblPr>
        <w:tblW w:w="10205" w:type="dxa"/>
        <w:jc w:val="left"/>
        <w:tblInd w:w="0" w:type="dxa"/>
        <w:tblCellMar>
          <w:top w:w="28" w:type="dxa"/>
          <w:left w:w="28" w:type="dxa"/>
          <w:bottom w:w="28" w:type="dxa"/>
          <w:right w:w="28" w:type="dxa"/>
        </w:tblCellMar>
      </w:tblPr>
      <w:tblGrid>
        <w:gridCol w:w="2948"/>
        <w:gridCol w:w="2286"/>
        <w:gridCol w:w="2305"/>
        <w:gridCol w:w="211"/>
        <w:gridCol w:w="826"/>
        <w:gridCol w:w="109"/>
        <w:gridCol w:w="109"/>
        <w:gridCol w:w="109"/>
        <w:gridCol w:w="109"/>
        <w:gridCol w:w="211"/>
        <w:gridCol w:w="826"/>
        <w:gridCol w:w="156"/>
      </w:tblGrid>
      <w:tr>
        <w:trPr/>
        <w:tc>
          <w:tcPr>
            <w:tcW w:w="2948" w:type="dxa"/>
            <w:tcBorders/>
            <w:shd w:fill="auto" w:val="clear"/>
            <w:vAlign w:val="center"/>
          </w:tcPr>
          <w:p>
            <w:pPr>
              <w:pStyle w:val="TableContents"/>
              <w:spacing w:before="0" w:after="283"/>
              <w:rPr>
                <w:sz w:val="4"/>
                <w:szCs w:val="4"/>
              </w:rPr>
            </w:pPr>
            <w:r>
              <w:rPr>
                <w:sz w:val="4"/>
                <w:szCs w:val="4"/>
              </w:rPr>
            </w:r>
          </w:p>
        </w:tc>
        <w:tc>
          <w:tcPr>
            <w:tcW w:w="2286" w:type="dxa"/>
            <w:tcBorders/>
            <w:shd w:fill="auto" w:val="clear"/>
            <w:vAlign w:val="center"/>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 ("Term Loan Facility") due December 2026; bearing interest at term secured overnight financing rate ("Term SOFR") plus 1.135%</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("Revolving Credit Facility") due December 2026; bearing interest at Term SOFR plus 1.135%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Tax-Exempt Bonds: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2014 ("New York Bonds 2014R-1") due December 2044 - fixed rate interest period through 2029; bearing interest at 2.875%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2014R-2 ("New York Bonds 2014R-2") due December 2044 - fixed rate interest period through 2026; bearing interest at 3.125%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Environmental Facilities Corporation Solid Waste Disposal Revenue Bonds Series 2020 ("New York Bonds 2020") due September 2050 - fixed rate interest period through 2025; bearing interest at 2.750%</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2005R-3 ("FAME Bonds 2005R-3") due January 2025 - fixed rate interest period through 2025; bearing interest at 5.25%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2015R-1 ("FAME Bonds 2015R-1") due August 2035 - fixed rate interest period through 2025; bearing interest at 5.125%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Authority of Maine Solid Waste Disposal Revenue Bonds Series 2015R-2 ("FAME Bonds 2015R-2") due August 2035 - fixed rate interest period through 2025; bearing interest at 4.375%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Long-Term Revenue Bonds Series 2013 ("Vermont Bonds 2013") due April 2036 - fixed rate interest period through 2028; bearing interest at 4.625%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Vermont Economic Development Authority Solid Waste Disposal Long-Term Revenue Bonds Series 2022A-1 ("Vermont Bonds 2022A-1") due June 2052 - fixed rate interest period through 2027; bearing interest at 5.00%</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Finance Authority of the State of New Hampshire Solid Waste Disposal Revenue Bonds Series 2013 ("New Hampshire Bonds") due April 2029 - fixed rate interest period through 2029; bearing interest at 2.95%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maturing through December 2107; bearing interest at a weighted average of 3.7%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maturing through August 2024; bearing interest up to 4.0%</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amount of debt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Less—unamortized debt issuance costs </w:t>
            </w:r>
            <w:r>
              <w:rPr>
                <w:rFonts w:ascii="Times New Roman;sans-serif" w:hAnsi="Times New Roman;sans-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unamortized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maturities of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ind w:left="0" w:right="0" w:hanging="720"/>
        <w:rPr/>
      </w:pPr>
      <w:r>
        <w:rPr>
          <w:rFonts w:ascii="Times New Roman;sans-serif" w:hAnsi="Times New Roman;sans-serif"/>
          <w:b w:val="false"/>
          <w:color w:val="000000"/>
          <w:sz w:val="16"/>
        </w:rPr>
        <w:t>(1)</w:t>
      </w:r>
      <w:r>
        <w:rPr>
          <w:rFonts w:ascii="Times New Roman;sans-serif" w:hAnsi="Times New Roman;sans-serif"/>
          <w:b w:val="false"/>
          <w:color w:val="000000"/>
          <w:sz w:val="20"/>
        </w:rPr>
        <w:t>A summary of unamortized debt issuance costs by debt instrument follows:</w:t>
      </w:r>
    </w:p>
    <w:tbl>
      <w:tblPr>
        <w:tblW w:w="9437" w:type="dxa"/>
        <w:jc w:val="left"/>
        <w:tblInd w:w="0" w:type="dxa"/>
        <w:tblCellMar>
          <w:top w:w="28" w:type="dxa"/>
          <w:left w:w="28" w:type="dxa"/>
          <w:bottom w:w="28" w:type="dxa"/>
          <w:right w:w="28" w:type="dxa"/>
        </w:tblCellMar>
      </w:tblPr>
      <w:tblGrid>
        <w:gridCol w:w="2548"/>
        <w:gridCol w:w="2237"/>
        <w:gridCol w:w="2249"/>
        <w:gridCol w:w="211"/>
        <w:gridCol w:w="616"/>
        <w:gridCol w:w="109"/>
        <w:gridCol w:w="109"/>
        <w:gridCol w:w="109"/>
        <w:gridCol w:w="109"/>
        <w:gridCol w:w="245"/>
        <w:gridCol w:w="716"/>
        <w:gridCol w:w="179"/>
      </w:tblGrid>
      <w:tr>
        <w:trPr/>
        <w:tc>
          <w:tcPr>
            <w:tcW w:w="2548" w:type="dxa"/>
            <w:tcBorders/>
            <w:shd w:fill="auto" w:val="clear"/>
            <w:vAlign w:val="center"/>
          </w:tcPr>
          <w:p>
            <w:pPr>
              <w:pStyle w:val="TableContents"/>
              <w:spacing w:before="0" w:after="283"/>
              <w:rPr>
                <w:sz w:val="4"/>
                <w:szCs w:val="4"/>
              </w:rPr>
            </w:pPr>
            <w:r>
              <w:rPr>
                <w:sz w:val="4"/>
                <w:szCs w:val="4"/>
              </w:rPr>
            </w:r>
          </w:p>
        </w:tc>
        <w:tc>
          <w:tcPr>
            <w:tcW w:w="2237"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7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and Term Loan Facility (collectively, the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Bonds 2014R-1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Bonds 2014R-2</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Bonds 2020</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FAME Bonds 2005R-3</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FAME Bonds 2015R-1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FAME Bonds 2015R-2</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Vermont Bonds 2013</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Vermont Bonds 2022A-1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Hampshire Bonds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hanging="720"/>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 April 2023, we entered into a commitment letter with lenders to obtain secured bridge financing in an amount of up to $375,000, less the amount of any term loan A ("Term Loan A"), and received the commitment of certain commitment parties to fund up to $261,500 of a maximum of $400,000 Term Loan A, which may be a delayed draw, under our Amended and Restated Credit Agreement to fund, in conjunction with cash and cash equivalents and borrowings from our Revolving Credit Facility the purchase of the equity interests of four wholly owned subsidiaries of GFL Environmental ("GFL Subsidiaries"). On April 21, 2023, we entered into an equity purchase agreement with GFL Environmental Inc. to purchase 100% of the equity interests of the GFL Subsidiaries that operate solid waste collection, transfer and recycling operations in Pennsylvania, Maryland, and Delaware for approximately $525,000 in cash. The proposed acquisition includes nine hauling operations, one transfer station, and one material recovery facility. The acquisition is expected to close by the third quarter of the fiscal year ending December 31, 2023 ("fiscal year 2023"), subject to customary closing conditions, including regulatory approvals.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we are party to the Amended and Restated Credit Agreement, which provides for a $350,000 aggregate principal amount Term Loan Facility and a $300,000 Revolving Credit Facility, with a $75,000 sublimit for letters of credit. We have the right to request, at our discretion, an increase in the amount of loans under the Credit Facility by an aggregate amount of $125,000, subject to the terms and conditions set forth in the Amended and Restated Credit Agreement. The Credit Facility has a 5-year term that matures in December 2026. On February 9, 2023, we entered into first and second amendments to the Amended and Restated Credit Agreement. The first amendment provides, commencing in the fiscal year ending December 31, 2024, the interest rate margin applied for drawn and undrawn amounts under the Amended and Restated Credit Agreement shall be separately adjusted based on our achievement of certain thresholds and targets on two sustainability related key performance indicator metrics during fiscal year 2023: (i) metric tons of solid waste materials reduced, reused or recycled through our direct operations or with third-parties in collaboration with customers; and (ii) our total recordable incident rate. The second amendment provides that loans under the Amended and Restated Credit Agreement shall bear interest, at our election, at Term SOFR, including a secured overnight financing rate adjustment of 10 basis points, or at a base rate, in each case, plus an applicable interest rate margin based on consolidated net leverage ratio, and plus or minus any sustainability rate adjustment. Unless loans are made as or converted to base rate loans, loans under the Amended and Restated Credit Agreement will bear interest at Term SOFR, including a secured overnight financing rate adjustment of 10 basis points, plus a margin based upon our consolidated net leverage ratio in the range of 1.125% to 2.125% per annum, plus a sustainability adjustment of up to positive or negative 4.0 basis point per annum. A commitment fee will be charged on undrawn amounts at a rate of Term SOFR, plus a margin based upon our consolidated net leverage ratio in the range of 0.20% to 0.40% per annum, plus a sustainability adjustment of up to positive or negative 1.0 basis points per annum.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March 31, 2023, further advances were available under the Revolving Credit Facility in the amount of $272,267. The available amount is net of outstanding irrevocable letters of credit totaling $27,733, and as of March 31, 2023 no amount had been drawn.</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pPr>
      <w:r>
        <w:rPr>
          <w:rFonts w:ascii="Times New Roman;sans-serif" w:hAnsi="Times New Roman;sans-serif"/>
          <w:b/>
          <w:color w:val="000000"/>
          <w:sz w:val="20"/>
        </w:rPr>
        <w:t>Cash Flow Hedges</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both March 31, 2023 and December 31, 2022, our active interest rate derivative agreements had a total notional amount of $190,000. According to the terms of the agreements, we receive interest based on the 1-month LIBOR index, in some instances restricted by a 0.0% floor, and pay interest at a weighted average rate of approximately 2.20%. The agreements mature between May 2023 and June 2027.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outstanding forward starting interest rate derivative agreements with a total notional amount of $60,000, $20,000 of which we will receive interest based on the 1-month LIBOR index, restricted by a 0.0% floor, and $40,000 of which we will receive interest based on Term SOFR, restricted by a 0.0% floor. The agreements mature in May 2028 and will pay interest at a weighted average interest rate of 2.8%. As of December 31, 2022, we had a forward starting interest rate derivative agreement with a notional amount of $20,000.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effect of cash flow hedges related to derivative instruments on the consolidated balance sheet follows:</w:t>
      </w:r>
    </w:p>
    <w:tbl>
      <w:tblPr>
        <w:tblW w:w="9748" w:type="dxa"/>
        <w:jc w:val="left"/>
        <w:tblInd w:w="0" w:type="dxa"/>
        <w:tblCellMar>
          <w:top w:w="28" w:type="dxa"/>
          <w:left w:w="28" w:type="dxa"/>
          <w:bottom w:w="28" w:type="dxa"/>
          <w:right w:w="28" w:type="dxa"/>
        </w:tblCellMar>
      </w:tblPr>
      <w:tblGrid>
        <w:gridCol w:w="901"/>
        <w:gridCol w:w="791"/>
        <w:gridCol w:w="797"/>
        <w:gridCol w:w="1474"/>
        <w:gridCol w:w="1474"/>
        <w:gridCol w:w="1477"/>
        <w:gridCol w:w="109"/>
        <w:gridCol w:w="109"/>
        <w:gridCol w:w="109"/>
        <w:gridCol w:w="211"/>
        <w:gridCol w:w="721"/>
        <w:gridCol w:w="109"/>
        <w:gridCol w:w="109"/>
        <w:gridCol w:w="109"/>
        <w:gridCol w:w="109"/>
        <w:gridCol w:w="221"/>
        <w:gridCol w:w="757"/>
        <w:gridCol w:w="161"/>
      </w:tblGrid>
      <w:tr>
        <w:trPr/>
        <w:tc>
          <w:tcPr>
            <w:tcW w:w="90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4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4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44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tax effect</w:t>
            </w:r>
          </w:p>
        </w:tc>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Legal Proceedings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FASB ASC 450 - Contingencies, we accrue for legal proceedings, inclusive of legal costs, when losses become probable and reasonably estimable. We have recorded an aggregate accrual of $821 relating to our outstanding legal proceedings as of March 31, 2023.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North Country Environmental Services Expansion Permit</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9, 2020, our subsidiary, North Country Environmental Services, Inc. ("NCES"), received a Type I-A Permit Modification ("Permit") from the New Hampshire Department of Environmental Services ("DES") for Expansion in the Stage VI area of the NCES landfill located in Bethlehem, New Hampshire. On November 9, 2020, the Conservation Law Foundation ("CLF") filed an appeal of the Permit to the New Hampshire Waste Management Council (“Council”) on the grounds it failed to meet the public benefit criteria. DES defended its decision in the appeal, and NCES also participated as the permittee seeking to defend its permit on appeal.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Throughout 2021 and early 2022 a number of motions were filed by both NCES and CLF with the Council and in February 2022 the Council held a hearing on the CLF appeal. The Council ruled in favor of NCES on all claims set forth in CLF’s appeal. On May 11, 2022, the Council’s Hearing Officer issued an Order denying all of CLF’s arguments on appeal, with the exception of one: the Hearing Officer held that based on his interpretation of the relevant statute, the public benefit determination made by DES in issuing the Permit to NCES was unlawful (the “Hearing Officer’s Order”). The Hearing Officer remanded the Permit to DES with regard to this determination.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DES filed a Motion for Reconsideration on May 31, 2022, and NCES filed a Motion for Rehearing on June 10, 2022. The Hearing Officer denied both motions in separate orders dated November 3, 2022, issued contemporaneously with rulings on three other post-hearing motions. NCES filed a Motion for Rehearing of two of the three post-hearing motion rulings on December 5, 2023, and this Motion remains pending.</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DES and NCES appealed the Hearing Officer’s Order to the New Hampshire Supreme Court (“Supreme Court”). On December 23, 2022, CLF filed a Motion for Summary Affirmance of the Hearing Officer’s Order, to which NCES and DES each filed an Objection on January 6, 2023. On January 30, 2023 the Supreme Court issued an Order accepting and consolidating the DES and NCES appeals and denying CLF’s Motion for Summary Affirmance. On January 31, 2023, NCES filed a Motion to Stay the Supreme Court appeals pending the outcome of the Superior Court Open Meeting Law Proceeding discussed below. On February 9, 2023, CLF filed an Objection to the Motion to Stay. The Supreme Court denied the Motion to Stay on February 22, 2023. On March 2, 2023, the Supreme Court ordered the Council to prepare and file the record of the proceedings below by May 1, 2023. Once the record is filed, the Supreme Court will issue a briefing schedule.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On December 14, 2022, NCES filed an action against the Council in Merrimack Superior Court (“Superior Court”) seeking to invalidate the Hearing Officer’s Order as having been adopted in violation of New Hampshire’s statute governing access to public records and meetings (“Open Meeting Law Proceeding”), in that the Council did not hold a public meeting to deliberate on the Hearing Officer’s Order prior to issuance. The Council filed a Motion to Dismiss on January 17, 2023 to which NCES filed a Summary Objection on January 18, 2023, followed by a supplemental Objection filed on February 6, 2023. Following a hearing on the merits before the Superior Court on January 18, 2023, the Superior Court ordered that NCES pursue a stay of the appeal of the Hearing Officer’s Order before the Supreme Court, and that the Superior Court would defer further ruling in the Open Meeting Law Proceeding pending a determination of whether the appeal before the Supreme Court would be stayed. On January 20, 2023, CLF filed a Motion to Intervene in the Open Meeting Law Proceeding. NCES filed an Objection on February 8, 2023, and CLF filed a Reply in Support of Motion to Intervene on February 17, 2023. The Council filed a Supplemental Memorandum of Law on February 17, 2023, to which NCES filed a Response on February 24, 2023. On April 5, 2023, the Superior Court issued an Order granting the Council’s Motion to Dismiss, which was appealed by NCES to the Supreme Court on April 18, 2023.</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On September 20, 2022, NCES and our subsidiary, Granite State Landfill, LLC, filed a Petition for Declaratory Judgment ("Petition") in the Superior Court seeking a determination of the meaning and constitutionality of New Hampshire’s public benefit requirement. The Petition asks the court to construe the same statute on which the Hearing Officer relied in the Hearing Officer’s Order. On September 21, 2022, NCES filed a Motion to Stay the Council proceedings pending resolution of the Petition action. DES assented to the relief sought by that motion, and CLF filed an Objection to the Motion to Stay on September 26, 2022. On October 3, 2022, NCES filed a Motion for Leave to File Reply together with its Reply to CLF’s Objection to Motion to Stay. The Hearing Officer denied the Motion to Stay by Order dated November 3, 2022. On December 19, 2022, CLF moved to intervene in the Petition proceeding before the Superior Court, and NCES filed an Objection on January 4, 2023. CLF filed a Reply on January 17, 2023, and NCES filed a Surreply on January 27, 2023. CLF’s intervention motion remains pending before the Superior Court. NCES will continue to vigorously defend the Permit through the appeals to the Supreme Court and litigation of the Petition.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Environmental Remediation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inflate the estimated costs in current dollars to the expected time of payment and discount the total cost to present value using a risk-free interest rate. The risk-free interest rates associated with our environmental remediation liabilities as of March 31, 2023 range between 1.5% and 4.1%. A summary of the changes to the aggregate environmental remediation liabilities for the three months ended March 31, 2023 and 2022 follows:</w:t>
      </w:r>
    </w:p>
    <w:tbl>
      <w:tblPr>
        <w:tblW w:w="4164" w:type="dxa"/>
        <w:jc w:val="left"/>
        <w:tblInd w:w="0" w:type="dxa"/>
        <w:tblCellMar>
          <w:top w:w="28" w:type="dxa"/>
          <w:left w:w="28" w:type="dxa"/>
          <w:bottom w:w="28" w:type="dxa"/>
          <w:right w:w="28" w:type="dxa"/>
        </w:tblCellMar>
      </w:tblPr>
      <w:tblGrid>
        <w:gridCol w:w="696"/>
        <w:gridCol w:w="610"/>
        <w:gridCol w:w="614"/>
        <w:gridCol w:w="211"/>
        <w:gridCol w:w="616"/>
        <w:gridCol w:w="109"/>
        <w:gridCol w:w="109"/>
        <w:gridCol w:w="109"/>
        <w:gridCol w:w="109"/>
        <w:gridCol w:w="211"/>
        <w:gridCol w:w="616"/>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Obligations settled </w:t>
            </w:r>
            <w:r>
              <w:rPr>
                <w:rFonts w:ascii="Times New Roman;sans-serif" w:hAnsi="Times New Roman;sans-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720"/>
        <w:rPr/>
      </w:pPr>
      <w:r>
        <w:rPr>
          <w:rFonts w:ascii="Times New Roman;sans-serif" w:hAnsi="Times New Roman;sans-serif"/>
          <w:b w:val="false"/>
          <w:color w:val="000000"/>
          <w:sz w:val="16"/>
        </w:rPr>
        <w:t>(1)</w:t>
      </w:r>
      <w:r>
        <w:rPr>
          <w:rFonts w:ascii="Times New Roman;sans-serif" w:hAnsi="Times New Roman;sans-serif"/>
          <w:b w:val="false"/>
          <w:color w:val="000000"/>
          <w:sz w:val="20"/>
        </w:rPr>
        <w:t>May include amounts paid and amounts that are being processed through accounts payable as a part of our disbursement cycle.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9.    STOCKHOLDERS' EQUITY</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Stock Based Compensation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Shares Available For Issuance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2023, there were 649 Class A common stock equivalents available for future grant under the 2016 Plan.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follows:</w:t>
      </w:r>
    </w:p>
    <w:tbl>
      <w:tblPr>
        <w:tblW w:w="10205" w:type="dxa"/>
        <w:jc w:val="left"/>
        <w:tblInd w:w="0" w:type="dxa"/>
        <w:tblCellMar>
          <w:top w:w="28" w:type="dxa"/>
          <w:left w:w="28" w:type="dxa"/>
          <w:bottom w:w="28" w:type="dxa"/>
          <w:right w:w="28" w:type="dxa"/>
        </w:tblCellMar>
      </w:tblPr>
      <w:tblGrid>
        <w:gridCol w:w="723"/>
        <w:gridCol w:w="636"/>
        <w:gridCol w:w="638"/>
        <w:gridCol w:w="375"/>
        <w:gridCol w:w="375"/>
        <w:gridCol w:w="376"/>
        <w:gridCol w:w="109"/>
        <w:gridCol w:w="109"/>
        <w:gridCol w:w="109"/>
        <w:gridCol w:w="413"/>
        <w:gridCol w:w="1210"/>
        <w:gridCol w:w="215"/>
        <w:gridCol w:w="109"/>
        <w:gridCol w:w="109"/>
        <w:gridCol w:w="109"/>
        <w:gridCol w:w="876"/>
        <w:gridCol w:w="876"/>
        <w:gridCol w:w="879"/>
        <w:gridCol w:w="109"/>
        <w:gridCol w:w="109"/>
        <w:gridCol w:w="109"/>
        <w:gridCol w:w="349"/>
        <w:gridCol w:w="1022"/>
        <w:gridCol w:w="261"/>
      </w:tblGrid>
      <w:tr>
        <w:trPr/>
        <w:tc>
          <w:tcPr>
            <w:tcW w:w="723"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1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March 31, 2023</w:t>
            </w:r>
          </w:p>
        </w:tc>
        <w:tc>
          <w:tcPr>
            <w:tcW w:w="7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2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99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was $123 during the three months ended March 31, 2023, as compared to $16 during the three months ended March 31, 2022. As of March 31, 2023, we had $1,975 of unrecognized stock-based compensation expense related to outstanding stock options to be recognized over a weighted average period of 4.2 years.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aggregate intrinsic value of stock options exercised was zero dollars.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Other Stock Awards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award, restricted stock unit and performance stock unit activity follows:</w:t>
      </w:r>
    </w:p>
    <w:tbl>
      <w:tblPr>
        <w:tblW w:w="10205" w:type="dxa"/>
        <w:jc w:val="left"/>
        <w:tblInd w:w="0" w:type="dxa"/>
        <w:tblCellMar>
          <w:top w:w="28" w:type="dxa"/>
          <w:left w:w="28" w:type="dxa"/>
          <w:bottom w:w="28" w:type="dxa"/>
          <w:right w:w="28" w:type="dxa"/>
        </w:tblCellMar>
      </w:tblPr>
      <w:tblGrid>
        <w:gridCol w:w="608"/>
        <w:gridCol w:w="535"/>
        <w:gridCol w:w="537"/>
        <w:gridCol w:w="930"/>
        <w:gridCol w:w="930"/>
        <w:gridCol w:w="932"/>
        <w:gridCol w:w="109"/>
        <w:gridCol w:w="109"/>
        <w:gridCol w:w="109"/>
        <w:gridCol w:w="287"/>
        <w:gridCol w:w="838"/>
        <w:gridCol w:w="148"/>
        <w:gridCol w:w="109"/>
        <w:gridCol w:w="109"/>
        <w:gridCol w:w="109"/>
        <w:gridCol w:w="666"/>
        <w:gridCol w:w="666"/>
        <w:gridCol w:w="669"/>
        <w:gridCol w:w="109"/>
        <w:gridCol w:w="109"/>
        <w:gridCol w:w="109"/>
        <w:gridCol w:w="285"/>
        <w:gridCol w:w="976"/>
        <w:gridCol w:w="217"/>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 Restricted Stock Units, and Performance Stock Units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Grant Date Fair </w:t>
              <w:br/>
              <w:t xml:space="preserve">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9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Vested</w:t>
            </w:r>
          </w:p>
        </w:tc>
        <w:tc>
          <w:tcPr>
            <w:tcW w:w="1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9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w:t>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16,988 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March 31, 2023</w:t>
            </w:r>
          </w:p>
        </w:tc>
        <w:tc>
          <w:tcPr>
            <w:tcW w:w="1860"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932"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48"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3"/>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30,201 </w:t>
            </w:r>
          </w:p>
        </w:tc>
        <w:tc>
          <w:tcPr>
            <w:tcW w:w="21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(1)Market-based performance stock unit grants are included at the 100% attainment level. Attainment of the maximum performance targets and market achievements would result in the issuance of an additional 159 shares of Class A common stock currently included in unvested.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restricted stock awards, restricted stock units and performance stock units was $1,762 during the three months ended March 31, 2023, as compared to $2,151 during the three months ended March 31,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total fair value of other stock awards vested was $3,962.</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total unrecognized stock-based compensation expense related to outstanding restricted stock awards was $26, which will be recognized over a weighted average period of 1.0 year. As of March 31, 2023, total unrecognized stock-based compensation expense related to outstanding restricted stock units was $6,008, which will be recognized over a weighted average period of 2.3 years. As of March 31, 2023, total expected unrecognized stock-based compensation expense related to outstanding performance stock units was $7,990 to be recognized over a weighted average period of 2.1 years.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market-based performance stock units granted during the three months ended March 31, 2023 was $83.16 per award, which was calculated using a Monte Carlo pricing model assuming a risk-free interest rate of 4.31% and an expected volatility of 34.9%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also recorded $90 of stock-based compensation expense related to our Amended and Restated 1997 Employee Stock Purchase Plan during the three months ended March 31, 2023, as compared to $73 during the three months ended March 31, 2022.</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Accumulated Other Comprehensive Income, Net of Tax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the balances of each component of accumulated other comprehensive income, net of tax follows:</w:t>
      </w:r>
    </w:p>
    <w:tbl>
      <w:tblPr>
        <w:tblW w:w="7508" w:type="dxa"/>
        <w:jc w:val="left"/>
        <w:tblInd w:w="0" w:type="dxa"/>
        <w:tblCellMar>
          <w:top w:w="28" w:type="dxa"/>
          <w:left w:w="28" w:type="dxa"/>
          <w:bottom w:w="28" w:type="dxa"/>
          <w:right w:w="28" w:type="dxa"/>
        </w:tblCellMar>
      </w:tblPr>
      <w:tblGrid>
        <w:gridCol w:w="2064"/>
        <w:gridCol w:w="1815"/>
        <w:gridCol w:w="1821"/>
        <w:gridCol w:w="109"/>
        <w:gridCol w:w="109"/>
        <w:gridCol w:w="342"/>
        <w:gridCol w:w="999"/>
        <w:gridCol w:w="249"/>
      </w:tblGrid>
      <w:tr>
        <w:trPr/>
        <w:tc>
          <w:tcPr>
            <w:tcW w:w="2064"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items of 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loss,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reclassifications out of accumulated other comprehensive income, net of tax into earnings follows:</w:t>
      </w:r>
    </w:p>
    <w:tbl>
      <w:tblPr>
        <w:tblW w:w="10205" w:type="dxa"/>
        <w:jc w:val="left"/>
        <w:tblInd w:w="0" w:type="dxa"/>
        <w:tblCellMar>
          <w:top w:w="28" w:type="dxa"/>
          <w:left w:w="28" w:type="dxa"/>
          <w:bottom w:w="28" w:type="dxa"/>
          <w:right w:w="28" w:type="dxa"/>
        </w:tblCellMar>
      </w:tblPr>
      <w:tblGrid>
        <w:gridCol w:w="1231"/>
        <w:gridCol w:w="1082"/>
        <w:gridCol w:w="1085"/>
        <w:gridCol w:w="109"/>
        <w:gridCol w:w="109"/>
        <w:gridCol w:w="109"/>
        <w:gridCol w:w="123"/>
        <w:gridCol w:w="123"/>
        <w:gridCol w:w="411"/>
        <w:gridCol w:w="1315"/>
        <w:gridCol w:w="212"/>
        <w:gridCol w:w="176"/>
        <w:gridCol w:w="176"/>
        <w:gridCol w:w="176"/>
        <w:gridCol w:w="342"/>
        <w:gridCol w:w="1001"/>
        <w:gridCol w:w="176"/>
        <w:gridCol w:w="109"/>
        <w:gridCol w:w="109"/>
        <w:gridCol w:w="109"/>
        <w:gridCol w:w="560"/>
        <w:gridCol w:w="560"/>
        <w:gridCol w:w="802"/>
      </w:tblGrid>
      <w:tr>
        <w:trPr/>
        <w:tc>
          <w:tcPr>
            <w:tcW w:w="1231"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r>
      <w:tr>
        <w:trPr/>
        <w:tc>
          <w:tcPr>
            <w:tcW w:w="3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6"/>
            <w:tcBorders/>
            <w:shd w:fill="auto" w:val="clear"/>
          </w:tcPr>
          <w:p>
            <w:pPr>
              <w:pStyle w:val="TableContents"/>
              <w:spacing w:before="0" w:after="283"/>
              <w:rPr>
                <w:sz w:val="4"/>
                <w:szCs w:val="4"/>
              </w:rPr>
            </w:pPr>
            <w:r>
              <w:rPr>
                <w:sz w:val="4"/>
                <w:szCs w:val="4"/>
              </w:rPr>
            </w:r>
          </w:p>
        </w:tc>
      </w:tr>
      <w:tr>
        <w:trPr/>
        <w:tc>
          <w:tcPr>
            <w:tcW w:w="33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9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Details About Accumulated Other Comprehensive Income, Net of Tax Components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9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Out of Accumulated Other Comprehensive Income, Net of 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Consolidated</w:t>
              <w:br/>
              <w:t>Statements of Operations</w:t>
            </w:r>
          </w:p>
        </w:tc>
      </w:tr>
      <w:tr>
        <w:trPr/>
        <w:tc>
          <w:tcPr>
            <w:tcW w:w="33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r>
      <w:tr>
        <w:trPr/>
        <w:tc>
          <w:tcPr>
            <w:tcW w:w="3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r>
      <w:tr>
        <w:trPr/>
        <w:tc>
          <w:tcPr>
            <w:tcW w:w="3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3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r>
      <w:tr>
        <w:trPr/>
        <w:tc>
          <w:tcPr>
            <w:tcW w:w="3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93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numerator and denominators used in the computation of earnings per share follows:</w:t>
      </w:r>
    </w:p>
    <w:tbl>
      <w:tblPr>
        <w:tblW w:w="7658" w:type="dxa"/>
        <w:jc w:val="left"/>
        <w:tblInd w:w="0" w:type="dxa"/>
        <w:tblCellMar>
          <w:top w:w="28" w:type="dxa"/>
          <w:left w:w="28" w:type="dxa"/>
          <w:bottom w:w="28" w:type="dxa"/>
          <w:right w:w="28" w:type="dxa"/>
        </w:tblCellMar>
      </w:tblPr>
      <w:tblGrid>
        <w:gridCol w:w="1636"/>
        <w:gridCol w:w="1441"/>
        <w:gridCol w:w="1452"/>
        <w:gridCol w:w="109"/>
        <w:gridCol w:w="109"/>
        <w:gridCol w:w="151"/>
        <w:gridCol w:w="151"/>
        <w:gridCol w:w="293"/>
        <w:gridCol w:w="857"/>
        <w:gridCol w:w="151"/>
        <w:gridCol w:w="109"/>
        <w:gridCol w:w="109"/>
        <w:gridCol w:w="109"/>
        <w:gridCol w:w="211"/>
        <w:gridCol w:w="616"/>
        <w:gridCol w:w="154"/>
      </w:tblGrid>
      <w:tr>
        <w:trPr/>
        <w:tc>
          <w:tcPr>
            <w:tcW w:w="163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outstanding,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weighted average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potentially 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and other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potentially issuable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11.    OTHER ITEMS AND CHARGES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Expense from Acquisition Activities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and 2022, we recorded charges of $2,863 and $2,043, respectively, comprised primarily of legal, consulting and other similar costs associated with due diligence and the acquisition and integration of acquired businesses or select development projects.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12.    FAIR VALUE OF FINANCIAL INSTRUMENTS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Assets and Liabilities Accounted for at Fair Value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one-month LIBOR or Term SOFR, as applicable, yield curves that are observable at commonly quoted intervals for the full term of the swaps. The fair value of contingent consideration - acquisition included in the Level 3 tier below is calculated using a discounted cash flow valuation methodology based upon a probability-weighted analysis of a success payment related to the potential attainment of a transfer station permit expansion. We recognize all derivatives accounted for on the balance sheet at fair value.</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Summaries of our financial assets and liabilities that are measured at fair value on a recurring basis follow:</w:t>
      </w:r>
    </w:p>
    <w:tbl>
      <w:tblPr>
        <w:tblW w:w="8859" w:type="dxa"/>
        <w:jc w:val="left"/>
        <w:tblInd w:w="0" w:type="dxa"/>
        <w:tblCellMar>
          <w:top w:w="28" w:type="dxa"/>
          <w:left w:w="28" w:type="dxa"/>
          <w:bottom w:w="28" w:type="dxa"/>
          <w:right w:w="28" w:type="dxa"/>
        </w:tblCellMar>
      </w:tblPr>
      <w:tblGrid>
        <w:gridCol w:w="1470"/>
        <w:gridCol w:w="1299"/>
        <w:gridCol w:w="1311"/>
        <w:gridCol w:w="334"/>
        <w:gridCol w:w="977"/>
        <w:gridCol w:w="175"/>
        <w:gridCol w:w="121"/>
        <w:gridCol w:w="121"/>
        <w:gridCol w:w="121"/>
        <w:gridCol w:w="289"/>
        <w:gridCol w:w="987"/>
        <w:gridCol w:w="150"/>
        <w:gridCol w:w="121"/>
        <w:gridCol w:w="121"/>
        <w:gridCol w:w="121"/>
        <w:gridCol w:w="289"/>
        <w:gridCol w:w="639"/>
        <w:gridCol w:w="213"/>
      </w:tblGrid>
      <w:tr>
        <w:trPr/>
        <w:tc>
          <w:tcPr>
            <w:tcW w:w="147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7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March 31, 2023 Using:</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 securities - landfill closure</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3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486"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 acquisition</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tbl>
      <w:tblPr>
        <w:tblW w:w="9392" w:type="dxa"/>
        <w:jc w:val="center"/>
        <w:tblInd w:w="0" w:type="dxa"/>
        <w:tblCellMar>
          <w:top w:w="28" w:type="dxa"/>
          <w:left w:w="28" w:type="dxa"/>
          <w:bottom w:w="28" w:type="dxa"/>
          <w:right w:w="28" w:type="dxa"/>
        </w:tblCellMar>
      </w:tblPr>
      <w:tblGrid>
        <w:gridCol w:w="1470"/>
        <w:gridCol w:w="1299"/>
        <w:gridCol w:w="1311"/>
        <w:gridCol w:w="334"/>
        <w:gridCol w:w="979"/>
        <w:gridCol w:w="172"/>
        <w:gridCol w:w="128"/>
        <w:gridCol w:w="128"/>
        <w:gridCol w:w="128"/>
        <w:gridCol w:w="288"/>
        <w:gridCol w:w="988"/>
        <w:gridCol w:w="148"/>
        <w:gridCol w:w="128"/>
        <w:gridCol w:w="128"/>
        <w:gridCol w:w="128"/>
        <w:gridCol w:w="414"/>
        <w:gridCol w:w="916"/>
        <w:gridCol w:w="305"/>
      </w:tblGrid>
      <w:tr>
        <w:trPr/>
        <w:tc>
          <w:tcPr>
            <w:tcW w:w="147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December 31, 2022 Using:</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investment securities - landfill closure</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 acquisition</w:t>
            </w:r>
          </w:p>
        </w:tc>
        <w:tc>
          <w:tcPr>
            <w:tcW w:w="33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30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fair value of our fixed rate debt, including our FAME Bonds 2005R-3, FAME Bonds 2015R-1, FAME Bonds 2015R-2, Vermont Bonds 2013, Vermont Bonds 2022A-1, New York Bonds 2014R-1, New York Bonds 2014R-2, New York Bonds 2020 and New Hampshire Bonds (collectively, the "Industrial Revenue Bonds") was approximately $186,760 and the carrying value was $197,000.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carrying value of our Term Loan Facility was $350,000 and the carrying value of our Revolving Credit Facility was zero dollars. Their fair values are based on current borrowing rates for similar types of borrowing arrangements, or Level 2 inputs, and approximate their carrying values.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13.    SEGMENT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report selected information about our reportable operating segments in a manner consistent with that used for internal management reporting. We classify our solid waste operations on a geographic basis through regional operating segments, our Eastern and Western regions. Revenues associated with our solid waste operations are derived mainly from solid waste collection and disposal services, including landfill, transfer station and transportation services, landfill gas-to-energy services, and processing services in the northeastern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services provided by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2023 </w:t>
      </w:r>
    </w:p>
    <w:tbl>
      <w:tblPr>
        <w:tblW w:w="9394" w:type="dxa"/>
        <w:jc w:val="left"/>
        <w:tblInd w:w="0" w:type="dxa"/>
        <w:tblCellMar>
          <w:top w:w="28" w:type="dxa"/>
          <w:left w:w="28" w:type="dxa"/>
          <w:bottom w:w="28" w:type="dxa"/>
          <w:right w:w="28" w:type="dxa"/>
        </w:tblCellMar>
      </w:tblPr>
      <w:tblGrid>
        <w:gridCol w:w="611"/>
        <w:gridCol w:w="538"/>
        <w:gridCol w:w="545"/>
        <w:gridCol w:w="109"/>
        <w:gridCol w:w="109"/>
        <w:gridCol w:w="109"/>
        <w:gridCol w:w="211"/>
        <w:gridCol w:w="826"/>
        <w:gridCol w:w="109"/>
        <w:gridCol w:w="109"/>
        <w:gridCol w:w="109"/>
        <w:gridCol w:w="109"/>
        <w:gridCol w:w="240"/>
        <w:gridCol w:w="821"/>
        <w:gridCol w:w="125"/>
        <w:gridCol w:w="109"/>
        <w:gridCol w:w="109"/>
        <w:gridCol w:w="109"/>
        <w:gridCol w:w="273"/>
        <w:gridCol w:w="935"/>
        <w:gridCol w:w="143"/>
        <w:gridCol w:w="109"/>
        <w:gridCol w:w="109"/>
        <w:gridCol w:w="109"/>
        <w:gridCol w:w="211"/>
        <w:gridCol w:w="721"/>
        <w:gridCol w:w="109"/>
        <w:gridCol w:w="109"/>
        <w:gridCol w:w="109"/>
        <w:gridCol w:w="109"/>
        <w:gridCol w:w="211"/>
        <w:gridCol w:w="976"/>
        <w:gridCol w:w="154"/>
      </w:tblGrid>
      <w:tr>
        <w:trPr/>
        <w:tc>
          <w:tcPr>
            <w:tcW w:w="61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Outside</w:t>
              <w:b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assets</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(59,415)</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2022 </w:t>
      </w:r>
    </w:p>
    <w:tbl>
      <w:tblPr>
        <w:tblW w:w="9394" w:type="dxa"/>
        <w:jc w:val="left"/>
        <w:tblInd w:w="0" w:type="dxa"/>
        <w:tblCellMar>
          <w:top w:w="28" w:type="dxa"/>
          <w:left w:w="28" w:type="dxa"/>
          <w:bottom w:w="28" w:type="dxa"/>
          <w:right w:w="28" w:type="dxa"/>
        </w:tblCellMar>
      </w:tblPr>
      <w:tblGrid>
        <w:gridCol w:w="611"/>
        <w:gridCol w:w="538"/>
        <w:gridCol w:w="545"/>
        <w:gridCol w:w="109"/>
        <w:gridCol w:w="109"/>
        <w:gridCol w:w="109"/>
        <w:gridCol w:w="211"/>
        <w:gridCol w:w="826"/>
        <w:gridCol w:w="109"/>
        <w:gridCol w:w="109"/>
        <w:gridCol w:w="109"/>
        <w:gridCol w:w="109"/>
        <w:gridCol w:w="240"/>
        <w:gridCol w:w="821"/>
        <w:gridCol w:w="125"/>
        <w:gridCol w:w="109"/>
        <w:gridCol w:w="109"/>
        <w:gridCol w:w="109"/>
        <w:gridCol w:w="273"/>
        <w:gridCol w:w="935"/>
        <w:gridCol w:w="143"/>
        <w:gridCol w:w="109"/>
        <w:gridCol w:w="109"/>
        <w:gridCol w:w="109"/>
        <w:gridCol w:w="211"/>
        <w:gridCol w:w="721"/>
        <w:gridCol w:w="109"/>
        <w:gridCol w:w="109"/>
        <w:gridCol w:w="109"/>
        <w:gridCol w:w="109"/>
        <w:gridCol w:w="211"/>
        <w:gridCol w:w="976"/>
        <w:gridCol w:w="154"/>
      </w:tblGrid>
      <w:tr>
        <w:trPr/>
        <w:tc>
          <w:tcPr>
            <w:tcW w:w="61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Outside</w:t>
              <w:b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assets</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(49,939)</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657"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3657"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our revenues attributable to services provided follows:</w:t>
      </w:r>
    </w:p>
    <w:tbl>
      <w:tblPr>
        <w:tblW w:w="5934" w:type="dxa"/>
        <w:jc w:val="left"/>
        <w:tblInd w:w="0" w:type="dxa"/>
        <w:tblCellMar>
          <w:top w:w="28" w:type="dxa"/>
          <w:left w:w="28" w:type="dxa"/>
          <w:bottom w:w="28" w:type="dxa"/>
          <w:right w:w="28" w:type="dxa"/>
        </w:tblCellMar>
      </w:tblPr>
      <w:tblGrid>
        <w:gridCol w:w="940"/>
        <w:gridCol w:w="825"/>
        <w:gridCol w:w="829"/>
        <w:gridCol w:w="109"/>
        <w:gridCol w:w="109"/>
        <w:gridCol w:w="128"/>
        <w:gridCol w:w="128"/>
        <w:gridCol w:w="248"/>
        <w:gridCol w:w="972"/>
        <w:gridCol w:w="128"/>
        <w:gridCol w:w="109"/>
        <w:gridCol w:w="109"/>
        <w:gridCol w:w="109"/>
        <w:gridCol w:w="211"/>
        <w:gridCol w:w="826"/>
        <w:gridCol w:w="154"/>
      </w:tblGrid>
      <w:tr>
        <w:trPr/>
        <w:tc>
          <w:tcPr>
            <w:tcW w:w="94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generation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194,943 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rPr/>
      </w:pPr>
      <w:r>
        <w:rPr>
          <w:rFonts w:ascii="Times New Roman;sans-serif" w:hAnsi="Times New Roman;sans-serif"/>
          <w:b w:val="false"/>
          <w:color w:val="000000"/>
          <w:sz w:val="20"/>
        </w:rPr>
        <w:t xml:space="preserve">The following discussion should be read in conjunction with our unaudited consolidated financial statements and notes thereto included under Item 1. In addition, reference should be made to our audited consolidated financial statements and notes thereto and related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appearing in our Annual Report on Form 10-K for the fiscal year ended December 31, 2022 ("fiscal year 2022") filed with the Securities and Exchange Commission on February 17, 2023.</w:t>
      </w:r>
    </w:p>
    <w:p>
      <w:pPr>
        <w:pStyle w:val="TextBody"/>
        <w:spacing w:lineRule="auto" w:line="288" w:before="120" w:after="283"/>
        <w:rPr/>
      </w:pPr>
      <w:r>
        <w:rPr>
          <w:rFonts w:ascii="Times New Roman;sans-serif" w:hAnsi="Times New Roman;sans-serif"/>
          <w:b w:val="false"/>
          <w:color w:val="000000"/>
          <w:sz w:val="20"/>
        </w:rPr>
        <w:t>This Quarterly Report on Form 10-Q and, in particular, this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may contain or incorporate a number of forward-looking statements within the meaning of Section 27A of the Securities Act of 1933, as amended, and Section 21E of the Exchange Act of 1934, as amended, including statements regarding:</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the projected development of additional disposal capacity or expectations regarding permits for existing capacity;</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the outcome of any legal or regulatory matter;</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expected liquidity and financing plans;</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expected future revenues, operations, expenditures and cash needs;</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fluctuations in commodity pricing of our recyclables, increases in landfill tipping fees and fuel costs and general economic and weather conditions;</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projected future obligations related to final capping, closure and post-closure costs of our existing landfills and any disposal facilities which we may own or operate in the future;</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our ability to use our net operating losses and tax positions;</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our ability to service our debt obligations;</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the recoverability or impairment of any of our assets or goodwill;</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estimates of the potential markets for our products and services, including the anticipated drivers for future growth;</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sales and marketing plans or price and volume assumptions;</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potential business combinations or divestitures; and</w:t>
      </w:r>
    </w:p>
    <w:p>
      <w:pPr>
        <w:pStyle w:val="TextBody"/>
        <w:spacing w:lineRule="auto" w:line="288" w:before="120" w:after="60"/>
        <w:ind w:left="0" w:right="0" w:hanging="720"/>
        <w:rPr/>
      </w:pPr>
      <w:r>
        <w:rPr>
          <w:color w:val="000000"/>
        </w:rPr>
        <w:t>•</w:t>
      </w:r>
      <w:r>
        <w:rPr>
          <w:rFonts w:ascii="Times New Roman;sans-serif" w:hAnsi="Times New Roman;sans-serif"/>
          <w:b w:val="false"/>
          <w:color w:val="000000"/>
          <w:sz w:val="20"/>
        </w:rPr>
        <w:t>projected improvements to our infrastructure and the impact of such improvements on our business and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pStyle w:val="TextBody"/>
        <w:spacing w:lineRule="auto" w:line="288" w:before="120" w:after="283"/>
        <w:rPr/>
      </w:pPr>
      <w:r>
        <w:rPr>
          <w:rFonts w:ascii="Times New Roman;sans-serif" w:hAnsi="Times New Roman;sans-serif"/>
          <w:b w:val="false"/>
          <w:color w:val="000000"/>
          <w:sz w:val="20"/>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fiscal year ended December 31,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Casella Waste Systems, Inc., a Delaware corporation, and its consolidated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April 15, 2023, we owned and/or operated 50 solid waste collection operations, 66 transfer stations, 26 recycling facilities, eight Subtitle D landfills, three landfill gas-to-energy facilities and one landfill permitted to accept construction and demolition (“C&amp;D”) materials. We also housed two landfill gas-to-energy facilities, which are owned and operated by third parties at landfills we owned and/or operated.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services, including landfill, transfer station and transportation, landfill gas-to-energy, and processing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through the Resource Solutions operating segment, which includes processing services, and non-processing services, which we now refer to as our National Accounts business. Revenues from processing services are derived from customers in the form of processing fees, tipping fees, and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revenues attributable to services provided (dollars in millions and as a percentage of total revenues) follows:</w:t>
      </w:r>
    </w:p>
    <w:tbl>
      <w:tblPr>
        <w:tblW w:w="9560" w:type="dxa"/>
        <w:jc w:val="left"/>
        <w:tblInd w:w="0" w:type="dxa"/>
        <w:tblCellMar>
          <w:top w:w="28" w:type="dxa"/>
          <w:left w:w="28" w:type="dxa"/>
          <w:bottom w:w="28" w:type="dxa"/>
          <w:right w:w="28" w:type="dxa"/>
        </w:tblCellMar>
      </w:tblPr>
      <w:tblGrid>
        <w:gridCol w:w="956"/>
        <w:gridCol w:w="839"/>
        <w:gridCol w:w="845"/>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5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2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Accounts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Resource Solutions operations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Solid waste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894" w:type="dxa"/>
        <w:jc w:val="left"/>
        <w:tblInd w:w="0" w:type="dxa"/>
        <w:tblCellMar>
          <w:top w:w="28" w:type="dxa"/>
          <w:left w:w="28" w:type="dxa"/>
          <w:bottom w:w="28" w:type="dxa"/>
          <w:right w:w="28" w:type="dxa"/>
        </w:tblCellMar>
      </w:tblPr>
      <w:tblGrid>
        <w:gridCol w:w="918"/>
        <w:gridCol w:w="809"/>
        <w:gridCol w:w="823"/>
        <w:gridCol w:w="751"/>
        <w:gridCol w:w="1819"/>
        <w:gridCol w:w="388"/>
        <w:gridCol w:w="388"/>
        <w:gridCol w:w="388"/>
        <w:gridCol w:w="388"/>
        <w:gridCol w:w="388"/>
        <w:gridCol w:w="388"/>
        <w:gridCol w:w="965"/>
        <w:gridCol w:w="109"/>
        <w:gridCol w:w="109"/>
        <w:gridCol w:w="109"/>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Volume</w:t>
            </w:r>
            <w:r>
              <w:rPr>
                <w:color w:val="000000"/>
              </w:rPr>
              <w:t xml:space="preserve"> </w:t>
            </w:r>
          </w:p>
        </w:tc>
        <w:tc>
          <w:tcPr>
            <w:tcW w:w="2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9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2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9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958"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80" w:after="283"/>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val="false"/>
          <w:color w:val="000000"/>
          <w:sz w:val="20"/>
        </w:rPr>
        <w:t>Price.</w:t>
      </w:r>
      <w:r>
        <w:rPr>
          <w:color w:val="000000"/>
        </w:rPr>
        <w: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price change component in quarterly solid waste revenues growth from the prior year period is the result of the following:</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$10.7 million from favorable collection pricing; and</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$4.0 million from favorable disposal pricing associated with our landfills, transfer stations and, to a lesser extent, transportation services.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volume change component in quarterly solid waste revenues growth from the prior year period is the result of the following:</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$2.8 million from higher disposal volumes (of which $1.7 million relates to higher transfer station volumes and $1.1 million relates to higher landfill volumes); partially offset by</w:t>
      </w:r>
    </w:p>
    <w:p>
      <w:pPr>
        <w:pStyle w:val="TextBody"/>
        <w:spacing w:lineRule="auto" w:line="288" w:before="120" w:after="120"/>
        <w:ind w:left="0" w:right="0" w:hanging="360"/>
        <w:rPr/>
      </w:pPr>
      <w:r>
        <w:rPr>
          <w:color w:val="000000"/>
        </w:rPr>
        <w:t>•</w:t>
      </w:r>
      <w:r>
        <w:rPr>
          <w:rFonts w:ascii="Times New Roman;sans-serif" w:hAnsi="Times New Roman;sans-serif"/>
          <w:b w:val="false"/>
          <w:color w:val="000000"/>
          <w:sz w:val="20"/>
        </w:rPr>
        <w:t>$(2.2) million from lower collection volumes primarily in our Western region associated with higher customer churn due to increased pricing, higher fees charged to additional customers and customer deselection.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p>
      <w:pPr>
        <w:pStyle w:val="TextBody"/>
        <w:spacing w:lineRule="auto" w:line="288" w:before="120" w:after="283"/>
        <w:rPr/>
      </w:pPr>
      <w:r>
        <w:rPr>
          <w:rFonts w:ascii="Times New Roman;sans-serif" w:hAnsi="Times New Roman;sans-serif"/>
          <w:b w:val="false"/>
          <w:color w:val="000000"/>
          <w:sz w:val="20"/>
        </w:rPr>
        <w:t>The surcharges and other fees change component in quarterly solid waste revenues growth from the prior year period is the result of higher energy and environmental fee ("E&amp;E Fee(s)") revenues and higher sustainability recycling adjustment fee ("SRA Fee(s)") revenues. Higher E&amp;E Fee revenues associated with our fuel cost recovery program were a result of higher diesel fuel prices and a higher overall customer participation rate. Higher SRA Fee revenues were a result of lower recycled commodity prices in the quarter and a higher overall customer participation rate. See Item 3.</w:t>
      </w:r>
      <w:r>
        <w:rPr>
          <w:color w:val="000000"/>
        </w:rPr>
        <w:t xml:space="preserve">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included in this Quarterly Report on Form 10-Q for additional information regarding our E&amp;E Fee and SRA Fee.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commodity price and volume change component in quarterly solid waste revenues growth from the prior year period is primarily the result of lower landfill gas-to-energy volumes and unfavorable commodity and energy pricing in our Western region.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Acquisitions.</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acquisitions change component in quarterly solid waste revenues growth from the prior year period is primarily the result of the timing and acquisition of ten businesses within our Western region operating segment in line with our growth strategy in fiscal year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Resource Solutions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change component in quarterly Resource Solutions revenues growth of $0.9 million from the prior year period is the result of the following:</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 xml:space="preserve">$4.8 million from higher processing volumes mainly driven by higher recycled commodity volumes; </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$4.5 million from higher revenues associated with our National Accounts business due to increased volumes on organic business growth, favorable pricing and increased fees; and</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$2.7 million from acquisition activity; partially offset by</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$(11.1) million primarily from the unfavorable impact of lower recycled commodity pricing on processing revenues, partially offset by higher tipping fees and other processing pricing.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cost of operations, general and administration expense, and depreciation and amortization expense (dollars in millions and as a percentage of total revenues) is as follows:</w:t>
      </w:r>
    </w:p>
    <w:tbl>
      <w:tblPr>
        <w:tblW w:w="10205" w:type="dxa"/>
        <w:jc w:val="left"/>
        <w:tblInd w:w="0" w:type="dxa"/>
        <w:tblCellMar>
          <w:top w:w="28" w:type="dxa"/>
          <w:left w:w="28" w:type="dxa"/>
          <w:bottom w:w="28" w:type="dxa"/>
          <w:right w:w="28" w:type="dxa"/>
        </w:tblCellMar>
      </w:tblPr>
      <w:tblGrid>
        <w:gridCol w:w="932"/>
        <w:gridCol w:w="819"/>
        <w:gridCol w:w="819"/>
        <w:gridCol w:w="109"/>
        <w:gridCol w:w="109"/>
        <w:gridCol w:w="109"/>
        <w:gridCol w:w="109"/>
        <w:gridCol w:w="143"/>
        <w:gridCol w:w="155"/>
        <w:gridCol w:w="155"/>
        <w:gridCol w:w="156"/>
        <w:gridCol w:w="143"/>
        <w:gridCol w:w="143"/>
        <w:gridCol w:w="143"/>
        <w:gridCol w:w="143"/>
        <w:gridCol w:w="278"/>
        <w:gridCol w:w="814"/>
        <w:gridCol w:w="143"/>
        <w:gridCol w:w="109"/>
        <w:gridCol w:w="109"/>
        <w:gridCol w:w="109"/>
        <w:gridCol w:w="255"/>
        <w:gridCol w:w="256"/>
        <w:gridCol w:w="367"/>
        <w:gridCol w:w="109"/>
        <w:gridCol w:w="109"/>
        <w:gridCol w:w="109"/>
        <w:gridCol w:w="211"/>
        <w:gridCol w:w="616"/>
        <w:gridCol w:w="109"/>
        <w:gridCol w:w="109"/>
        <w:gridCol w:w="109"/>
        <w:gridCol w:w="109"/>
        <w:gridCol w:w="255"/>
        <w:gridCol w:w="256"/>
        <w:gridCol w:w="271"/>
        <w:gridCol w:w="109"/>
        <w:gridCol w:w="109"/>
        <w:gridCol w:w="109"/>
        <w:gridCol w:w="211"/>
        <w:gridCol w:w="511"/>
        <w:gridCol w:w="157"/>
      </w:tblGrid>
      <w:tr>
        <w:trPr/>
        <w:tc>
          <w:tcPr>
            <w:tcW w:w="932"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578" w:type="dxa"/>
            <w:gridSpan w:val="18"/>
            <w:tcBorders/>
            <w:shd w:fill="auto" w:val="clear"/>
          </w:tcPr>
          <w:p>
            <w:pPr>
              <w:pStyle w:val="TableContents"/>
              <w:spacing w:before="0" w:after="283"/>
              <w:rPr>
                <w:sz w:val="4"/>
                <w:szCs w:val="4"/>
              </w:rPr>
            </w:pPr>
            <w:r>
              <w:rPr>
                <w:sz w:val="4"/>
                <w:szCs w:val="4"/>
              </w:rPr>
            </w:r>
          </w:p>
        </w:tc>
      </w:tr>
      <w:tr>
        <w:trPr/>
        <w:tc>
          <w:tcPr>
            <w:tcW w:w="2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continue"/>
            <w:tcBorders/>
            <w:shd w:fill="auto" w:val="clear"/>
            <w:tcMar>
              <w:top w:w="0" w:type="dxa"/>
              <w:left w:w="0" w:type="dxa"/>
              <w:bottom w:w="0" w:type="dxa"/>
              <w:right w:w="0" w:type="dxa"/>
            </w:tcMar>
            <w:vAlign w:val="center"/>
          </w:tcPr>
          <w:p>
            <w:pPr>
              <w:pStyle w:val="Normal"/>
              <w:rPr/>
            </w:pPr>
            <w:r>
              <w:rPr/>
            </w:r>
          </w:p>
        </w:tc>
        <w:tc>
          <w:tcPr>
            <w:tcW w:w="143" w:type="dxa"/>
            <w:tcBorders/>
            <w:shd w:fill="auto" w:val="cle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43"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15"/>
            <w:tcBorders/>
            <w:shd w:fill="auto" w:val="clear"/>
          </w:tcPr>
          <w:p>
            <w:pPr>
              <w:pStyle w:val="TableContents"/>
              <w:spacing w:before="0" w:after="283"/>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Cost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our cost of operations is as follows (dollars in millions and as a percentage of total revenues):</w:t>
      </w:r>
    </w:p>
    <w:tbl>
      <w:tblPr>
        <w:tblW w:w="10134" w:type="dxa"/>
        <w:jc w:val="left"/>
        <w:tblInd w:w="0" w:type="dxa"/>
        <w:tblCellMar>
          <w:top w:w="28" w:type="dxa"/>
          <w:left w:w="28" w:type="dxa"/>
          <w:bottom w:w="28" w:type="dxa"/>
          <w:right w:w="28" w:type="dxa"/>
        </w:tblCellMar>
      </w:tblPr>
      <w:tblGrid>
        <w:gridCol w:w="901"/>
        <w:gridCol w:w="793"/>
        <w:gridCol w:w="796"/>
        <w:gridCol w:w="109"/>
        <w:gridCol w:w="109"/>
        <w:gridCol w:w="109"/>
        <w:gridCol w:w="109"/>
        <w:gridCol w:w="144"/>
        <w:gridCol w:w="155"/>
        <w:gridCol w:w="155"/>
        <w:gridCol w:w="156"/>
        <w:gridCol w:w="144"/>
        <w:gridCol w:w="144"/>
        <w:gridCol w:w="144"/>
        <w:gridCol w:w="144"/>
        <w:gridCol w:w="280"/>
        <w:gridCol w:w="818"/>
        <w:gridCol w:w="144"/>
        <w:gridCol w:w="109"/>
        <w:gridCol w:w="109"/>
        <w:gridCol w:w="109"/>
        <w:gridCol w:w="255"/>
        <w:gridCol w:w="256"/>
        <w:gridCol w:w="367"/>
        <w:gridCol w:w="109"/>
        <w:gridCol w:w="109"/>
        <w:gridCol w:w="109"/>
        <w:gridCol w:w="211"/>
        <w:gridCol w:w="616"/>
        <w:gridCol w:w="109"/>
        <w:gridCol w:w="109"/>
        <w:gridCol w:w="109"/>
        <w:gridCol w:w="109"/>
        <w:gridCol w:w="255"/>
        <w:gridCol w:w="256"/>
        <w:gridCol w:w="271"/>
        <w:gridCol w:w="109"/>
        <w:gridCol w:w="109"/>
        <w:gridCol w:w="109"/>
        <w:gridCol w:w="211"/>
        <w:gridCol w:w="511"/>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575" w:type="dxa"/>
            <w:gridSpan w:val="18"/>
            <w:tcBorders/>
            <w:shd w:fill="auto" w:val="clea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continue"/>
            <w:tcBorders/>
            <w:shd w:fill="auto" w:val="clear"/>
            <w:tcMar>
              <w:top w:w="0" w:type="dxa"/>
              <w:left w:w="0" w:type="dxa"/>
              <w:bottom w:w="0" w:type="dxa"/>
              <w:right w:w="0" w:type="dxa"/>
            </w:tcMar>
            <w:vAlign w:val="center"/>
          </w:tcPr>
          <w:p>
            <w:pPr>
              <w:pStyle w:val="Normal"/>
              <w:rPr/>
            </w:pPr>
            <w:r>
              <w:rPr/>
            </w:r>
          </w:p>
        </w:tc>
        <w:tc>
          <w:tcPr>
            <w:tcW w:w="144" w:type="dxa"/>
            <w:tcBorders/>
            <w:shd w:fill="auto" w:val="cle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44"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8" w:type="dxa"/>
            <w:gridSpan w:val="15"/>
            <w:tcBorders/>
            <w:shd w:fill="auto" w:val="clea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labor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operational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and repair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operational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cost categories may change from time to time and may not be comparable to similarly titled categories presented by other companies. </w:t>
      </w:r>
    </w:p>
    <w:p>
      <w:pPr>
        <w:pStyle w:val="TextBody"/>
        <w:spacing w:lineRule="auto" w:line="288" w:before="120" w:after="283"/>
        <w:rPr/>
      </w:pPr>
      <w:r>
        <w:rPr>
          <w:rFonts w:ascii="Times New Roman;sans-serif" w:hAnsi="Times New Roman;sans-serif"/>
          <w:b w:val="false"/>
          <w:color w:val="000000"/>
          <w:sz w:val="20"/>
        </w:rPr>
        <w:t>The most significant items impacting the changes in our cost of operations during the three months ended March 31, 2023 and 2022 are summ</w:t>
      </w:r>
      <w:r>
        <w:rPr>
          <w:rFonts w:ascii="Times New Roman;sans-serif" w:hAnsi="Times New Roman;sans-serif"/>
          <w:b w:val="false"/>
          <w:color w:val="000000"/>
          <w:sz w:val="20"/>
          <w:highlight w:val="white"/>
        </w:rPr>
        <w:t>arized below:</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costs decreased as a percentage of revenues, while increasing in aggregate dollars primarily due to higher hauling, transportation and disposal costs on (i) higher solid waste volumes primarily driven by acquisition-related growth in our Western region and to a lesser extent, organic business growth, (ii) higher fuel surcharges from third party haulers due to higher diesel fuel prices, (iii) higher disposal rates due to inflationary pressures and (iv) higher volumes in our Resource Solutions operating segment; partially offset by lower purchased material costs in our Resource Solutions operating segment;</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labor costs decreased as a percentage of revenues, while increasing in aggregate dollars primarily due to acquisition-related growth in our Western region and to a lesser extent organic business growth, and wage inflation;</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operational costs increased in aggregate dollars primarily due to (i) higher host community and royalty fees in our Western region and higher landfill operating lease expense due to increased landfill volumes, (ii) higher vehicle insurance costs, (iii) higher accretion expense associated with changes in the timing and cost estimates of our closure, post-closure, and capping obligations, (iv) higher leachate disposal costs in our Western region due to weather events, (v) business growth and (vi) inflationary pressures; partially offset by lower non-landfill operating lease expense;</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Fuel costs remained flat as a percentage of revenues, while increasing in aggregate dollars primarily due to higher diesel fuel prices and higher volumes driven by acquisition-related growth in our Western region and to a lesser extent, organic business growth. See Item 3.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included in this Quarterly Report on Form 10-Q for additional information regarding our fuel costs;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Maintenance and repair costs increased in aggregate dollars primarily due to business growth and higher fleet and container maintenance costs associated with inflationary pressures; and</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Other operational costs decreased as a percentage of revenues, while increasing in aggregate dollars primarily due to higher facility costs driven by business growth and inflationary pressures, partially offset by a benefit from the change in fair value of an acquisition related contingent consideration which is based upon a probability-weighted analysis of a success payment related to the potential attainment of a transfer station permit expansion in our Western region.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administration expense includes: (i) labor costs, which consist of salaries, wages, incentive compensation and related benefit costs such as health and welfare benefits and workers compensation costs related to management, clerical and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administrative functions; (ii) professional service fees; (iii) bad debt expense; and (iv) other overhead costs including those associated with marketing, sales force and community relations efforts.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major components of our general and administration expenses is as follows (dollars in millions and as a percentage of total revenues):</w:t>
      </w:r>
    </w:p>
    <w:tbl>
      <w:tblPr>
        <w:tblW w:w="10031" w:type="dxa"/>
        <w:jc w:val="left"/>
        <w:tblInd w:w="0" w:type="dxa"/>
        <w:tblCellMar>
          <w:top w:w="28" w:type="dxa"/>
          <w:left w:w="28" w:type="dxa"/>
          <w:bottom w:w="28" w:type="dxa"/>
          <w:right w:w="28" w:type="dxa"/>
        </w:tblCellMar>
      </w:tblPr>
      <w:tblGrid>
        <w:gridCol w:w="947"/>
        <w:gridCol w:w="834"/>
        <w:gridCol w:w="843"/>
        <w:gridCol w:w="109"/>
        <w:gridCol w:w="109"/>
        <w:gridCol w:w="109"/>
        <w:gridCol w:w="109"/>
        <w:gridCol w:w="153"/>
        <w:gridCol w:w="155"/>
        <w:gridCol w:w="155"/>
        <w:gridCol w:w="156"/>
        <w:gridCol w:w="153"/>
        <w:gridCol w:w="153"/>
        <w:gridCol w:w="153"/>
        <w:gridCol w:w="153"/>
        <w:gridCol w:w="297"/>
        <w:gridCol w:w="720"/>
        <w:gridCol w:w="153"/>
        <w:gridCol w:w="109"/>
        <w:gridCol w:w="109"/>
        <w:gridCol w:w="109"/>
        <w:gridCol w:w="255"/>
        <w:gridCol w:w="256"/>
        <w:gridCol w:w="367"/>
        <w:gridCol w:w="109"/>
        <w:gridCol w:w="109"/>
        <w:gridCol w:w="109"/>
        <w:gridCol w:w="211"/>
        <w:gridCol w:w="511"/>
        <w:gridCol w:w="109"/>
        <w:gridCol w:w="109"/>
        <w:gridCol w:w="109"/>
        <w:gridCol w:w="109"/>
        <w:gridCol w:w="254"/>
        <w:gridCol w:w="257"/>
        <w:gridCol w:w="271"/>
        <w:gridCol w:w="109"/>
        <w:gridCol w:w="109"/>
        <w:gridCol w:w="109"/>
        <w:gridCol w:w="211"/>
        <w:gridCol w:w="406"/>
        <w:gridCol w:w="154"/>
      </w:tblGrid>
      <w:tr>
        <w:trPr/>
        <w:tc>
          <w:tcPr>
            <w:tcW w:w="94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1"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365" w:type="dxa"/>
            <w:gridSpan w:val="18"/>
            <w:tcBorders/>
            <w:shd w:fill="auto" w:val="clea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continue"/>
            <w:tcBorders/>
            <w:shd w:fill="auto" w:val="clear"/>
            <w:tcMar>
              <w:top w:w="0" w:type="dxa"/>
              <w:left w:w="0" w:type="dxa"/>
              <w:bottom w:w="0" w:type="dxa"/>
              <w:right w:w="0" w:type="dxa"/>
            </w:tcMar>
            <w:vAlign w:val="center"/>
          </w:tcPr>
          <w:p>
            <w:pPr>
              <w:pStyle w:val="Normal"/>
              <w:rPr/>
            </w:pPr>
            <w:r>
              <w:rPr/>
            </w:r>
          </w:p>
        </w:tc>
        <w:tc>
          <w:tcPr>
            <w:tcW w:w="153" w:type="dxa"/>
            <w:tcBorders/>
            <w:shd w:fill="auto" w:val="cle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3"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8" w:type="dxa"/>
            <w:gridSpan w:val="15"/>
            <w:tcBorders/>
            <w:shd w:fill="auto" w:val="clea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cost categories may change from time to time and may not be comparable to similarly titled categories presented by other companies.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impacting the changes in our general and administration expenses during the three months ended March 31, 2023 and 2022 are summarized below:</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 xml:space="preserve">Labor costs decreased as a percentage of revenues, while increasing in aggregate dollars primarily due to business growth and wage inflation; partially offset by lower equity compensation costs; </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Provision for bad debt expense increased in aggregate dollars due to timing as we began tempering our reserve in the three months ended March 31, 2022 before increasing our allowance for credit losses associated with the use of a more conservative methodology as of March 31, 2023;</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Other costs increased in aggregate dollars primarily due to inflationary pressures and an increase in general overhead costs to support business growth.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components of depreciation and amortization expense (dollars in millions and as a percentage of total revenues) follows:</w:t>
      </w:r>
    </w:p>
    <w:tbl>
      <w:tblPr>
        <w:tblW w:w="9972" w:type="dxa"/>
        <w:jc w:val="left"/>
        <w:tblInd w:w="0" w:type="dxa"/>
        <w:tblCellMar>
          <w:top w:w="28" w:type="dxa"/>
          <w:left w:w="28" w:type="dxa"/>
          <w:bottom w:w="28" w:type="dxa"/>
          <w:right w:w="28" w:type="dxa"/>
        </w:tblCellMar>
      </w:tblPr>
      <w:tblGrid>
        <w:gridCol w:w="929"/>
        <w:gridCol w:w="817"/>
        <w:gridCol w:w="819"/>
        <w:gridCol w:w="109"/>
        <w:gridCol w:w="109"/>
        <w:gridCol w:w="109"/>
        <w:gridCol w:w="109"/>
        <w:gridCol w:w="153"/>
        <w:gridCol w:w="155"/>
        <w:gridCol w:w="155"/>
        <w:gridCol w:w="156"/>
        <w:gridCol w:w="153"/>
        <w:gridCol w:w="153"/>
        <w:gridCol w:w="153"/>
        <w:gridCol w:w="153"/>
        <w:gridCol w:w="297"/>
        <w:gridCol w:w="720"/>
        <w:gridCol w:w="153"/>
        <w:gridCol w:w="109"/>
        <w:gridCol w:w="109"/>
        <w:gridCol w:w="109"/>
        <w:gridCol w:w="255"/>
        <w:gridCol w:w="256"/>
        <w:gridCol w:w="367"/>
        <w:gridCol w:w="109"/>
        <w:gridCol w:w="109"/>
        <w:gridCol w:w="109"/>
        <w:gridCol w:w="211"/>
        <w:gridCol w:w="511"/>
        <w:gridCol w:w="109"/>
        <w:gridCol w:w="109"/>
        <w:gridCol w:w="109"/>
        <w:gridCol w:w="109"/>
        <w:gridCol w:w="255"/>
        <w:gridCol w:w="256"/>
        <w:gridCol w:w="271"/>
        <w:gridCol w:w="109"/>
        <w:gridCol w:w="109"/>
        <w:gridCol w:w="109"/>
        <w:gridCol w:w="211"/>
        <w:gridCol w:w="406"/>
        <w:gridCol w:w="154"/>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1"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365" w:type="dxa"/>
            <w:gridSpan w:val="18"/>
            <w:tcBorders/>
            <w:shd w:fill="auto" w:val="clea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continue"/>
            <w:tcBorders/>
            <w:shd w:fill="auto" w:val="clear"/>
            <w:tcMar>
              <w:top w:w="0" w:type="dxa"/>
              <w:left w:w="0" w:type="dxa"/>
              <w:bottom w:w="0" w:type="dxa"/>
              <w:right w:w="0" w:type="dxa"/>
            </w:tcMar>
            <w:vAlign w:val="center"/>
          </w:tcPr>
          <w:p>
            <w:pPr>
              <w:pStyle w:val="Normal"/>
              <w:rPr/>
            </w:pPr>
            <w:r>
              <w:rPr/>
            </w:r>
          </w:p>
        </w:tc>
        <w:tc>
          <w:tcPr>
            <w:tcW w:w="153" w:type="dxa"/>
            <w:tcBorders/>
            <w:shd w:fill="auto" w:val="cle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3"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8" w:type="dxa"/>
            <w:gridSpan w:val="15"/>
            <w:tcBorders/>
            <w:shd w:fill="auto" w:val="clea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amortization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period-to-period increase in depreciation expense and other amortization expense can be primarily attributed to acquisition activity and increased investments in our fleet; partially offset by lower depreciation and other amortization expense in our Eastern region due to the prior year period including additional depreciation and other amortization expense related to a purchase price allocation adjustment. The period-to-period increase in landfill amortization expense can be attributed to increased landfill volumes and changes in cost and other assumptions.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Expense from Acquisition Activities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and 2022, we recorded charges of $2.9 million and $2.0 million, respectively, comprised primarily of legal, consulting and other similar costs associated with due diligence and the acquisition and integration of acquired businesses or select development projects.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interest expense, net increased $1.1 million in the three months ended March 31, 2023 from the prior year period primarily due to rising interest rates and higher average debt balances associated with the issuance in June 2022 of $35.0 million aggregate principal amount of Vermont Economic Development Authority Solid Waste Disposal Long-Term Revenue Bonds Series 2022A-1.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spacing w:lineRule="auto" w:line="288" w:before="120" w:after="283"/>
        <w:rPr/>
      </w:pPr>
      <w:r>
        <w:rPr>
          <w:rFonts w:ascii="Times New Roman;sans-serif" w:hAnsi="Times New Roman;sans-serif"/>
          <w:b w:val="false"/>
          <w:color w:val="000000"/>
          <w:sz w:val="20"/>
        </w:rPr>
        <w:t>Our provision for income taxes decreased $(0.2) million in the three months ended March 31, 2023 from the prior year period. The provision for income taxes in the three months ended March 31, 2023 included $0.5 million of current income taxes and $0.3 million of deferred income taxes. The provision for income taxes in the three months ended March 31, 2022 included $0.5 million of current income taxes and $0.5 million of deferred income taxes. The effective rate before discrete items for the fiscal year ending December 31, 2023 ("fiscal year 2023") is 30% and is computed based on the statutory rate of 21% adjusted primarily for state taxes and nondeductible officer compensation. The discrete items include equity compensation and a portion of equity compensation disallowed in 162(m). The equity compensation deduction is taken into account in the three months ended March 31, 2023 due to the timing of bonuses and equity awards.</w:t>
      </w:r>
      <w:r>
        <w:rPr>
          <w:color w:val="000000"/>
        </w:rPr>
        <w:t xml:space="preserve"> </w:t>
      </w:r>
      <w:r>
        <w:rPr>
          <w:rFonts w:ascii="Times New Roman;sans-serif" w:hAnsi="Times New Roman;sans-serif"/>
          <w:b w:val="false"/>
          <w:color w:val="000000"/>
          <w:sz w:val="20"/>
        </w:rPr>
        <w:t>Where the long-term trend of the stock price underlying the equity compensation has been increasing, this creates a larger deduction for tax, which reduces the effective rate for the three months ended March 31, 2023. The effective rate for the three months ended March 31, 2023 is 18.2% which is consistent with the same period in the prior year.</w:t>
      </w:r>
      <w:r>
        <w:rPr>
          <w:color w:val="000000"/>
        </w:rPr>
        <w:t xml:space="preserve"> </w:t>
      </w:r>
      <w:r>
        <w:rPr>
          <w:rFonts w:ascii="Times New Roman;sans-serif" w:hAnsi="Times New Roman;sans-serif"/>
          <w:b w:val="false"/>
          <w:color w:val="000000"/>
          <w:sz w:val="20"/>
        </w:rPr>
        <w:t>For the period ending March 31, 2022 the effective rate was 18.6%.</w:t>
      </w:r>
    </w:p>
    <w:p>
      <w:pPr>
        <w:pStyle w:val="TextBody"/>
        <w:spacing w:lineRule="auto" w:line="288" w:before="120" w:after="283"/>
        <w:rPr/>
      </w:pPr>
      <w:r>
        <w:rPr>
          <w:rFonts w:ascii="Times New Roman;sans-serif" w:hAnsi="Times New Roman;sans-serif"/>
          <w:b w:val="false"/>
          <w:color w:val="000000"/>
          <w:sz w:val="20"/>
        </w:rPr>
        <w:t>On December 22, 2017, the Tax Cuts and Jobs Act (the “TCJA”) was enacted. The TCJA significantly changed U.S. corporate income tax laws by, among other things, changing carryforward rules for net operating losses.</w:t>
      </w:r>
      <w:r>
        <w:rPr>
          <w:color w:val="000000"/>
        </w:rPr>
        <w:t xml:space="preserve"> </w:t>
      </w:r>
      <w:r>
        <w:rPr>
          <w:rFonts w:ascii="Times New Roman;sans-serif" w:hAnsi="Times New Roman;sans-serif"/>
          <w:b w:val="false"/>
          <w:color w:val="000000"/>
          <w:sz w:val="20"/>
        </w:rPr>
        <w:t>Under the Internal Revenue Code, as amended by the TCJA, federal net operating loss carryforwards generated before the 2018 tax year continue to be carried forward for 20 years and are able to fully offset taxable income (“pre-2018 net operating losses”).</w:t>
      </w:r>
      <w:r>
        <w:rPr>
          <w:color w:val="000000"/>
        </w:rPr>
        <w:t xml:space="preserve"> </w:t>
      </w:r>
      <w:r>
        <w:rPr>
          <w:rFonts w:ascii="Times New Roman;sans-serif" w:hAnsi="Times New Roman;sans-serif"/>
          <w:b w:val="false"/>
          <w:color w:val="000000"/>
          <w:sz w:val="20"/>
        </w:rPr>
        <w:t>Federal net operating losses generated following the 2017 tax year are carried forward indefinitely, but generally may only offset up to 80% of taxable income earned in a tax year (“post-2017 net operating losses”).</w:t>
      </w:r>
    </w:p>
    <w:p>
      <w:pPr>
        <w:pStyle w:val="TextBody"/>
        <w:spacing w:lineRule="auto" w:line="288" w:before="120" w:after="283"/>
        <w:rPr/>
      </w:pPr>
      <w:r>
        <w:rPr>
          <w:rFonts w:ascii="Times New Roman;sans-serif" w:hAnsi="Times New Roman;sans-serif"/>
          <w:b w:val="false"/>
          <w:color w:val="000000"/>
          <w:sz w:val="20"/>
        </w:rPr>
        <w:t>We carried $5.8 million of pre-2018 net operating losses and $46.5 million of post-2017 net operating losses into the 2023 tax year. We expect to utilize all of our NOLs in fiscal year 2023.</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the TCJA added limitations on the deductibility of interest expense that became more restrictive beginning in tax year 2022 and potentially could limit the deductibility of some of our interest expense. Any interest expense limited may be carried forward indefinitely and utilized in later years subject to said interest limitation.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revenues by reportable operating segment (in millions) follows:</w:t>
      </w:r>
    </w:p>
    <w:tbl>
      <w:tblPr>
        <w:tblW w:w="5750" w:type="dxa"/>
        <w:jc w:val="left"/>
        <w:tblInd w:w="0" w:type="dxa"/>
        <w:tblCellMar>
          <w:top w:w="28" w:type="dxa"/>
          <w:left w:w="28" w:type="dxa"/>
          <w:bottom w:w="28" w:type="dxa"/>
          <w:right w:w="28" w:type="dxa"/>
        </w:tblCellMar>
      </w:tblPr>
      <w:tblGrid>
        <w:gridCol w:w="611"/>
        <w:gridCol w:w="538"/>
        <w:gridCol w:w="545"/>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09"/>
        <w:gridCol w:w="109"/>
        <w:gridCol w:w="154"/>
      </w:tblGrid>
      <w:tr>
        <w:trPr/>
        <w:tc>
          <w:tcPr>
            <w:tcW w:w="61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Eastern Region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894" w:type="dxa"/>
        <w:jc w:val="left"/>
        <w:tblInd w:w="0" w:type="dxa"/>
        <w:tblCellMar>
          <w:top w:w="28" w:type="dxa"/>
          <w:left w:w="28" w:type="dxa"/>
          <w:bottom w:w="28" w:type="dxa"/>
          <w:right w:w="28" w:type="dxa"/>
        </w:tblCellMar>
      </w:tblPr>
      <w:tblGrid>
        <w:gridCol w:w="918"/>
        <w:gridCol w:w="809"/>
        <w:gridCol w:w="823"/>
        <w:gridCol w:w="751"/>
        <w:gridCol w:w="1819"/>
        <w:gridCol w:w="388"/>
        <w:gridCol w:w="388"/>
        <w:gridCol w:w="388"/>
        <w:gridCol w:w="388"/>
        <w:gridCol w:w="388"/>
        <w:gridCol w:w="388"/>
        <w:gridCol w:w="965"/>
        <w:gridCol w:w="109"/>
        <w:gridCol w:w="109"/>
        <w:gridCol w:w="109"/>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2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9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2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9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958"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958"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Price.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price change component in quarterly solid waste revenues growth from the prior year period is the result of the following:</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$5.3 million from favorable collection pricing; and</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$2.3 million from favorable disposal pricing related to landfills and transfer stations.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volume change component in quarterly solid waste revenues growth from the prior year period is the result of higher disposal volumes ($1.1 million from higher transfer station volumes, partially offset by $(0.3) million associated with landfill volumes primarily due to customer and material mix and $(0.3) million associated with lower transportation volumes).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p>
      <w:pPr>
        <w:pStyle w:val="TextBody"/>
        <w:spacing w:lineRule="auto" w:line="288" w:before="120" w:after="283"/>
        <w:rPr/>
      </w:pPr>
      <w:r>
        <w:rPr>
          <w:rFonts w:ascii="Times New Roman;sans-serif" w:hAnsi="Times New Roman;sans-serif"/>
          <w:b w:val="false"/>
          <w:color w:val="000000"/>
          <w:sz w:val="20"/>
        </w:rPr>
        <w:t>The surcharges and other fees change component in quarterly solid waste revenues growth from the prior year period is a result of higher E&amp;E Fee revenues and higher SRA Fee revenues. Higher E&amp;E Fee revenues associated with our fuel cost recovery program were as a result of higher diesel fuel prices and a higher overall customer participation rate. Higher SRA Fee revenues were a result of lower recycled commodity prices in the quarter and a higher overall customer participation rate. See Item 3.</w:t>
      </w:r>
      <w:r>
        <w:rPr>
          <w:color w:val="000000"/>
        </w:rPr>
        <w:t xml:space="preserve">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included in this Quarterly Report on Form 10-Q for additional information regarding our E&amp;E Fee and SRA Fee.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Western Region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period-to-period change in solid waste revenues (dollars in millions and as percentage growth of solid waste revenues) follows:</w:t>
      </w:r>
    </w:p>
    <w:tbl>
      <w:tblPr>
        <w:tblW w:w="8894" w:type="dxa"/>
        <w:jc w:val="left"/>
        <w:tblInd w:w="0" w:type="dxa"/>
        <w:tblCellMar>
          <w:top w:w="28" w:type="dxa"/>
          <w:left w:w="28" w:type="dxa"/>
          <w:bottom w:w="28" w:type="dxa"/>
          <w:right w:w="28" w:type="dxa"/>
        </w:tblCellMar>
      </w:tblPr>
      <w:tblGrid>
        <w:gridCol w:w="918"/>
        <w:gridCol w:w="809"/>
        <w:gridCol w:w="823"/>
        <w:gridCol w:w="751"/>
        <w:gridCol w:w="1819"/>
        <w:gridCol w:w="388"/>
        <w:gridCol w:w="388"/>
        <w:gridCol w:w="388"/>
        <w:gridCol w:w="388"/>
        <w:gridCol w:w="388"/>
        <w:gridCol w:w="388"/>
        <w:gridCol w:w="965"/>
        <w:gridCol w:w="109"/>
        <w:gridCol w:w="109"/>
        <w:gridCol w:w="109"/>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 for the Three Months Ended March 31, 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Growth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Volume </w:t>
            </w:r>
          </w:p>
        </w:tc>
        <w:tc>
          <w:tcPr>
            <w:tcW w:w="2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9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tc>
        <w:tc>
          <w:tcPr>
            <w:tcW w:w="2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w:t>
            </w:r>
          </w:p>
        </w:tc>
        <w:tc>
          <w:tcPr>
            <w:tcW w:w="2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958"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waste revenues</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Price.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price change component in quarterly solid waste revenues growth from the prior year period is the result of the following:</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$5.4 million from favorable collection pricing; and</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$1.7 million from favorable disposal pricing related to landfills, transportation services and transfer stations.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volume change component in quarterly solid waste revenues growth from the prior year period is the result of the following:</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 xml:space="preserve">$2.3 million from higher disposal volumes related to landfills, transfer stations and, to a lesser extent, transportation services; partially offset by </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$(2.2) million from lower collection volumes associated with higher customer churn due to increased pricing, higher fees charged to additional customers and customer deselection.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Surcharges and other fees.</w:t>
      </w:r>
    </w:p>
    <w:p>
      <w:pPr>
        <w:pStyle w:val="TextBody"/>
        <w:spacing w:lineRule="auto" w:line="288" w:before="120" w:after="283"/>
        <w:rPr/>
      </w:pPr>
      <w:r>
        <w:rPr>
          <w:rFonts w:ascii="Times New Roman;sans-serif" w:hAnsi="Times New Roman;sans-serif"/>
          <w:b w:val="false"/>
          <w:color w:val="000000"/>
          <w:sz w:val="20"/>
        </w:rPr>
        <w:t>The surcharges and other fees change component in quarterly solid waste revenues growth from the prior year period is a result of higher E&amp;E Fee revenues and higher SRA Fee revenues. Higher E&amp;E Fee revenues associated with our fuel cost recovery program were a result of higher diesel fuel prices and a higher overall customer participation rate. Higher SRA Fee revenues were a result of lower recycled commodity prices in the quarter and a higher overall customer participation rate. See Item 3.</w:t>
      </w:r>
      <w:r>
        <w:rPr>
          <w:color w:val="000000"/>
        </w:rPr>
        <w:t xml:space="preserve">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included in this Quarterly Report on Form 10-Q for additional information regarding our E&amp;E Fee and SRA Fee.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Commodity price and volume.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commodity price and volume change component in quarterly solid waste revenues growth from the prior year period is primarily due to lower landfill gas-to-energy volumes and unfavorable commodity and energy pricing.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Acquisitions.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acquisitions change component in quarterly solid waste revenues growth from the prior year period is the result of the timing and acquisition of ten businesses in line with our growth strategy in fiscal year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Operating Income (Loss)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operating income (loss) by operating segment (in millions) follows:</w:t>
      </w:r>
    </w:p>
    <w:tbl>
      <w:tblPr>
        <w:tblW w:w="6289" w:type="dxa"/>
        <w:jc w:val="left"/>
        <w:tblInd w:w="0" w:type="dxa"/>
        <w:tblCellMar>
          <w:top w:w="28" w:type="dxa"/>
          <w:left w:w="28" w:type="dxa"/>
          <w:bottom w:w="28" w:type="dxa"/>
          <w:right w:w="28" w:type="dxa"/>
        </w:tblCellMar>
      </w:tblPr>
      <w:tblGrid>
        <w:gridCol w:w="611"/>
        <w:gridCol w:w="538"/>
        <w:gridCol w:w="545"/>
        <w:gridCol w:w="109"/>
        <w:gridCol w:w="109"/>
        <w:gridCol w:w="109"/>
        <w:gridCol w:w="109"/>
        <w:gridCol w:w="466"/>
        <w:gridCol w:w="166"/>
        <w:gridCol w:w="323"/>
        <w:gridCol w:w="782"/>
        <w:gridCol w:w="166"/>
        <w:gridCol w:w="109"/>
        <w:gridCol w:w="109"/>
        <w:gridCol w:w="109"/>
        <w:gridCol w:w="211"/>
        <w:gridCol w:w="511"/>
        <w:gridCol w:w="109"/>
        <w:gridCol w:w="109"/>
        <w:gridCol w:w="109"/>
        <w:gridCol w:w="109"/>
        <w:gridCol w:w="211"/>
        <w:gridCol w:w="406"/>
        <w:gridCol w:w="154"/>
      </w:tblGrid>
      <w:tr>
        <w:trPr/>
        <w:tc>
          <w:tcPr>
            <w:tcW w:w="61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8" w:type="dxa"/>
            <w:gridSpan w:val="6"/>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66"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continue"/>
            <w:tcBorders/>
            <w:shd w:fill="auto" w:val="clear"/>
            <w:tcMar>
              <w:top w:w="0" w:type="dxa"/>
              <w:left w:w="0" w:type="dxa"/>
              <w:bottom w:w="0" w:type="dxa"/>
              <w:right w:w="0" w:type="dxa"/>
            </w:tcMar>
            <w:vAlign w:val="center"/>
          </w:tcPr>
          <w:p>
            <w:pPr>
              <w:pStyle w:val="Normal"/>
              <w:rPr/>
            </w:pPr>
            <w:r>
              <w:rPr/>
            </w:r>
          </w:p>
        </w:tc>
        <w:tc>
          <w:tcPr>
            <w:tcW w:w="1098" w:type="dxa"/>
            <w:gridSpan w:val="6"/>
            <w:tcBorders/>
            <w:shd w:fill="auto" w:val="clea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Eastern Region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$4.3 million quarterly from the prior year period. Excluding the impact of the Southbridge Landfill closure charge, our improved operating performance in the three months ended March 31, 2023 was driven by revenue growth, inclusive of inter-company revenues, more than offsetting the following cost impacts discussed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val="false"/>
          <w:i/>
          <w:color w:val="000000"/>
          <w:sz w:val="20"/>
        </w:rPr>
        <w:t>Cost of operations</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operations increased $9.0 million quarterly from the prior year period due to the following: </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costs increased in aggregate dollars primarily due to higher hauling, transportation and disposal costs on (i) higher solid waste volumes from organic business growth, (ii) higher fuel surcharges from third party haulers due to higher diesel fuel prices and (iii) higher disposal rates due to inflationary pressures;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Maintenance and repair costs increased in aggregate dollars primarily due to organic business growth and higher fleet and container maintenance costs associated with inflationary pressures;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operational costs increased in aggregate dollars primarily due to (i) higher vehicle insurance costs, (ii) higher accretion expense associated with changes in the timing and cost estimates of our closure, post-closure, and capping obligations, (iii) higher landfill operating lease expense due to increased landfill volumes, (iv) organic business growth and (vi) inflationary pressures; partially offset by lower non-landfill operating lease expense;</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labor costs increased in aggregate dollars primarily due to organic business growth and wage inflation;</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Fuel costs increased in aggregate dollars primarily due to higher diesel fuel prices and higher volumes driven by organic business growth. See Item 3.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included in this Quarterly Report on Form 10-Q for additional information regarding our fuel costs; and</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Other operational costs increased in aggregate dollars primarily due to higher facility costs driven by organic business growth and inflationary pressures.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val="false"/>
          <w:i/>
          <w:color w:val="000000"/>
          <w:sz w:val="20"/>
        </w:rPr>
        <w:t>General and administration</w:t>
      </w:r>
      <w:r>
        <w:rPr>
          <w:rFonts w:ascii="Times New Roman;sans-serif" w:hAnsi="Times New Roman;sans-serif"/>
          <w:b w:val="false"/>
          <w:color w:val="000000"/>
          <w:sz w:val="20"/>
        </w:rPr>
        <w:t>: General and administration expense increased $2.3 million quarterly from the prior year period due to (i) organic business growth, (ii) wage inflation, (iii) higher bad debt expense and (iv) the allocation of higher shared service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val="false"/>
          <w:i/>
          <w:color w:val="000000"/>
          <w:sz w:val="20"/>
        </w:rPr>
        <w:t>Depreciation and amortization</w:t>
      </w:r>
      <w:r>
        <w:rPr>
          <w:rFonts w:ascii="Times New Roman;sans-serif" w:hAnsi="Times New Roman;sans-serif"/>
          <w:b w:val="false"/>
          <w:color w:val="000000"/>
          <w:sz w:val="20"/>
        </w:rPr>
        <w:t>: Depreciation and amortization expense increased $0.5 million quarterly from the prior year period due to higher landfill amortization expense as a result of higher landfill volumes and changes in cost and other assumptions; partially offset by lower depreciation and other amortization expense due to the prior year period including additional depreciation and other amortization expense related to a purchase price allocation adjustment.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Western Region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$3.2 million quarterly from the prior year period. Excluding the impact of the expense from acquisition activities, our improved operating performance in the three months ended March 31, 2023 was driven by revenue growth, inclusive of inter-company revenues, more than offsetting the following cost impacts discussed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Cost of operations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operations increased $10.7 million quarterly from the prior year period due to the following: </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costs increased in aggregate dollars primarily due to higher hauling, transportation and disposal costs on (i) higher solid waste volumes from acquisition-related business growth, and to a lesser extent organic business growth, (ii) higher fuel surcharges from third party haulers due to higher diesel fuel prices and (iii) higher disposal rates due to inflationary pressures;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operational costs increased in aggregate dollars primarily due to (i) higher host community and royalty fees and higher landfill operating lease expense due to increased landfill volumes, (ii) higher leachate disposal costs due to weather events, (iii) higher accretion expense associated with changes in the timing and cost estimates of our closure, post-closure, and capping obligations, (iv) higher vehicle insurance costs, (v) acquisition-related growth, and to a lesser extent organic business growth and (vi) inflationary pressures, partially offset by lower non-landfill operating lease expense;</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Maintenance and repair costs increased in aggregate dollars primarily due to acquisition-related growth, and to a lesser extent organic business growth, and higher fleet and container maintenance costs associated with inflationary pressures;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labor costs increased in aggregate dollars primarily due to acquisition-related growth and to a lesser extent organic business growth, and wage inflation;</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Fuel costs increased in aggregate dollars primarily due to higher diesel fuel prices and higher volumes driven by acquisition-related growth, and to a lesser extent organic business growth. See Item 3.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included in this Quarterly Report on Form 10-Q for additional information regarding our fuel costs; and</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Other operational costs increased in aggregate dollars primarily due to higher facility costs driven by acquisition-related growth, and to a lesser extent organic business growth, and inflationary pressures; partially offset by a benefit from the change in fair value of an acquisition related contingent consideration which is based upon a probability-weighted analysis of a success payment related to the potential attainment of a transfer station permit expansion.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val="false"/>
          <w:i/>
          <w:color w:val="000000"/>
          <w:sz w:val="20"/>
        </w:rPr>
        <w:t>General and administration</w:t>
      </w:r>
      <w:r>
        <w:rPr>
          <w:rFonts w:ascii="Times New Roman;sans-serif" w:hAnsi="Times New Roman;sans-serif"/>
          <w:b w:val="false"/>
          <w:color w:val="000000"/>
          <w:sz w:val="20"/>
        </w:rPr>
        <w:t>: General and administration expense increased $2.0 million quarterly from the prior year period due to (i) acquisition-related growth, and to a lesser extent organic business growth, (ii) wage inflation, (iii) an increase in general overhead costs associated with business growth and inflationary pressures, (iv) higher bad debt expense and (v) the allocation of higher shared service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val="false"/>
          <w:i/>
          <w:color w:val="000000"/>
          <w:sz w:val="20"/>
        </w:rPr>
        <w:t>Depreciation and amortization</w:t>
      </w:r>
      <w:r>
        <w:rPr>
          <w:rFonts w:ascii="Times New Roman;sans-serif" w:hAnsi="Times New Roman;sans-serif"/>
          <w:b w:val="false"/>
          <w:color w:val="000000"/>
          <w:sz w:val="20"/>
        </w:rPr>
        <w:t>: Depreciation and amortization expense increased $3.0 million quarterly from the prior year period primarily due to acquisition-related growth and increased investments in our fleet, whereas the increase in landfill amortization expense can be primarily attributed to higher landfill volumes and changes in cost and other assumptions.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Resource Solutions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Operating income decreased $(5.6) million quarterly from the prior year period. Excluding the impact of the expense from acquisition activities, our operating performance in the three months ended March 31, 2023 was driven by revenue growth, inclusive of inter-company revenues, more than offset by the following cost impacts discussed below.</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Cost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Cost of operations increased $7.5 million quarterly from the prior year period due to the following:</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costs increased in aggregate dollars primarily due to higher hauling, transportation and disposal costs on (i) increased volumes in our National Accounts business, (ii) higher fuel surcharges from third party haulers due to higher diesel fuel prices, (iii) higher disposal rates due to inflationary pressures, (iv) higher volumes associated with our processing services and (v) costs associated with the diversion of materials from our Boston, Massachusetts material recovery facility which is currently undergoing a retrofit; partially offset by lower purchased material costs;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Maintenance and repair costs increased in aggregate dollars primarily due to business growth and higher fleet and container maintenance costs associated with inflationary pressures;</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Other operational costs increased in aggregate dollars primarily due to higher facility costs driven by business growth and inflationary pressures; and</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Direct operational costs increased in aggregate dollars primarily due to business growth and inflationary pressures.</w:t>
      </w:r>
    </w:p>
    <w:p>
      <w:pPr>
        <w:pStyle w:val="TextBody"/>
        <w:spacing w:lineRule="auto" w:line="288" w:before="120" w:after="283"/>
        <w:rPr/>
      </w:pPr>
      <w:r>
        <w:rPr>
          <w:rFonts w:ascii="Times New Roman;sans-serif" w:hAnsi="Times New Roman;sans-serif"/>
          <w:b w:val="false"/>
          <w:i/>
          <w:color w:val="000000"/>
          <w:sz w:val="20"/>
        </w:rPr>
        <w:t>General and administration</w:t>
      </w:r>
      <w:r>
        <w:rPr>
          <w:rFonts w:ascii="Times New Roman;sans-serif" w:hAnsi="Times New Roman;sans-serif"/>
          <w:b w:val="false"/>
          <w:color w:val="000000"/>
          <w:sz w:val="20"/>
        </w:rPr>
        <w:t>: General and administration expense increased $1.6 million quarterly from the prior year period due to (i) business growth, (ii) wage inflation, (iii) an increase in general overhead costs associated with business growth and inflationary pressures and (iv) higher bad debt expense.</w:t>
      </w:r>
    </w:p>
    <w:p>
      <w:pPr>
        <w:pStyle w:val="TextBody"/>
        <w:spacing w:lineRule="auto" w:line="288" w:before="120" w:after="283"/>
        <w:rPr/>
      </w:pPr>
      <w:r>
        <w:rPr>
          <w:rFonts w:ascii="Times New Roman;sans-serif" w:hAnsi="Times New Roman;sans-serif"/>
          <w:b w:val="false"/>
          <w:i/>
          <w:color w:val="000000"/>
          <w:sz w:val="20"/>
        </w:rPr>
        <w:t>Depreciation and amortization</w:t>
      </w:r>
      <w:r>
        <w:rPr>
          <w:rFonts w:ascii="Times New Roman;sans-serif" w:hAnsi="Times New Roman;sans-serif"/>
          <w:b w:val="false"/>
          <w:color w:val="000000"/>
          <w:sz w:val="20"/>
        </w:rPr>
        <w:t>: Depreciation and amortization expense increased $0.3 million quarterly from the prior year period due to acquisition activity completed in fiscal year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Corporate Entities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Corporate Entities operating loss reflects those costs not allocated to our reportable operating segments, which typically consists of depreciation and amortization expense. Operating income decreased $(1.8) million quarterly from the prior year period primarily due to unallocated acquisition related expenses, comprised primarily of legal, consulting and other similar costs in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monitor our actual and forecasted cash flows, our liquidity, and our capital requirements in order to properly manage our liquidity needs as we move forward based on the capital intensive nature of our business and our growth acquisition strategy. We have $272.3 million of undrawn capacity from our $300.0 million revolving credit facility ("Revolving Credit Facility") as of March 31, 2023 to help meet our short-term and long-term liquidity needs. We expect existing cash and cash equivalents combined with cash flows from operations and financing activities to continue to be sufficient to fund our operating activities and cash commitments for investing and financing activities for at least the next 12 months and thereafter for the foreseeable future.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known current- and long-term uses of cash include, among other possible demands: (1) acquisitions, (2) capital expenditures and leases, (3) repayments to service debt and other long-term obligations and (4)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more strategic acquisitions that may be inside or outside of our existing market, which could require additional financing either in the form of debt or equity.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cash and cash equivalents, restricted assets and debt balances, excluding any debt issuance costs, (in millions) follows:</w:t>
      </w:r>
    </w:p>
    <w:tbl>
      <w:tblPr>
        <w:tblW w:w="8195" w:type="dxa"/>
        <w:jc w:val="left"/>
        <w:tblInd w:w="0" w:type="dxa"/>
        <w:tblCellMar>
          <w:top w:w="28" w:type="dxa"/>
          <w:left w:w="28" w:type="dxa"/>
          <w:bottom w:w="28" w:type="dxa"/>
          <w:right w:w="28" w:type="dxa"/>
        </w:tblCellMar>
      </w:tblPr>
      <w:tblGrid>
        <w:gridCol w:w="1651"/>
        <w:gridCol w:w="1450"/>
        <w:gridCol w:w="1458"/>
        <w:gridCol w:w="211"/>
        <w:gridCol w:w="616"/>
        <w:gridCol w:w="109"/>
        <w:gridCol w:w="109"/>
        <w:gridCol w:w="109"/>
        <w:gridCol w:w="109"/>
        <w:gridCol w:w="247"/>
        <w:gridCol w:w="721"/>
        <w:gridCol w:w="127"/>
        <w:gridCol w:w="109"/>
        <w:gridCol w:w="109"/>
        <w:gridCol w:w="109"/>
        <w:gridCol w:w="211"/>
        <w:gridCol w:w="586"/>
        <w:gridCol w:w="154"/>
      </w:tblGrid>
      <w:tr>
        <w:trPr/>
        <w:tc>
          <w:tcPr>
            <w:tcW w:w="1651"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5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excluding current maturities of debt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less current portion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cash and cash equivalents, decreased $(8.7) million and current liabilities decreased $(32.5) million in the three months ended March 31, 2023 as compared to December 31, 2022, resulting in a $23.8 million increase in working capital, net (defined as current assets, excluding cash and cash equivalents, minus current liabilities), from $(41.3) million as of December 31, 2022 to $(17.5) million as of March 31, 2023. We strive to maintain a negative working capital cycle driven by shorter days sales outstanding as compared to days payable outstanding in an effort to collect money at a faster rate than paying bills to facilitate business growth.</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Summary of Cash Flow Activity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decreased $(11.0) million in the three months ended March 31, 2023. A summary of cash flows (in millions) follows:</w:t>
      </w:r>
    </w:p>
    <w:tbl>
      <w:tblPr>
        <w:tblW w:w="7631" w:type="dxa"/>
        <w:jc w:val="left"/>
        <w:tblInd w:w="0" w:type="dxa"/>
        <w:tblCellMar>
          <w:top w:w="28" w:type="dxa"/>
          <w:left w:w="28" w:type="dxa"/>
          <w:bottom w:w="28" w:type="dxa"/>
          <w:right w:w="28" w:type="dxa"/>
        </w:tblCellMar>
      </w:tblPr>
      <w:tblGrid>
        <w:gridCol w:w="1525"/>
        <w:gridCol w:w="1343"/>
        <w:gridCol w:w="1346"/>
        <w:gridCol w:w="211"/>
        <w:gridCol w:w="586"/>
        <w:gridCol w:w="109"/>
        <w:gridCol w:w="109"/>
        <w:gridCol w:w="109"/>
        <w:gridCol w:w="109"/>
        <w:gridCol w:w="211"/>
        <w:gridCol w:w="586"/>
        <w:gridCol w:w="109"/>
        <w:gridCol w:w="109"/>
        <w:gridCol w:w="109"/>
        <w:gridCol w:w="109"/>
        <w:gridCol w:w="211"/>
        <w:gridCol w:w="586"/>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operating cash flows (in millions) follows:</w:t>
      </w:r>
    </w:p>
    <w:tbl>
      <w:tblPr>
        <w:tblW w:w="8753" w:type="dxa"/>
        <w:jc w:val="left"/>
        <w:tblInd w:w="0" w:type="dxa"/>
        <w:tblCellMar>
          <w:top w:w="28" w:type="dxa"/>
          <w:left w:w="28" w:type="dxa"/>
          <w:bottom w:w="28" w:type="dxa"/>
          <w:right w:w="28" w:type="dxa"/>
        </w:tblCellMar>
      </w:tblPr>
      <w:tblGrid>
        <w:gridCol w:w="2432"/>
        <w:gridCol w:w="2132"/>
        <w:gridCol w:w="2155"/>
        <w:gridCol w:w="211"/>
        <w:gridCol w:w="511"/>
        <w:gridCol w:w="109"/>
        <w:gridCol w:w="109"/>
        <w:gridCol w:w="109"/>
        <w:gridCol w:w="109"/>
        <w:gridCol w:w="211"/>
        <w:gridCol w:w="511"/>
        <w:gridCol w:w="154"/>
      </w:tblGrid>
      <w:tr>
        <w:trPr/>
        <w:tc>
          <w:tcPr>
            <w:tcW w:w="2432"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accretion on landfill and environmental remediation liabilities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debt issuance costs </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expense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 of assets, other items and charges, net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operating cash flows follows:</w:t>
      </w:r>
    </w:p>
    <w:p>
      <w:pPr>
        <w:pStyle w:val="TextBody"/>
        <w:spacing w:lineRule="auto" w:line="288" w:before="120" w:after="283"/>
        <w:rPr/>
      </w:pPr>
      <w:r>
        <w:rPr>
          <w:rFonts w:ascii="Times New Roman;sans-serif" w:hAnsi="Times New Roman;sans-serif"/>
          <w:b w:val="false"/>
          <w:color w:val="000000"/>
          <w:sz w:val="20"/>
        </w:rPr>
        <w:t>Net cash provided by operating activities decreased $(8.6) million in the three months ended March 31, 2023 as compared to the three months ended March 31, 2022. This was the result of operational performance, more than offset by an increase in the unfavorable cash flow impact associated with the changes in our assets and liabilities, net of effects of acquisitions and divestitures. For discussion of our operational performance in the three months ended March 31, 2023 as compared to the three months ended March 31, 2022, see "</w:t>
      </w:r>
      <w:r>
        <w:rPr>
          <w:rFonts w:ascii="Times New Roman;sans-serif" w:hAnsi="Times New Roman;sans-serif"/>
          <w:b w:val="false"/>
          <w:i/>
          <w:color w:val="000000"/>
          <w:sz w:val="20"/>
        </w:rPr>
        <w:t xml:space="preserve">Results of Operations" </w:t>
      </w:r>
      <w:r>
        <w:rPr>
          <w:rFonts w:ascii="Times New Roman;sans-serif" w:hAnsi="Times New Roman;sans-serif"/>
          <w:b w:val="false"/>
          <w:color w:val="000000"/>
          <w:sz w:val="20"/>
        </w:rPr>
        <w:t>included in this Item 2.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of this Quarterly Report on Form 10-Q. The increase in the unfavorable cash flow impact associated with the changes in our assets and liabilities, net of effects of acquisitions and divestitures, which are affected by both cost changes and the timing of payments, in the three months ended March 31, 2023 as compared to the three months ended March 31, 2022 was primarily due to the following:</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 xml:space="preserve">a $(10.9) million unfavorable impact to operating cash flows associated with the changes in accrued expenses, contract liabilities and other liabilities on higher cash income tax payments, and a higher decline in accrued payroll, related to the payment of incentive compensation, and other accrued expenditures; and </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a $(9.7) million unfavorable impact to operating cash flows associated with the change in accounts payable as prior year payables grew in the aggregate despite similar reductions in days payable outstanding from the prior year period; partially offset by</w:t>
      </w:r>
    </w:p>
    <w:p>
      <w:pPr>
        <w:pStyle w:val="TextBody"/>
        <w:spacing w:lineRule="auto" w:line="288" w:before="60" w:after="60"/>
        <w:ind w:left="0" w:right="0" w:hanging="360"/>
        <w:rPr/>
      </w:pPr>
      <w:r>
        <w:rPr>
          <w:color w:val="000000"/>
        </w:rPr>
        <w:t>•</w:t>
      </w:r>
      <w:r>
        <w:rPr>
          <w:rFonts w:ascii="Times New Roman;sans-serif" w:hAnsi="Times New Roman;sans-serif"/>
          <w:b w:val="false"/>
          <w:color w:val="000000"/>
          <w:sz w:val="20"/>
        </w:rPr>
        <w:t>a $5.3 million favorable impact to operating cash flows associated with the change in accounts receivable primarily due to increased revenues growth and a favorable decrease in days sales outstanding from the prior year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val="false"/>
          <w:i/>
          <w:color w:val="000000"/>
          <w:sz w:val="20"/>
        </w:rPr>
        <w:t>Cash flows from investing activities</w:t>
      </w:r>
      <w:r>
        <w:rPr>
          <w:rFonts w:ascii="Times New Roman;sans-serif" w:hAnsi="Times New Roman;sans-serif"/>
          <w:b w:val="false"/>
          <w:color w:val="000000"/>
          <w:sz w:val="20"/>
        </w:rPr>
        <w: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investing cash flows (in millions) follows: </w:t>
      </w:r>
    </w:p>
    <w:tbl>
      <w:tblPr>
        <w:tblW w:w="6008" w:type="dxa"/>
        <w:jc w:val="left"/>
        <w:tblInd w:w="0" w:type="dxa"/>
        <w:tblCellMar>
          <w:top w:w="28" w:type="dxa"/>
          <w:left w:w="28" w:type="dxa"/>
          <w:bottom w:w="28" w:type="dxa"/>
          <w:right w:w="28" w:type="dxa"/>
        </w:tblCellMar>
      </w:tblPr>
      <w:tblGrid>
        <w:gridCol w:w="1385"/>
        <w:gridCol w:w="1216"/>
        <w:gridCol w:w="1223"/>
        <w:gridCol w:w="211"/>
        <w:gridCol w:w="586"/>
        <w:gridCol w:w="109"/>
        <w:gridCol w:w="109"/>
        <w:gridCol w:w="109"/>
        <w:gridCol w:w="109"/>
        <w:gridCol w:w="211"/>
        <w:gridCol w:w="586"/>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investing cash flows follows:</w:t>
      </w:r>
    </w:p>
    <w:p>
      <w:pPr>
        <w:pStyle w:val="TextBody"/>
        <w:spacing w:lineRule="auto" w:line="288" w:before="120" w:after="283"/>
        <w:rPr/>
      </w:pPr>
      <w:r>
        <w:rPr>
          <w:rFonts w:ascii="Times New Roman;sans-serif" w:hAnsi="Times New Roman;sans-serif"/>
          <w:b w:val="false"/>
          <w:i/>
          <w:color w:val="000000"/>
          <w:sz w:val="20"/>
        </w:rPr>
        <w:t>Acquisitions, net of cash acquired.</w:t>
      </w:r>
      <w:r>
        <w:rPr>
          <w:color w:val="000000"/>
        </w:rPr>
        <w:t xml:space="preserve"> </w:t>
      </w:r>
      <w:r>
        <w:rPr>
          <w:rFonts w:ascii="Times New Roman;sans-serif" w:hAnsi="Times New Roman;sans-serif"/>
          <w:b w:val="false"/>
          <w:color w:val="000000"/>
          <w:sz w:val="20"/>
        </w:rPr>
        <w:t>In the three months ended March 31, 2023, we paid $0.3 million in holdback payments on businesses previously acquired, as compared to the three months ended March 31, 2022 during which we acquired six businesses for total consideration of $53.5 million, including $49.8 million in cash.</w:t>
      </w:r>
    </w:p>
    <w:p>
      <w:pPr>
        <w:pStyle w:val="TextBody"/>
        <w:spacing w:lineRule="auto" w:line="288" w:before="120" w:after="283"/>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Capital expenditures increased $5.0 million in the three months ended March 31, 2023 as compared to the three months ended March 31, 2022 primarily due to higher capital spend associated with (i) facility spend related to the purchase of a transfer station that was formerly leased and the retrofitting of a single-stream material recovery facility; (ii) development of rail side infrastructure at our Subtitle D landfill located in Mount Jewett, Pennsylvania and (iii) higher spend for vehicles, machinery, equipment and containers associated with business growth and inflationary pressures.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val="false"/>
          <w:i/>
          <w:color w:val="000000"/>
          <w:sz w:val="20"/>
        </w:rPr>
        <w:t>Cash flows from financing activities</w:t>
      </w:r>
      <w:r>
        <w:rPr>
          <w:rFonts w:ascii="Times New Roman;sans-serif" w:hAnsi="Times New Roman;sans-serif"/>
          <w:b w:val="false"/>
          <w:color w:val="000000"/>
          <w:sz w:val="20"/>
        </w:rPr>
        <w: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financing cash flows (in millions) follows:</w:t>
      </w:r>
    </w:p>
    <w:tbl>
      <w:tblPr>
        <w:tblW w:w="6218" w:type="dxa"/>
        <w:jc w:val="left"/>
        <w:tblInd w:w="0" w:type="dxa"/>
        <w:tblCellMar>
          <w:top w:w="28" w:type="dxa"/>
          <w:left w:w="28" w:type="dxa"/>
          <w:bottom w:w="28" w:type="dxa"/>
          <w:right w:w="28" w:type="dxa"/>
        </w:tblCellMar>
      </w:tblPr>
      <w:tblGrid>
        <w:gridCol w:w="1525"/>
        <w:gridCol w:w="1343"/>
        <w:gridCol w:w="1346"/>
        <w:gridCol w:w="211"/>
        <w:gridCol w:w="481"/>
        <w:gridCol w:w="109"/>
        <w:gridCol w:w="109"/>
        <w:gridCol w:w="109"/>
        <w:gridCol w:w="109"/>
        <w:gridCol w:w="211"/>
        <w:gridCol w:w="511"/>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debt</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the most significant items affecting the change in our financing cash flows follows:</w:t>
      </w:r>
    </w:p>
    <w:p>
      <w:pPr>
        <w:pStyle w:val="TextBody"/>
        <w:spacing w:lineRule="auto" w:line="288" w:before="120" w:after="283"/>
        <w:rPr/>
      </w:pPr>
      <w:r>
        <w:rPr>
          <w:rFonts w:ascii="Times New Roman;sans-serif" w:hAnsi="Times New Roman;sans-serif"/>
          <w:b w:val="false"/>
          <w:i/>
          <w:color w:val="000000"/>
          <w:sz w:val="20"/>
        </w:rPr>
        <w:t>Debt activity</w:t>
      </w:r>
      <w:r>
        <w:rPr>
          <w:rFonts w:ascii="Times New Roman;sans-serif" w:hAnsi="Times New Roman;sans-serif"/>
          <w:b w:val="false"/>
          <w:color w:val="000000"/>
          <w:sz w:val="20"/>
        </w:rPr>
        <w:t>. Net cash associated with debt activity decreased $(25.6) million in the three months ended March 31, 2023 as compared to the three months ended March 31, 2022 due to borrowings in the prior year period on our Revolving Credit Facility associated with acquisition activity.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Outstanding Long-Term Debt</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we are party to an amended and restated credit agreement, dated as of December 22, 2021, as amended by the first amendment, dated as of February 9, 2023, and the second amendment, dated as of February 9, 2023 (the "Amended and Restated Credit Agreement"), which provides for a $350.0 million aggregate principal amount term loan A facility ("Term Loan Facility") and a $300.0 million revolving credit facility ("Revolving Credit Facility" together with the Term Loan Facility, the "Credit Facility"), with a $75.0 million sublimit for letters of credit. We have the right to request, at our discretion, an increase in the amount of loans under the Credit Facility by an aggregate amount of $125.0 million, subject to the terms and conditions set forth in the Amended and Restated Credit Agreement. The Credit Facility has a 5-year term that matures in December 2026. On February 9, 2023, we entered into first and second amendments to the Amended and Restated Credit Agreement. The first amendment provides, commencing in the fiscal year ending December 31, 2024, the interest rate margin applied for drawn and undrawn amounts under the Amended and Restated Credit Agreement shall be separately adjusted based on our achievement of certain thresholds and targets on two sustainability related key performance indicator metrics during fiscal year 2023: (i) metric tons of solid waste materials reduced, reused or recycled through our direct operations or with third-parties in collaboration with customers; and (ii) our total recordable incident rate. The second amendment provides that loans under the Amended and Restated Credit Agreement shall bear interest, at our election, at term secured overnight financing rate ("Term SOFR"), including a secured overnight financing rate adjustment of 10 basis points, or at a base rate, in each case, plus an applicable interest rate margin based on consolidated net leverage ratio, and plus or minus any sustainability rate adjustment. Unless loans are made as or converted to base rate loans, loans under the Amended and Restated Credit Agreement will bear interest at Term SOFR, including a secured overnight financing rate adjustment of 10 basis points, plus a margin based upon our consolidated net leverage ratio in the range of 1.125% to 2.125% per annum, plus a sustainability adjustment of up to positive or negative 4.0 basis point per annum. A commitment fee will be charged on undrawn amounts at a rate of Term SOFR, plus a margin based upon our consolidated net leverage ratio in the range of 0.20% to 0.40% per annum, plus a sustainability adjustment of up to positive or negative 1.0 basis points per annum. We are also required to pay a fronting fee for each letter of credit of 0.25% per annum. Interest under the Amended and Restated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March 31, 2023, further advances were available under the Revolving Credit Facility in the amount of $272.3 million. The available amount is net of outstanding irrevocable letters of credit totaling $27.7 million, and as of March 31, 2023 no amount had been drawn.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Credit Agreement requires us to maintain a minimum interest coverage ratio and a maximum consolidated net leverage ratio, to be measured at the end of each fiscal quarter. As of March 31, 2023, we were in compliance with all financial covenants contained in the Amended and Restated Credit Agreement as follows (in millions):</w:t>
      </w:r>
    </w:p>
    <w:tbl>
      <w:tblPr>
        <w:tblW w:w="10205" w:type="dxa"/>
        <w:jc w:val="left"/>
        <w:tblInd w:w="0" w:type="dxa"/>
        <w:tblCellMar>
          <w:top w:w="28" w:type="dxa"/>
          <w:left w:w="28" w:type="dxa"/>
          <w:bottom w:w="28" w:type="dxa"/>
          <w:right w:w="28" w:type="dxa"/>
        </w:tblCellMar>
      </w:tblPr>
      <w:tblGrid>
        <w:gridCol w:w="1321"/>
        <w:gridCol w:w="1145"/>
        <w:gridCol w:w="1148"/>
        <w:gridCol w:w="109"/>
        <w:gridCol w:w="109"/>
        <w:gridCol w:w="109"/>
        <w:gridCol w:w="930"/>
        <w:gridCol w:w="919"/>
        <w:gridCol w:w="924"/>
        <w:gridCol w:w="109"/>
        <w:gridCol w:w="109"/>
        <w:gridCol w:w="109"/>
        <w:gridCol w:w="924"/>
        <w:gridCol w:w="924"/>
        <w:gridCol w:w="1316"/>
      </w:tblGrid>
      <w:tr>
        <w:trPr/>
        <w:tc>
          <w:tcPr>
            <w:tcW w:w="1321"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Credit Facility Covenant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3"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Covenant Requirements at March 31, 2023</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Maximum consolidated net leverage ratio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interest coverage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9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bl>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120" w:after="283"/>
        <w:ind w:left="0" w:right="0" w:hanging="360"/>
        <w:rPr/>
      </w:pPr>
      <w:r>
        <w:rPr>
          <w:rFonts w:ascii="Times New Roman;sans-serif" w:hAnsi="Times New Roman;sans-serif"/>
          <w:b w:val="false"/>
          <w:color w:val="000000"/>
          <w:sz w:val="16"/>
        </w:rPr>
        <w:t>(1)</w:t>
      </w:r>
      <w:r>
        <w:rPr>
          <w:rFonts w:ascii="Times New Roman;sans-serif" w:hAnsi="Times New Roman;sans-serif"/>
          <w:b w:val="false"/>
          <w:color w:val="000000"/>
          <w:sz w:val="20"/>
        </w:rPr>
        <w:t>The maximum consolidated net leverage ratio is calculated as consolidated funded debt, net of unencumbered cash and cash equivalents in excess of $2.0 million and up to $100.0 million (calculated at $537.9 million as of March 31, 2023, or $596.1 million of consolidated funded debt less $58.2 million of cash and cash equivalents in excess of $2.0 million and up to $100.0 million as of March 31, 2023), divided by consolidated EBITDA. Consolidated EBITDA is based on operating results for the twelve months preceding the measurement date of March 31, 2023. Consolidated funded debt, net of unencumbered cash and cash equivalents in excess of $2.0 million and up to $100.0 million, and consolidated EBITDA as defined by the Amended and Restated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tbl>
      <w:tblPr>
        <w:tblW w:w="9358" w:type="dxa"/>
        <w:jc w:val="left"/>
        <w:tblInd w:w="0" w:type="dxa"/>
        <w:tblCellMar>
          <w:top w:w="28" w:type="dxa"/>
          <w:left w:w="28" w:type="dxa"/>
          <w:bottom w:w="28" w:type="dxa"/>
          <w:right w:w="28" w:type="dxa"/>
        </w:tblCellMar>
      </w:tblPr>
      <w:tblGrid>
        <w:gridCol w:w="2323"/>
        <w:gridCol w:w="2045"/>
        <w:gridCol w:w="2051"/>
        <w:gridCol w:w="632"/>
        <w:gridCol w:w="1846"/>
        <w:gridCol w:w="461"/>
      </w:tblGrid>
      <w:tr>
        <w:trPr/>
        <w:tc>
          <w:tcPr>
            <w:tcW w:w="2323"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6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39"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March 31, 2023</w:t>
            </w:r>
          </w:p>
        </w:tc>
      </w:tr>
      <w:tr>
        <w:trPr/>
        <w:tc>
          <w:tcPr>
            <w:tcW w:w="6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divestitures</w:t>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vAlign w:val="center"/>
          </w:tcPr>
          <w:p>
            <w:pPr>
              <w:pStyle w:val="TableContents"/>
              <w:spacing w:before="0" w:after="283"/>
              <w:rPr>
                <w:sz w:val="4"/>
                <w:szCs w:val="4"/>
              </w:rPr>
            </w:pPr>
            <w:r>
              <w:rPr>
                <w:sz w:val="4"/>
                <w:szCs w:val="4"/>
              </w:rPr>
            </w:r>
          </w:p>
        </w:tc>
      </w:tr>
      <w:tr>
        <w:trPr/>
        <w:tc>
          <w:tcPr>
            <w:tcW w:w="6419" w:type="dxa"/>
            <w:gridSpan w:val="3"/>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vAlign w:val="center"/>
          </w:tcPr>
          <w:p>
            <w:pPr>
              <w:pStyle w:val="TableContents"/>
              <w:spacing w:before="0" w:after="283"/>
              <w:rPr>
                <w:sz w:val="4"/>
                <w:szCs w:val="4"/>
              </w:rPr>
            </w:pPr>
            <w:r>
              <w:rPr>
                <w:sz w:val="4"/>
                <w:szCs w:val="4"/>
              </w:rPr>
            </w:r>
          </w:p>
        </w:tc>
      </w:tr>
      <w:tr>
        <w:trPr/>
        <w:tc>
          <w:tcPr>
            <w:tcW w:w="6419" w:type="dxa"/>
            <w:gridSpan w:val="3"/>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vAlign w:val="center"/>
          </w:tcPr>
          <w:p>
            <w:pPr>
              <w:pStyle w:val="TableContents"/>
              <w:spacing w:before="0" w:after="283"/>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expense</w:t>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 of assets, other items and charges, net</w:t>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less amortization of debt issuance costs </w:t>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net of deferred income taxes</w:t>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as allowed by the Amended and Restated Credit Agreement</w:t>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hanging="36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these financial covenants, the Amended and Restated Credit Agreement also contains a number of important customary affirmative and negative covenants which restrict, among other things, our ability to sell assets, incur additional debt, create liens, make investments, and pay dividends. As of March 31, 2023, we were in compliance with the covenants contained in the Amended and Restated Credit Agreement. We do not believe that these restrictions impact our ability to meet future liquidity needs.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TextBody"/>
        <w:spacing w:lineRule="auto" w:line="288" w:before="120" w:after="283"/>
        <w:rPr/>
      </w:pPr>
      <w:r>
        <w:rPr>
          <w:rFonts w:ascii="Times New Roman;sans-serif" w:hAnsi="Times New Roman;sans-serif"/>
          <w:b w:val="false"/>
          <w:color w:val="000000"/>
          <w:sz w:val="20"/>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6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April 2023, we entered into a commitment letter with lenders to obtain secured bridge financing in an amount of up to $375.0 million, less the amount of any term loan A ("Term Loan A"), and received the commitment of certain commitment parties to fund up to $261.5 million of a maximum of $400.0 million Term Loan A, which may be a delayed draw, under our Amended and Restated Credit Agreement to fund, in conjunction with cash and cash equivalents and borrowings from our Revolving Credit Facility the purchase of the equity interests of four wholly owned subsidiaries of GFL Environmental ("GFL Subsidiaries") . On April 21, 2023, we entered into an equity purchase agreement with GFL Environmental Inc. to purchase 100% of the equity interests of the GFL Subsidiaries that operate solid waste collection, transfer and recycling operations in Pennsylvania, Maryland, and Delaware for approximately $525.0 million in cash. The proposed acquisition includes nine hauling operations, one transfer station, and one material recovery facility. The acquisition is expected to close by the third quarter of fiscal year 2023, subject to customary closing conditions, including regulatory approvals.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Tax-Exempt Financings and Other Debt</w:t>
      </w:r>
    </w:p>
    <w:p>
      <w:pPr>
        <w:pStyle w:val="TextBody"/>
        <w:spacing w:lineRule="auto" w:line="288" w:before="120" w:after="283"/>
        <w:rPr/>
      </w:pPr>
      <w:r>
        <w:rPr>
          <w:rFonts w:ascii="Times New Roman;sans-serif" w:hAnsi="Times New Roman;sans-serif"/>
          <w:b w:val="false"/>
          <w:color w:val="000000"/>
          <w:sz w:val="20"/>
        </w:rPr>
        <w:t xml:space="preserve">As of March 31, 2023, we had outstanding $197.0 million aggregate principal amount of tax exempt bonds, $48.8 million aggregate principal amount of finance leases and $0.3 million aggregate principal amount of notes payable. See Note 7,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to our consolidated financial statements included in Part I. Item. 1 of this Quarterly Report on Form 10-Q for further disclosure regarding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spacing w:lineRule="auto" w:line="288" w:before="120" w:after="283"/>
        <w:rPr/>
      </w:pPr>
      <w:r>
        <w:rPr>
          <w:rFonts w:ascii="Times New Roman;sans-serif" w:hAnsi="Times New Roman;sans-serif"/>
          <w:b w:val="false"/>
          <w:color w:val="000000"/>
          <w:sz w:val="20"/>
        </w:rPr>
        <w:t xml:space="preserve">Inflationary increases in costs, including current inflationary pressures associated primarily with fuel, labor and certain other cost categories and capital items, have materially affected, and may continue to materially affect, our operating margins and cash flows. While inflation negatively impacted operating results and margins during the three months ended March 31, 2023 and 2022,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 which is the energy component of our E&amp;E Fee, is designed to recover escalating fuel price fluctuations above a periodically reset floor. Despite these programs, competitive factors may require us to absorb at least a portion of these cost increases. See Item 3.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included in this Quarterly Report on Form 10-Q for additional information regarding our fuel cost recovery program. Additionally, management’s estimates associated with inflation have had, and will continue to have, an impact on our accounting for landfill and environmental remediation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Regional Economic Conditions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Seasonality and Severe Weather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transfer and disposal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Because certain of our operating and fixed costs remain constant throughout the fiscal year, operating income is therefore impacted by a similar seasonality. 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processing line-of-business in the Resource Solutions operating segment typically experiences increased volumes of fiber from November through mid-January due to increased retail activity during the holiday season.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Estimates and Assumptions</w:t>
      </w:r>
    </w:p>
    <w:p>
      <w:pPr>
        <w:pStyle w:val="TextBody"/>
        <w:spacing w:lineRule="auto" w:line="288" w:before="120" w:after="283"/>
        <w:rPr/>
      </w:pPr>
      <w:r>
        <w:rPr>
          <w:rFonts w:ascii="Times New Roman;sans-serif" w:hAnsi="Times New Roman;sans-serif"/>
          <w:b w:val="false"/>
          <w:color w:val="000000"/>
          <w:sz w:val="20"/>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of our Annual Report on Form 10-K for the fiscal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spacing w:lineRule="auto" w:line="288" w:before="120" w:after="283"/>
        <w:rPr/>
      </w:pPr>
      <w:r>
        <w:rPr>
          <w:rFonts w:ascii="Times New Roman;sans-serif" w:hAnsi="Times New Roman;sans-serif"/>
          <w:b w:val="false"/>
          <w:color w:val="000000"/>
          <w:sz w:val="20"/>
        </w:rPr>
        <w:t xml:space="preserve">For a description of the new accounting standards that may affect us, see Note 2, </w:t>
      </w:r>
      <w:r>
        <w:rPr>
          <w:rFonts w:ascii="Times New Roman;sans-serif" w:hAnsi="Times New Roman;sans-serif"/>
          <w:b w:val="false"/>
          <w:i/>
          <w:color w:val="000000"/>
          <w:sz w:val="20"/>
        </w:rPr>
        <w:t>Accounting Changes</w:t>
      </w:r>
      <w:r>
        <w:rPr>
          <w:color w:val="000000"/>
        </w:rPr>
        <w:t xml:space="preserve"> </w:t>
      </w:r>
      <w:r>
        <w:rPr>
          <w:rFonts w:ascii="Times New Roman;sans-serif" w:hAnsi="Times New Roman;sans-serif"/>
          <w:b w:val="false"/>
          <w:color w:val="000000"/>
          <w:sz w:val="20"/>
        </w:rPr>
        <w:t xml:space="preserve">to our consolidated financial statements included under Part I. Item 1. of this Quarterly Report on Form 10-Q.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market risks, including changes in diesel fuel prices, interest rates and certain commodity prices. We have a variety of strategies to mitigate these market risks, including those discussed below.</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a fuel cost recovery program, which is the energy component of our energy and environmental fee ("E&amp;E Fee(s)") that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Based on our consumption levels in the last twelve months ended March 31, 2023, after considering physically settled fuel contracts we believe a $0.50 cent per gallon change in the price of diesel fuel would change our direct fuel costs by approximately $4.9 million per year. Offsetting these changes in direct fuel expense would be changes in the energy component of the E&amp;E Fees charged to our customers. Based on participation rates as of March 31, 2023, we believe a $0.50 cent per gallon change in the price of diesel fuel would change the energy component of the E&amp;E Fee by approximately $5.8 million per year. In addition to direct fuel costs related to our consumption levels, we are also subject to fuel surcharge expense from third party transportation providers. Other operational costs and capital expenditures may also be impacted by fuel prices.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fuel costs were $10.9 million in the three months ended March 31, 2023, or 4.2% of revenue, compared to $9.9 million in the three months ended March 31, 2022, or 4.2% of revenue.</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March 31, 2023, we were not party to any commodity hedging agreements.</w:t>
      </w:r>
    </w:p>
    <w:p>
      <w:pPr>
        <w:pStyle w:val="TextBody"/>
        <w:spacing w:lineRule="auto" w:line="288" w:before="120" w:after="120"/>
        <w:rPr/>
      </w:pPr>
      <w:r>
        <w:rPr>
          <w:rFonts w:ascii="Times New Roman;sans-serif" w:hAnsi="Times New Roman;sans-serif"/>
          <w:b w:val="false"/>
          <w:color w:val="000000"/>
          <w:sz w:val="20"/>
        </w:rPr>
        <w:t>The impact of commodity price volatility market risk as of March 31, 2023 does not differ materially from that discussed in Item 7A,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of our Annual Report on Form 10-K for the fiscal year ended December 31, 2022.</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our active interest rate derivative agreements had total notional amounts of $190.0 million. According to the terms of the agreements, we receive interest based on the 1-month London Inter-Bank Offered Rate ("LIBOR") index, in some instances restricted by a 0.0% floor, and pay interest at a weighted average rate of approximately 2.20% as of March 31, 2023. The agreements mature between May 2023 and June 2027. Additionally, as of March 31, 2023, we had outstanding forward starting interest rate derivative agreements with a total notional amount of $60.0 million, $20.0 million of which we will receive interest based on the 1-month LIBOR index, restricted by a 0.0% floor, and $40.0 million of which we will receive interest based on term secured overnight financing rate, restricted by a 0.0% floor. The agreements mature in May 2028 and will pay interest at a weighted average interest rate of 2.8%.</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$246.1 million of fixed rate debt in addition to the $190.0 million fixed through our interest rate derivative agreements. We had interest rate risk relating to approximately $160.0 million of long-term debt as of March 31, 2023. The weighted average interest rate on the variable rate portion of long-term debt was approximately 6.1% at March 31, 2023. Should the average interest rate on the variable rate portion of long-term debt change by 100 basis points, we estimate that our annual interest expense would change by up to approximately $1.6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Our management, with the participation of our chief executive officer and chief financial officer, evaluated the effectiveness of our disclosure controls and procedures as of March 31, 2023.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chief financial officer concluded that, as of such date, our disclosure controls and procedures were effective at the reasonable assurance level.</w:t>
      </w:r>
    </w:p>
    <w:p>
      <w:pPr>
        <w:pStyle w:val="TextBody"/>
        <w:spacing w:lineRule="auto" w:line="288" w:before="120" w:after="283"/>
        <w:rPr/>
      </w:pPr>
      <w:r>
        <w:rPr>
          <w:rFonts w:ascii="Times New Roman;sans-serif" w:hAnsi="Times New Roman;sans-serif"/>
          <w:b w:val="false"/>
          <w:i/>
          <w:color w:val="000000"/>
          <w:sz w:val="20"/>
        </w:rPr>
        <w:t>Changes in internal controls over financial reporting.</w:t>
      </w:r>
      <w:r>
        <w:rPr>
          <w:color w:val="000000"/>
        </w:rPr>
        <w:t xml:space="preserve"> </w:t>
      </w:r>
      <w:r>
        <w:rPr>
          <w:rFonts w:ascii="Times New Roman;sans-serif" w:hAnsi="Times New Roman;sans-serif"/>
          <w:b w:val="false"/>
          <w:color w:val="000000"/>
          <w:sz w:val="20"/>
        </w:rPr>
        <w:t>No change in our internal control over financial reporting (as defined in Rules 13a-15(f) and 15d-15(f) under the Exchange Act) occurred during the three months ended March 31, 2023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General Legal Proceedings</w:t>
      </w:r>
    </w:p>
    <w:p>
      <w:pPr>
        <w:pStyle w:val="TextBody"/>
        <w:spacing w:lineRule="auto" w:line="288" w:before="120" w:after="283"/>
        <w:rPr/>
      </w:pPr>
      <w:r>
        <w:rPr>
          <w:rFonts w:ascii="Times New Roman;sans-serif" w:hAnsi="Times New Roman;sans-serif"/>
          <w:b w:val="false"/>
          <w:color w:val="000000"/>
          <w:sz w:val="20"/>
        </w:rPr>
        <w:t xml:space="preserve">The information required by this Item is provided in Note 8,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consolidated financial statements included in Part I. Item 1. of this Quarterly Report on Form 10-Q.</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Legal Proceedings over Certain Environmental Matters Involving Governmental Authorities with Possible Sanctions of $1,000,000 or More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rPr/>
      </w:pPr>
      <w:r>
        <w:rPr>
          <w:rFonts w:ascii="Times New Roman;sans-serif" w:hAnsi="Times New Roman;sans-serif"/>
          <w:b w:val="false"/>
          <w:color w:val="000000"/>
          <w:sz w:val="20"/>
        </w:rPr>
        <w:t>Our business is subject to a number of risks, including those identified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our Annual Report on Form 10-K for the fiscal year ended December 31, 2022,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92"/>
        <w:gridCol w:w="256"/>
        <w:gridCol w:w="258"/>
        <w:gridCol w:w="109"/>
        <w:gridCol w:w="109"/>
        <w:gridCol w:w="109"/>
        <w:gridCol w:w="2657"/>
        <w:gridCol w:w="2636"/>
        <w:gridCol w:w="3779"/>
      </w:tblGrid>
      <w:tr>
        <w:trPr/>
        <w:tc>
          <w:tcPr>
            <w:tcW w:w="29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7" w:type="dxa"/>
            <w:tcBorders/>
            <w:shd w:fill="auto" w:val="clear"/>
            <w:vAlign w:val="center"/>
          </w:tcPr>
          <w:p>
            <w:pPr>
              <w:pStyle w:val="TableContents"/>
              <w:spacing w:before="0" w:after="283"/>
              <w:rPr>
                <w:sz w:val="4"/>
                <w:szCs w:val="4"/>
              </w:rPr>
            </w:pPr>
            <w:r>
              <w:rPr>
                <w:sz w:val="4"/>
                <w:szCs w:val="4"/>
              </w:rPr>
            </w:r>
          </w:p>
        </w:tc>
        <w:tc>
          <w:tcPr>
            <w:tcW w:w="2636"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wst-ex101033123.htm">
              <w:r>
                <w:rPr>
                  <w:rStyle w:val="InternetLink"/>
                </w:rPr>
                <w:t xml:space="preserve">Employment Agreement between Casella </w:t>
              </w:r>
            </w:hyperlink>
            <w:hyperlink w:anchor="cwst-ex101033123.htm">
              <w:r>
                <w:rPr>
                  <w:rStyle w:val="InternetLink"/>
                </w:rPr>
                <w:t>W</w:t>
              </w:r>
            </w:hyperlink>
            <w:hyperlink w:anchor="cwst-ex101033123.htm">
              <w:r>
                <w:rPr>
                  <w:rStyle w:val="InternetLink"/>
                </w:rPr>
                <w:t>aste Systems, Inc. and Paul J. Ligon, dated as of March 6, 2012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wst-ex311033123.htm">
              <w:r>
                <w:rPr>
                  <w:rStyle w:val="InternetLink"/>
                  <w:rFonts w:ascii="Times New Roman;sans-serif" w:hAnsi="Times New Roman;sans-serif"/>
                  <w:b w:val="false"/>
                  <w:color w:val="0000FF"/>
                  <w:sz w:val="20"/>
                  <w:u w:val="single"/>
                </w:rPr>
                <w:t>Certification of John W. Casella, Principal Executive Officer, pursuant to Section 302 of the Sarbanes – Oxley Act of 2002.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wst-ex312033123.htm">
              <w:r>
                <w:rPr>
                  <w:rStyle w:val="InternetLink"/>
                  <w:rFonts w:ascii="Times New Roman;sans-serif" w:hAnsi="Times New Roman;sans-serif"/>
                  <w:b w:val="false"/>
                  <w:color w:val="0000FF"/>
                  <w:sz w:val="20"/>
                  <w:u w:val="single"/>
                </w:rPr>
                <w:t>Certification of Edmond R. Coletta, Principal Financial Officer, pursuant to Section 302 of the Sarbanes – Oxley Act of 2002.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wst-ex3210331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 Oxley Act of 2002.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wst-ex3220331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 Oxley Act of 2002.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2" w:type="dxa"/>
            <w:gridSpan w:val="3"/>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Submitted Electronically Herewith. Attached as Exhibit 101 to this report are the following formatted in inline XBRL (Extensible Business Reporting Language): (i) Consolidated Balance Sheets as of March 31, 2023 and December 31, 2022, (ii) Consolidated Statements of Operations for the three months ended March 31, 2023 and 2022, (iii) Consolidated Statements of Comprehensive Income for the three months ended March 31, 2023 and 2022, (iv) Consolidated Statements of Stockholders’ Equity for the three months ended March 31, 2023 and 2022, (v) Consolidated Statements of Cash Flows for the three months ended March 31, 2023 and 2022, and (vi) Notes to Consolidated Financial Statements.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875" w:type="dxa"/>
        <w:jc w:val="left"/>
        <w:tblInd w:w="0" w:type="dxa"/>
        <w:tblCellMar>
          <w:top w:w="28" w:type="dxa"/>
          <w:left w:w="28" w:type="dxa"/>
          <w:bottom w:w="28" w:type="dxa"/>
          <w:right w:w="28" w:type="dxa"/>
        </w:tblCellMar>
      </w:tblPr>
      <w:tblGrid>
        <w:gridCol w:w="645"/>
        <w:gridCol w:w="568"/>
        <w:gridCol w:w="571"/>
        <w:gridCol w:w="1238"/>
        <w:gridCol w:w="1238"/>
        <w:gridCol w:w="1243"/>
        <w:gridCol w:w="109"/>
        <w:gridCol w:w="109"/>
        <w:gridCol w:w="154"/>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Casella Waste Systems,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Kevin Drohan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Drohan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Edmond R. Coletta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Edmond R. Coletta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jc w:val="center"/>
        <w:rPr/>
      </w:pPr>
      <w:bookmarkStart w:id="0" w:name="cwst-ex101033123.htm"/>
      <w:bookmarkStart w:id="1" w:name="kscwstex101033123"/>
      <w:bookmarkEnd w:id="0"/>
      <w:bookmarkEnd w:id="1"/>
      <w:r>
        <w:rPr/>
        <w:drawing>
          <wp:inline distT="0" distB="0" distL="0" distR="0">
            <wp:extent cx="10048875" cy="13001625"/>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4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John W. Casella, certify that: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Casella Waste Systems, Inc.;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95" w:type="dxa"/>
        <w:jc w:val="left"/>
        <w:tblInd w:w="0" w:type="dxa"/>
        <w:tblCellMar>
          <w:top w:w="28" w:type="dxa"/>
          <w:left w:w="28" w:type="dxa"/>
          <w:bottom w:w="28" w:type="dxa"/>
          <w:right w:w="28" w:type="dxa"/>
        </w:tblCellMar>
      </w:tblPr>
      <w:tblGrid>
        <w:gridCol w:w="645"/>
        <w:gridCol w:w="568"/>
        <w:gridCol w:w="571"/>
        <w:gridCol w:w="1078"/>
        <w:gridCol w:w="1078"/>
        <w:gridCol w:w="1083"/>
        <w:gridCol w:w="109"/>
        <w:gridCol w:w="109"/>
        <w:gridCol w:w="154"/>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W. Casella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Edmond R. Coletta, certify that: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Casella Waste Systems, Inc.;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65" w:type="dxa"/>
        <w:jc w:val="left"/>
        <w:tblInd w:w="0" w:type="dxa"/>
        <w:tblCellMar>
          <w:top w:w="28" w:type="dxa"/>
          <w:left w:w="28" w:type="dxa"/>
          <w:bottom w:w="28" w:type="dxa"/>
          <w:right w:w="28" w:type="dxa"/>
        </w:tblCellMar>
      </w:tblPr>
      <w:tblGrid>
        <w:gridCol w:w="645"/>
        <w:gridCol w:w="568"/>
        <w:gridCol w:w="571"/>
        <w:gridCol w:w="1068"/>
        <w:gridCol w:w="1068"/>
        <w:gridCol w:w="1073"/>
        <w:gridCol w:w="109"/>
        <w:gridCol w:w="109"/>
        <w:gridCol w:w="154"/>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Edmond R. Coletta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Edmond R. Coletta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Casella Waste Systems, Inc. for the period ended March 31, 2023 as filed with the Securities and Exchange Commission on the date hereof (“Report”), the undersigned, John W. Casella, Chairman and Chief Executive Officer, hereby certifies, pursuant to 18 U.S.C. Section 1350, that, to his knowledge: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our financial condition and results of operations.</w:t>
      </w:r>
    </w:p>
    <w:tbl>
      <w:tblPr>
        <w:tblW w:w="5365" w:type="dxa"/>
        <w:jc w:val="left"/>
        <w:tblInd w:w="0" w:type="dxa"/>
        <w:tblCellMar>
          <w:top w:w="28" w:type="dxa"/>
          <w:left w:w="28" w:type="dxa"/>
          <w:bottom w:w="28" w:type="dxa"/>
          <w:right w:w="28" w:type="dxa"/>
        </w:tblCellMar>
      </w:tblPr>
      <w:tblGrid>
        <w:gridCol w:w="645"/>
        <w:gridCol w:w="568"/>
        <w:gridCol w:w="571"/>
        <w:gridCol w:w="1068"/>
        <w:gridCol w:w="1068"/>
        <w:gridCol w:w="1073"/>
        <w:gridCol w:w="109"/>
        <w:gridCol w:w="109"/>
        <w:gridCol w:w="154"/>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John W. Casella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Casella Waste Systems, Inc. for the period ended March 31, 2023 as filed with the Securities and Exchange Commission on the date hereof (“Report”), the undersigned, Edmond R. Coletta, President and Chief Financial Officer, hereby certifies, pursuant to 18 U.S.C. Section 1350, that, to his knowledge: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our financial condition and results of operations.</w:t>
      </w:r>
    </w:p>
    <w:tbl>
      <w:tblPr>
        <w:tblW w:w="5260" w:type="dxa"/>
        <w:jc w:val="left"/>
        <w:tblInd w:w="0" w:type="dxa"/>
        <w:tblCellMar>
          <w:top w:w="28" w:type="dxa"/>
          <w:left w:w="28" w:type="dxa"/>
          <w:bottom w:w="28" w:type="dxa"/>
          <w:right w:w="28" w:type="dxa"/>
        </w:tblCellMar>
      </w:tblPr>
      <w:tblGrid>
        <w:gridCol w:w="645"/>
        <w:gridCol w:w="568"/>
        <w:gridCol w:w="571"/>
        <w:gridCol w:w="1033"/>
        <w:gridCol w:w="1033"/>
        <w:gridCol w:w="1038"/>
        <w:gridCol w:w="109"/>
        <w:gridCol w:w="109"/>
        <w:gridCol w:w="154"/>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Edmond R. Coletta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21698</Words>
  <CharactersWithSpaces>141096</CharactersWithSpaces>
  <Paragraphs>2497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cwst-ex101033123</dc:title>
</cp:coreProperties>
</file>