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483235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00" w:right="340" w:hanging="374"/>
        <w:spacing w:after="0" w:line="235"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00" w:right="320" w:hanging="374"/>
        <w:spacing w:after="0" w:line="23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0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47"/>
        </w:trPr>
        <w:tc>
          <w:tcPr>
            <w:tcW w:w="3180" w:type="dxa"/>
            <w:vAlign w:val="bottom"/>
          </w:tcPr>
          <w:p>
            <w:pPr>
              <w:jc w:val="center"/>
              <w:ind w:right="7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70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incorporation or organization)</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Identification No.)</w:t>
            </w:r>
          </w:p>
        </w:tc>
      </w:tr>
      <w:tr>
        <w:trPr>
          <w:trHeight w:val="342"/>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25 Greens Hill Lane,</w:t>
            </w:r>
          </w:p>
        </w:tc>
        <w:tc>
          <w:tcPr>
            <w:tcW w:w="1900" w:type="dxa"/>
            <w:vAlign w:val="bottom"/>
          </w:tcPr>
          <w:p>
            <w:pPr>
              <w:spacing w:after="0"/>
              <w:rPr>
                <w:sz w:val="24"/>
                <w:szCs w:val="24"/>
                <w:color w:val="auto"/>
              </w:rPr>
            </w:pP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Rutland, Vermont</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10"/>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78"/>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bl>
    <w:p>
      <w:pPr>
        <w:spacing w:after="0" w:line="178"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4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020" w:type="dxa"/>
            <w:vAlign w:val="bottom"/>
          </w:tcPr>
          <w:p>
            <w:pPr>
              <w:spacing w:after="0"/>
              <w:rPr>
                <w:sz w:val="20"/>
                <w:szCs w:val="20"/>
                <w:color w:val="auto"/>
              </w:rPr>
            </w:pPr>
            <w:r>
              <w:rPr>
                <w:rFonts w:ascii="Arial" w:cs="Arial" w:eastAsia="Arial" w:hAnsi="Arial"/>
                <w:sz w:val="16"/>
                <w:szCs w:val="16"/>
                <w:color w:val="auto"/>
                <w:w w:val="92"/>
              </w:rPr>
              <w:t>The number of shares outstanding of each of the registrant’s classes of common stock, as of July 15, 2021:</w:t>
            </w:r>
          </w:p>
        </w:tc>
        <w:tc>
          <w:tcPr>
            <w:tcW w:w="4220" w:type="dxa"/>
            <w:vAlign w:val="bottom"/>
          </w:tcPr>
          <w:p>
            <w:pPr>
              <w:spacing w:after="0"/>
              <w:rPr>
                <w:sz w:val="17"/>
                <w:szCs w:val="17"/>
                <w:color w:val="auto"/>
              </w:rPr>
            </w:pPr>
          </w:p>
        </w:tc>
      </w:tr>
      <w:tr>
        <w:trPr>
          <w:trHeight w:val="230"/>
        </w:trPr>
        <w:tc>
          <w:tcPr>
            <w:tcW w:w="7020" w:type="dxa"/>
            <w:vAlign w:val="bottom"/>
          </w:tcPr>
          <w:p>
            <w:pPr>
              <w:ind w:left="1580"/>
              <w:spacing w:after="0"/>
              <w:rPr>
                <w:sz w:val="20"/>
                <w:szCs w:val="20"/>
                <w:color w:val="auto"/>
              </w:rPr>
            </w:pPr>
            <w:r>
              <w:rPr>
                <w:rFonts w:ascii="Arial" w:cs="Arial" w:eastAsia="Arial" w:hAnsi="Arial"/>
                <w:sz w:val="16"/>
                <w:szCs w:val="16"/>
                <w:color w:val="auto"/>
              </w:rPr>
              <w:t>Class A common stock, $0.01 par value per share:</w:t>
            </w:r>
          </w:p>
        </w:tc>
        <w:tc>
          <w:tcPr>
            <w:tcW w:w="4220" w:type="dxa"/>
            <w:vAlign w:val="bottom"/>
          </w:tcPr>
          <w:p>
            <w:pPr>
              <w:jc w:val="right"/>
              <w:ind w:right="3279"/>
              <w:spacing w:after="0"/>
              <w:rPr>
                <w:sz w:val="20"/>
                <w:szCs w:val="20"/>
                <w:color w:val="auto"/>
              </w:rPr>
            </w:pPr>
            <w:r>
              <w:rPr>
                <w:rFonts w:ascii="Arial" w:cs="Arial" w:eastAsia="Arial" w:hAnsi="Arial"/>
                <w:sz w:val="16"/>
                <w:szCs w:val="16"/>
                <w:color w:val="auto"/>
              </w:rPr>
              <w:t>50,398,324</w:t>
            </w:r>
          </w:p>
        </w:tc>
      </w:tr>
      <w:tr>
        <w:trPr>
          <w:trHeight w:val="216"/>
        </w:trPr>
        <w:tc>
          <w:tcPr>
            <w:tcW w:w="702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422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128"/>
        </w:trPr>
        <w:tc>
          <w:tcPr>
            <w:tcW w:w="702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r>
      <w:tr>
        <w:trPr>
          <w:trHeight w:val="34"/>
        </w:trPr>
        <w:tc>
          <w:tcPr>
            <w:tcW w:w="70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675"/>
        </w:trPr>
        <w:tc>
          <w:tcPr>
            <w:tcW w:w="70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154,342</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$2,238 and $2,333,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and amortization of $936,029 and $900,882,</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532,824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510,512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196,686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194,901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49,198</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526,830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530,411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5"/>
              </w:rPr>
              <w:t>Class A common stock, 0.01 par value per share; 100,000,000 shares authorized; 50,398,000 and</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50,101,000 shares issued and outstanding, respectively</w:t>
            </w: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780"/>
              <w:spacing w:after="0" w:line="176" w:lineRule="exact"/>
              <w:rPr>
                <w:sz w:val="20"/>
                <w:szCs w:val="20"/>
                <w:color w:val="auto"/>
              </w:rPr>
            </w:pPr>
            <w:r>
              <w:rPr>
                <w:rFonts w:ascii="Arial" w:cs="Arial" w:eastAsia="Arial" w:hAnsi="Arial"/>
                <w:sz w:val="18"/>
                <w:szCs w:val="18"/>
                <w:color w:val="auto"/>
                <w:w w:val="91"/>
              </w:rPr>
              <w:t>Class B common stock, 0.01 par value per share; 1,000,000 shares authorized; 988,000 shares issued</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Pr>
          <w:p>
            <w:pPr>
              <w:ind w:left="78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639,247</w:t>
            </w:r>
          </w:p>
        </w:tc>
        <w:tc>
          <w:tcPr>
            <w:tcW w:w="0" w:type="dxa"/>
            <w:vAlign w:val="bottom"/>
          </w:tcPr>
          <w:p>
            <w:pPr>
              <w:spacing w:after="0"/>
              <w:rPr>
                <w:sz w:val="1"/>
                <w:szCs w:val="1"/>
                <w:color w:val="auto"/>
              </w:rPr>
            </w:pPr>
          </w:p>
        </w:tc>
      </w:tr>
      <w:tr>
        <w:trPr>
          <w:trHeight w:val="229"/>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(266,099)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251,980</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49,226</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43,482</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371,451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347,220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11,783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12,113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Pr>
          <w:p>
            <w:pPr>
              <w:ind w:left="360"/>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(1,186)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Interest rate swap amounts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175"/>
        </w:trPr>
        <w:tc>
          <w:tcPr>
            <w:tcW w:w="5200" w:type="dxa"/>
            <w:vAlign w:val="bottom"/>
          </w:tcPr>
          <w:p>
            <w:pPr>
              <w:ind w:left="560"/>
              <w:spacing w:after="0" w:line="176" w:lineRule="exact"/>
              <w:rPr>
                <w:sz w:val="20"/>
                <w:szCs w:val="20"/>
                <w:color w:val="auto"/>
              </w:rPr>
            </w:pPr>
            <w:r>
              <w:rPr>
                <w:rFonts w:ascii="Arial" w:cs="Arial" w:eastAsia="Arial" w:hAnsi="Arial"/>
                <w:sz w:val="18"/>
                <w:szCs w:val="18"/>
                <w:color w:val="auto"/>
                <w:w w:val="96"/>
              </w:rPr>
              <w:t>Unrealized (loss) gain resulting from changes in fair value of</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1"/>
              </w:rPr>
              <w:t>(1,619)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176"/>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rPr>
              <w:t>Income tax (benefit) provision related to items of other</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comprehensive (loss) income</w:t>
            </w:r>
          </w:p>
        </w:tc>
        <w:tc>
          <w:tcPr>
            <w:tcW w:w="8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11,548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0"/>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362,142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79"/>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373,336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642,297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(261,788)</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(7,687)</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3,116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11"/>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388,492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645,905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3"/>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122,753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(357,016)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Cumulative effect of new accounting principle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(7,189)</w:t>
            </w:r>
          </w:p>
        </w:tc>
        <w:tc>
          <w:tcPr>
            <w:tcW w:w="0" w:type="dxa"/>
            <w:vAlign w:val="bottom"/>
          </w:tcPr>
          <w:p>
            <w:pPr>
              <w:spacing w:after="0"/>
              <w:rPr>
                <w:sz w:val="1"/>
                <w:szCs w:val="1"/>
                <w:color w:val="auto"/>
              </w:rPr>
            </w:pPr>
          </w:p>
        </w:tc>
      </w:tr>
      <w:tr>
        <w:trPr>
          <w:trHeight w:val="18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117,996</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47,320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486,989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(356,246)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(13,230)</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 of Class A common stock - acquisition</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12,113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211"/>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130,745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489,193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(344,133)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16,094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13,072</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43,482</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Depletion of landfill operating lease obligations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3,542</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issuance costs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3,380</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(Gain) loss on sale of property and equipment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Southbridge Landfill non-cash closure charge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Non-cash expense from acquisition activities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6,448</w:t>
            </w: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(1,358)</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(6,967)</w:t>
            </w: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(2,309)</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(7,910)</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79,013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62,493</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(20,091)</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(56,069)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(51,570)</w:t>
            </w:r>
          </w:p>
        </w:tc>
      </w:tr>
      <w:tr>
        <w:trPr>
          <w:trHeight w:val="186"/>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(61,147)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(71,461)</w:t>
            </w:r>
          </w:p>
        </w:tc>
      </w:tr>
      <w:tr>
        <w:trPr>
          <w:trHeight w:val="166"/>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91,200</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(82,719)</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8,570</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154,342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167,177</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Supplemental Disclosure of Cash Flow Information:</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Cash interest payments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9,701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10,733</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income tax payments</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5,894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11,859</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Casella Waste Systems, Inc. (“Parent”), and its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or purchased from third-parties.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includes our larger-scale recycling and commodity brokerage operations along with our organics services and large scale commercial and industrial services. Legal, tax, information technology, human resources, certain finance and accounting and other administrative functions are included in our Corporate Entities segment.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2020 ("fiscal year 2020"), which was filed with the SEC on February 19, 2021.</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six months ended June 30, 2021 may not be indicative of the results for any other interim period or the entire fiscal year. The consolidated financial statements presented herein should be read in conjunction with our audited consolidated financial statements included in our Annual Report on Form 10-K for fiscal year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global outbreak of the novel coronavirus ("COVID-19") pandemic has caused economic disruption across our geographic footprint and has adversely affected our business. The COVID-19 pandemic negatively impacted our revenues starting at the end of the three months ended March 31, 2020, as many small business and construction collection customers required service level changes and volumes into our landfills declined due to lower economic activity. Demand for services has improved as local economies begin to reopen as allowed by State Governments and our collection and disposal volumes, as well as overall operations, have been less impacted by the effects of the COVID-19 pandemic in the three and six months ended June 30, 2021.</w:t>
      </w:r>
    </w:p>
    <w:p>
      <w:pPr>
        <w:spacing w:after="0" w:line="5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COVID-19 pandemic has negatively impacted and may continue to impact our business in other ways, as we have experienced increased costs as a result of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employee impacts from illness, supporting a remote administrative workforce, community response measures, the inability of customers to continue to pay for services, and temporary facility closures of our customers. As of the date of this filing, we are unable to determine or predict the full extent of any possible continuing impact that the COVID-19 pandemic will have on our business, results of operations, liquidity and capital resources. Future developments, such as the possibility of continuing spread of COVID-19 across our geographic footprint, the rate of vaccinations, the severity and containment of certain COVID-19 variants along with the pace and extent to which the States in which we operate continue to facilitate a return to normal economic and operation conditions are uncertain and cannot be predicted at this time.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June 30, 2021 through the date of filing of the consolidated financial statements with the SEC on this Quarterly Report on Form 10-Q. We have determined, except as disclosed, that there are no subsequent events that require disclosure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or a possible material impact in the future, based on current account balances and activity follows:</w:t>
      </w:r>
    </w:p>
    <w:tbl>
      <w:tblPr>
        <w:tblLayout w:type="fixed"/>
        <w:tblInd w:w="0" w:type="dxa"/>
        <w:tblCellMar>
          <w:top w:w="0" w:type="dxa"/>
          <w:left w:w="0" w:type="dxa"/>
          <w:bottom w:w="0" w:type="dxa"/>
          <w:right w:w="0" w:type="dxa"/>
        </w:tblCellMar>
      </w:tblPr>
      <w:tr>
        <w:trPr>
          <w:trHeight w:val="146"/>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7"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2021</w:t>
            </w:r>
          </w:p>
        </w:tc>
        <w:tc>
          <w:tcPr>
            <w:tcW w:w="26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240"/>
          </w:cols>
          <w:pgMar w:left="320" w:top="1107" w:right="339" w:bottom="1440" w:gutter="0" w:footer="0" w:header="0"/>
        </w:sectPr>
      </w:pPr>
    </w:p>
    <w:p>
      <w:pPr>
        <w:ind w:left="20"/>
        <w:spacing w:after="0" w:line="235" w:lineRule="auto"/>
        <w:rPr>
          <w:sz w:val="20"/>
          <w:szCs w:val="20"/>
          <w:color w:val="auto"/>
        </w:rPr>
      </w:pPr>
      <w:r>
        <w:rPr>
          <w:rFonts w:ascii="Arial" w:cs="Arial" w:eastAsia="Arial" w:hAnsi="Arial"/>
          <w:sz w:val="18"/>
          <w:szCs w:val="18"/>
          <w:color w:val="auto"/>
        </w:rPr>
        <w:t>ASU No. 2019-12: Income Taxes (Topic 740)</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Reduces the complexity over accounting for income taxes by removing certain exceptions and amending guidance to improve consistent application of accounting over income taxes.</w:t>
      </w:r>
    </w:p>
    <w:p>
      <w:pPr>
        <w:spacing w:after="0" w:line="20" w:lineRule="exact"/>
        <w:rPr>
          <w:sz w:val="20"/>
          <w:szCs w:val="20"/>
          <w:color w:val="auto"/>
        </w:rPr>
      </w:pPr>
      <w:r>
        <w:rPr>
          <w:sz w:val="20"/>
          <w:szCs w:val="20"/>
          <w:color w:val="auto"/>
        </w:rPr>
        <w:br w:type="column"/>
      </w:r>
    </w:p>
    <w:p>
      <w:pPr>
        <w:ind w:right="100"/>
        <w:spacing w:after="0" w:line="232" w:lineRule="auto"/>
        <w:rPr>
          <w:sz w:val="20"/>
          <w:szCs w:val="20"/>
          <w:color w:val="auto"/>
        </w:rPr>
      </w:pPr>
      <w:r>
        <w:rPr>
          <w:rFonts w:ascii="Arial" w:cs="Arial" w:eastAsia="Arial" w:hAnsi="Arial"/>
          <w:sz w:val="17"/>
          <w:szCs w:val="17"/>
          <w:color w:val="auto"/>
        </w:rPr>
        <w:t>This guidance did not have a material impact on our consolidated financial statements and related disclosures upon adoption, but may in the future. This guidance was effective January 1, 2021.</w:t>
      </w:r>
    </w:p>
    <w:p>
      <w:pPr>
        <w:spacing w:after="0" w:line="200" w:lineRule="exact"/>
        <w:rPr>
          <w:sz w:val="20"/>
          <w:szCs w:val="20"/>
          <w:color w:val="auto"/>
        </w:rPr>
      </w:pPr>
    </w:p>
    <w:p>
      <w:pPr>
        <w:sectPr>
          <w:pgSz w:w="11900" w:h="16838" w:orient="portrait"/>
          <w:cols w:equalWidth="0" w:num="3">
            <w:col w:w="2940" w:space="240"/>
            <w:col w:w="3760" w:space="320"/>
            <w:col w:w="3980"/>
          </w:cols>
          <w:pgMar w:left="320" w:top="1107" w:right="339" w:bottom="1440" w:gutter="0" w:footer="0" w:header="0"/>
          <w:type w:val="continuous"/>
        </w:sectPr>
      </w:pPr>
    </w:p>
    <w:p>
      <w:pPr>
        <w:spacing w:after="0" w:line="340"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4"/>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3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tc>
        <w:tc>
          <w:tcPr>
            <w:tcW w:w="2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40"/>
          </w:cols>
          <w:pgMar w:left="320" w:top="1107" w:right="339" w:bottom="1440" w:gutter="0" w:footer="0" w:header="0"/>
          <w:type w:val="continuous"/>
        </w:sectPr>
      </w:pPr>
    </w:p>
    <w:p>
      <w:pPr>
        <w:ind w:left="20"/>
        <w:spacing w:after="0" w:line="224" w:lineRule="auto"/>
        <w:rPr>
          <w:sz w:val="20"/>
          <w:szCs w:val="20"/>
          <w:color w:val="auto"/>
        </w:rPr>
      </w:pPr>
      <w:r>
        <w:rPr>
          <w:rFonts w:ascii="Arial" w:cs="Arial" w:eastAsia="Arial" w:hAnsi="Arial"/>
          <w:sz w:val="18"/>
          <w:szCs w:val="18"/>
          <w:color w:val="auto"/>
        </w:rPr>
        <w:t>ASU No. 2020-04: Reference Rate Reform (Topic 848), as amended through January 2021</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ind w:right="60"/>
        <w:spacing w:after="0" w:line="236" w:lineRule="auto"/>
        <w:rPr>
          <w:sz w:val="20"/>
          <w:szCs w:val="20"/>
          <w:color w:val="auto"/>
        </w:rPr>
      </w:pPr>
      <w:r>
        <w:rPr>
          <w:rFonts w:ascii="Arial" w:cs="Arial" w:eastAsia="Arial" w:hAnsi="Arial"/>
          <w:sz w:val="16"/>
          <w:szCs w:val="16"/>
          <w:color w:val="auto"/>
        </w:rPr>
        <w:t>We currently have interest rate derivative agreements with hedging relationships that reference LIBOR which extend past the fiscal year ended December 31, 2021. We are currently assessing the provisions of this guidance as LIBOR is still in place and do not expect that its adoption will have a material impact on our consolidated financial statements and related disclosures. This guidance will be in effect from March 12, 2020 through December 31, 2022.</w:t>
      </w:r>
    </w:p>
    <w:p>
      <w:pPr>
        <w:spacing w:after="0" w:line="200" w:lineRule="exact"/>
        <w:rPr>
          <w:sz w:val="20"/>
          <w:szCs w:val="20"/>
          <w:color w:val="auto"/>
        </w:rPr>
      </w:pPr>
    </w:p>
    <w:p>
      <w:pPr>
        <w:sectPr>
          <w:pgSz w:w="11900" w:h="16838" w:orient="portrait"/>
          <w:cols w:equalWidth="0" w:num="3">
            <w:col w:w="3000" w:space="180"/>
            <w:col w:w="3920" w:space="160"/>
            <w:col w:w="3980"/>
          </w:cols>
          <w:pgMar w:left="320" w:top="1107"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associated with our solid waste operations are derived mainly from solid waste collection and disposal, landfill, landfill gas-to-energy, processing, transfer and recycling services in the northeastern United States. Effective January 1, 2021, we reorganized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w:t>
      </w:r>
    </w:p>
    <w:p>
      <w:pPr>
        <w:spacing w:after="0" w:line="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municipalities and customers in the form of processing fees, tipping fees, commodity sales, and organic material sales.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Classification of revenues by service line reported in the three and six months ended June 30, 2020 has been reclassified to conform with the presentation for the three and six months ended June 30, 2021.</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table of revenues disaggregated by service line and timing of revenue recognition by operating segment for each of the three and six months ended June 30, 2021 and 2020 follows: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Three Months Ended June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23,341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215,875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14,944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200,406</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215,875</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19,786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18,155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87,286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188,767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180,100</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188,767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2021</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204,796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42,096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113,403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405,406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26,106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379,300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405,406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Six Months Ended June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188,568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39,640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6,224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33,110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103,479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172,491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371,676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13,419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358,257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172,491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371,676</w:t>
            </w:r>
          </w:p>
        </w:tc>
      </w:tr>
      <w:tr>
        <w:trPr>
          <w:trHeight w:val="21"/>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$2,532 and $4,100 in the three and six months ended June 30, 2021, respectively, and $1,546 and $2,537 in the three and six months ended June 30, 2020, respectively. Rebates are generally recorded as a reduction of revenues upon the sale of such materials, or upon receipt of the recycled materials at our facilities. We did not record any revenues in the three and six months ended June 30, 2021 or June 30, 2020 from performance obligations satisfied in previous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Contract receivables, which are included in Accounts receivable, net are recorded when billed or when related revenue is earned, if earlier, and represent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claims against third-parties that will be settled in cash. Accounts receivable, net includes gross receivables from contracts of $79,712 and $74,162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2021 and December 31, 2020, respectively. Certain customers are billed in advance and, accordingly, recognition of the related revenues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as a contract liability until the services are provided and control transferred to the customer. We recognized contract liabilities of $3,133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$2,685 as of June 30, 2021 and December 31, 2020, respectively. Due to the short term nature of advanced billings, substantially all of the deferred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as a contract liability as of December 31, 2020 and December 31, 2019 was recognized as revenue during the six months ended June 30,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June 30, 2020, respectively, when the services were performed.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July 26, 2021, we acquired Willimantic Waste Paper Co., Inc. ("Willimantic"), a residential, commercial and roll-off collection business in eastern Connecticut. Willimantic also operates a rail-served construction and demolition processing and waste transfer facility, a waste transfer station, a single stream recycling facility, and several other recycling operations.</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the six months ended June 30, 2021, we acquired two tuck-in solid waste collection businesses in our Western region, along with a septic and portable toilet business and a tuck-in solid waste collection business in our Eastern region. In the six months ended June 30, 2020, we acquired four businesses: three tuck-in solid waste collection businesses in our Western region and one recycling operation in our Resource Solutions operating segment. The operating results of the acquired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five-year to ten-year period from the date of acquisition. All amounts recorded to goodwill, except goodwill related to certain acquisitions, are expected to be deductible for tax purposes.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summary of the purchase price paid and the purchase price allocation for these acquisitions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4,378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19,212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Holdbacks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22,049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Allocated as follows: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Buildings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5,912</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net</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95" w:lineRule="auto"/>
        <w:rPr>
          <w:sz w:val="20"/>
          <w:szCs w:val="20"/>
          <w:color w:val="auto"/>
        </w:rPr>
      </w:pPr>
      <w:r>
        <w:rPr>
          <w:rFonts w:ascii="Arial" w:cs="Arial" w:eastAsia="Arial" w:hAnsi="Arial"/>
          <w:sz w:val="16"/>
          <w:szCs w:val="16"/>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2020 is as follows:</w:t>
      </w:r>
    </w:p>
    <w:tbl>
      <w:tblPr>
        <w:tblLayout w:type="fixed"/>
        <w:tblInd w:w="0" w:type="dxa"/>
        <w:tblCellMar>
          <w:top w:w="0" w:type="dxa"/>
          <w:left w:w="0" w:type="dxa"/>
          <w:bottom w:w="0" w:type="dxa"/>
          <w:right w:w="0" w:type="dxa"/>
        </w:tblCellMar>
      </w:tblPr>
      <w:tr>
        <w:trPr>
          <w:trHeight w:val="146"/>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6"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92"/>
              <w:spacing w:after="0" w:line="146"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380,791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21,955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17,629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24,880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48,176</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2020 or of the results of our future operations. Furthermore, the unaudited</w:t>
      </w:r>
    </w:p>
    <w:p>
      <w:pPr>
        <w:ind w:right="12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Acquisitions</w:t>
            </w:r>
          </w:p>
        </w:tc>
        <w:tc>
          <w:tcPr>
            <w:tcW w:w="340" w:type="dxa"/>
            <w:vAlign w:val="bottom"/>
          </w:tcPr>
          <w:p>
            <w:pPr>
              <w:spacing w:after="0"/>
              <w:rPr>
                <w:sz w:val="14"/>
                <w:szCs w:val="14"/>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30,919</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Western region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149,984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151,723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196,686</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Summaries of intangible assets by type follows:</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80" w:type="dxa"/>
            <w:vAlign w:val="bottom"/>
          </w:tcPr>
          <w:p>
            <w:pPr>
              <w:spacing w:after="0"/>
              <w:rPr>
                <w:sz w:val="14"/>
                <w:szCs w:val="1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340" w:type="dxa"/>
            <w:vAlign w:val="bottom"/>
          </w:tcPr>
          <w:p>
            <w:pPr>
              <w:spacing w:after="0"/>
              <w:rPr>
                <w:sz w:val="14"/>
                <w:szCs w:val="1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107,426</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(51,499)</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80" w:type="dxa"/>
            <w:vAlign w:val="bottom"/>
          </w:tcPr>
          <w:p>
            <w:pPr>
              <w:spacing w:after="0"/>
              <w:rPr>
                <w:sz w:val="24"/>
                <w:szCs w:val="2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340" w:type="dxa"/>
            <w:vAlign w:val="bottom"/>
          </w:tcPr>
          <w:p>
            <w:pPr>
              <w:spacing w:after="0"/>
              <w:rPr>
                <w:sz w:val="24"/>
                <w:szCs w:val="2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105,780</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(47,456)</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amortization expense was $2,015 and $4,043 during the three and six months ended June 30, 2021, respectively, and $2,222 and $4,316 during the three and six months ended June 30,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amortization expense estimated for the five fiscal years following fiscal year 2020 and thereafter follows: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Estimated Future Amortization Expense as of June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2021</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2022</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7,440</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8,098</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20,867</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85,559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75,397</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right="60" w:hanging="652"/>
        <w:spacing w:after="0" w:line="273"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Relates to changes in estimated costs and timing of final capping, closure and post-closure activities at the Town of Southbridge, Massachusetts landfill. See Note 8, </w:t>
      </w:r>
      <w:r>
        <w:rPr>
          <w:rFonts w:ascii="Arial" w:cs="Arial" w:eastAsia="Arial" w:hAnsi="Arial"/>
          <w:sz w:val="14"/>
          <w:szCs w:val="14"/>
          <w:i w:val="1"/>
          <w:iCs w:val="1"/>
          <w:color w:val="auto"/>
        </w:rPr>
        <w:t>Commitments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Contingencies </w:t>
      </w:r>
      <w:r>
        <w:rPr>
          <w:rFonts w:ascii="Arial" w:cs="Arial" w:eastAsia="Arial" w:hAnsi="Arial"/>
          <w:sz w:val="14"/>
          <w:szCs w:val="14"/>
          <w:color w:val="auto"/>
        </w:rPr>
        <w:t>and Note 11,</w:t>
      </w:r>
      <w:r>
        <w:rPr>
          <w:rFonts w:ascii="Arial" w:cs="Arial" w:eastAsia="Arial" w:hAnsi="Arial"/>
          <w:sz w:val="14"/>
          <w:szCs w:val="14"/>
          <w:i w:val="1"/>
          <w:iCs w:val="1"/>
          <w:color w:val="auto"/>
        </w:rPr>
        <w:t xml:space="preserve"> Other Items and Charges </w:t>
      </w:r>
      <w:r>
        <w:rPr>
          <w:rFonts w:ascii="Arial" w:cs="Arial" w:eastAsia="Arial" w:hAnsi="Arial"/>
          <w:sz w:val="14"/>
          <w:szCs w:val="14"/>
          <w:color w:val="auto"/>
        </w:rPr>
        <w:t>for further discussion.</w:t>
      </w:r>
    </w:p>
    <w:p>
      <w:pPr>
        <w:spacing w:after="0" w:line="119" w:lineRule="exact"/>
        <w:rPr>
          <w:rFonts w:ascii="Arial" w:cs="Arial" w:eastAsia="Arial" w:hAnsi="Arial"/>
          <w:sz w:val="14"/>
          <w:szCs w:val="14"/>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May include amounts that are being processed through accounts payable as a part of our disbursements cycle.</w:t>
      </w: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Credit Facility:</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1.50%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 facility ("Term Loan Facility") due May 2023; bearing interest at LIBOR plus 1.50%</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Tax-Exempt Bonds: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2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5"/>
              </w:rPr>
              <w:t>New York State Environmental Facilities Corporation Solid Waste Disposal Revenue Bonds Series 2014 ("New York Bonds 2014R-1") due</w:t>
            </w:r>
          </w:p>
        </w:tc>
        <w:tc>
          <w:tcPr>
            <w:tcW w:w="2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2044 - fixed rate interest period through 2029; bearing interest at 2.875%</w:t>
            </w:r>
          </w:p>
        </w:tc>
        <w:tc>
          <w:tcPr>
            <w:tcW w:w="2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6"/>
              </w:rPr>
              <w:t>New York State Environmental Facilities Corporation Solid Waste Disposal Revenue Bonds Series 2014R-2 ("New York Bonds 2014R-2")</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due December 2044 - fixed rate interest period through 2026; bearing interest at 3.125%</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New York State Environmental Facilities Corporation Solid Waste Disposal Revenue Bonds Series 2020 ("New York Bonds 2020") due</w:t>
            </w: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2050 - fixed rate interest period through 2025; bearing interest at 2.750%</w:t>
            </w:r>
          </w:p>
        </w:tc>
        <w:tc>
          <w:tcPr>
            <w:tcW w:w="2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5"/>
              </w:rPr>
              <w:t>Finance Authority of Maine Solid Waste Disposal Revenue Bonds Series 2005R-3 ("FAME Bonds 2005R-3") due January 2025 - fixed rate</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5.25%</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Finance Authority of Maine Solid Waste Disposal Revenue Bonds Series 2015R-1 ("FAME Bonds 2015R-1") due August 2035 - fixed rate</w:t>
            </w: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5.125%</w:t>
            </w:r>
          </w:p>
        </w:tc>
        <w:tc>
          <w:tcPr>
            <w:tcW w:w="2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6"/>
              </w:rPr>
              <w:t>Finance Authority of Maine Solid Waste Disposal Revenue Bonds Series 2015R-2 ("FAME Bonds 2015R-2") due August 2035 - fixed rate</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4.375%</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Vermont Economic Development Authority Solid Waste Disposal Long-Term Revenue Bonds Series 2013 ("Vermont Bonds") due April 2036</w:t>
            </w: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fixed rate interest period through 2028; bearing interest at 4.625%</w:t>
            </w:r>
          </w:p>
        </w:tc>
        <w:tc>
          <w:tcPr>
            <w:tcW w:w="2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3"/>
              </w:rPr>
              <w:t>Business Finance Authority of the State of New Hampshire Solid Waste Disposal Revenue Bonds Series 2013 ("New Hampshire Bonds") due</w:t>
            </w: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April 2029 - fixed rate interest period through 2029; bearing interest at 2.95%</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Finance leases maturing through December 2107; bearing interest at a weighted average of 4.0%</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34,467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31,486</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payable maturing through June 2027; bearing interest at a weighted average of 3.4%</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Principal amount of debt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549,171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548,419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Less—unamortized debt issuance costs (1)</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Debt less unamortized debt issuance costs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541,546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539,651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Less—current maturities of debt</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526,830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530,411</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summary of unamortized debt issuance costs by debt instrument follows: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4"/>
        </w:trPr>
        <w:tc>
          <w:tcPr>
            <w:tcW w:w="640" w:type="dxa"/>
            <w:vAlign w:val="bottom"/>
          </w:tcPr>
          <w:p>
            <w:pPr>
              <w:spacing w:after="0"/>
              <w:rPr>
                <w:sz w:val="20"/>
                <w:szCs w:val="20"/>
                <w:color w:val="auto"/>
              </w:rPr>
            </w:pPr>
            <w:r>
              <w:rPr>
                <w:rFonts w:ascii="Arial" w:cs="Arial" w:eastAsia="Arial" w:hAnsi="Arial"/>
                <w:sz w:val="14"/>
                <w:szCs w:val="14"/>
                <w:color w:val="auto"/>
              </w:rPr>
              <w:t>Revolving</w:t>
            </w: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Credit Facility and Term Loan Facility (collectively, the "Credit Facility")</w:t>
            </w:r>
          </w:p>
        </w:tc>
        <w:tc>
          <w:tcPr>
            <w:tcW w:w="2080" w:type="dxa"/>
            <w:vAlign w:val="bottom"/>
            <w:tcBorders>
              <w:top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3,019</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3,839</w:t>
            </w:r>
          </w:p>
        </w:tc>
      </w:t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New York</w:t>
            </w:r>
          </w:p>
        </w:tc>
        <w:tc>
          <w:tcPr>
            <w:tcW w:w="5700" w:type="dxa"/>
            <w:vAlign w:val="bottom"/>
          </w:tcPr>
          <w:p>
            <w:pPr>
              <w:spacing w:after="0"/>
              <w:rPr>
                <w:sz w:val="20"/>
                <w:szCs w:val="20"/>
                <w:color w:val="auto"/>
              </w:rPr>
            </w:pPr>
            <w:r>
              <w:rPr>
                <w:rFonts w:ascii="Arial" w:cs="Arial" w:eastAsia="Arial" w:hAnsi="Arial"/>
                <w:sz w:val="14"/>
                <w:szCs w:val="14"/>
                <w:color w:val="auto"/>
              </w:rPr>
              <w:t>Bonds 2014R-1</w:t>
            </w:r>
          </w:p>
        </w:tc>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640" w:type="dxa"/>
            <w:vAlign w:val="bottom"/>
          </w:tcPr>
          <w:p>
            <w:pPr>
              <w:spacing w:after="0"/>
              <w:rPr>
                <w:sz w:val="20"/>
                <w:szCs w:val="20"/>
                <w:color w:val="auto"/>
              </w:rPr>
            </w:pPr>
            <w:r>
              <w:rPr>
                <w:rFonts w:ascii="Arial" w:cs="Arial" w:eastAsia="Arial" w:hAnsi="Arial"/>
                <w:sz w:val="14"/>
                <w:szCs w:val="14"/>
                <w:color w:val="auto"/>
              </w:rPr>
              <w:t>New York</w:t>
            </w: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Bonds 2014R-2</w:t>
            </w:r>
          </w:p>
        </w:tc>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New York</w:t>
            </w:r>
          </w:p>
        </w:tc>
        <w:tc>
          <w:tcPr>
            <w:tcW w:w="5700" w:type="dxa"/>
            <w:vAlign w:val="bottom"/>
          </w:tcPr>
          <w:p>
            <w:pPr>
              <w:spacing w:after="0"/>
              <w:rPr>
                <w:sz w:val="20"/>
                <w:szCs w:val="20"/>
                <w:color w:val="auto"/>
              </w:rPr>
            </w:pPr>
            <w:r>
              <w:rPr>
                <w:rFonts w:ascii="Arial" w:cs="Arial" w:eastAsia="Arial" w:hAnsi="Arial"/>
                <w:sz w:val="14"/>
                <w:szCs w:val="14"/>
                <w:color w:val="auto"/>
              </w:rPr>
              <w:t>Bonds 2020</w:t>
            </w:r>
          </w:p>
        </w:tc>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1,372</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1,461</w:t>
            </w:r>
          </w:p>
        </w:tc>
      </w:tr>
      <w:tr>
        <w:trPr>
          <w:trHeight w:val="184"/>
        </w:trPr>
        <w:tc>
          <w:tcPr>
            <w:tcW w:w="6340" w:type="dxa"/>
            <w:vAlign w:val="bottom"/>
            <w:gridSpan w:val="2"/>
          </w:tcPr>
          <w:p>
            <w:pPr>
              <w:spacing w:after="0"/>
              <w:rPr>
                <w:sz w:val="20"/>
                <w:szCs w:val="20"/>
                <w:color w:val="auto"/>
              </w:rPr>
            </w:pPr>
            <w:r>
              <w:rPr>
                <w:rFonts w:ascii="Arial" w:cs="Arial" w:eastAsia="Arial" w:hAnsi="Arial"/>
                <w:sz w:val="14"/>
                <w:szCs w:val="14"/>
                <w:color w:val="auto"/>
              </w:rPr>
              <w:t>FAME Bonds 2005R-3</w:t>
            </w:r>
          </w:p>
        </w:tc>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305</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347</w:t>
            </w:r>
          </w:p>
        </w:tc>
      </w:tr>
      <w:tr>
        <w:trPr>
          <w:trHeight w:val="189"/>
        </w:trPr>
        <w:tc>
          <w:tcPr>
            <w:tcW w:w="6340" w:type="dxa"/>
            <w:vAlign w:val="bottom"/>
            <w:gridSpan w:val="2"/>
          </w:tcPr>
          <w:p>
            <w:pPr>
              <w:spacing w:after="0"/>
              <w:rPr>
                <w:sz w:val="20"/>
                <w:szCs w:val="20"/>
                <w:color w:val="auto"/>
              </w:rPr>
            </w:pPr>
            <w:r>
              <w:rPr>
                <w:rFonts w:ascii="Arial" w:cs="Arial" w:eastAsia="Arial" w:hAnsi="Arial"/>
                <w:sz w:val="14"/>
                <w:szCs w:val="14"/>
                <w:color w:val="auto"/>
              </w:rPr>
              <w:t>FAME Bonds 2015R-1</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452</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482</w:t>
            </w:r>
          </w:p>
        </w:tc>
      </w:tr>
      <w:tr>
        <w:trPr>
          <w:trHeight w:val="189"/>
        </w:trPr>
        <w:tc>
          <w:tcPr>
            <w:tcW w:w="6340" w:type="dxa"/>
            <w:vAlign w:val="bottom"/>
            <w:gridSpan w:val="2"/>
          </w:tcPr>
          <w:p>
            <w:pPr>
              <w:spacing w:after="0"/>
              <w:rPr>
                <w:sz w:val="20"/>
                <w:szCs w:val="20"/>
                <w:color w:val="auto"/>
              </w:rPr>
            </w:pPr>
            <w:r>
              <w:rPr>
                <w:rFonts w:ascii="Arial" w:cs="Arial" w:eastAsia="Arial" w:hAnsi="Arial"/>
                <w:sz w:val="14"/>
                <w:szCs w:val="14"/>
                <w:color w:val="auto"/>
              </w:rPr>
              <w:t>FAME Bonds 2015R-2</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343</w:t>
            </w:r>
          </w:p>
        </w:tc>
      </w:tr>
      <w:tr>
        <w:trPr>
          <w:trHeight w:val="189"/>
        </w:trPr>
        <w:tc>
          <w:tcPr>
            <w:tcW w:w="6340" w:type="dxa"/>
            <w:vAlign w:val="bottom"/>
            <w:gridSpan w:val="2"/>
          </w:tcPr>
          <w:p>
            <w:pPr>
              <w:spacing w:after="0"/>
              <w:rPr>
                <w:sz w:val="20"/>
                <w:szCs w:val="20"/>
                <w:color w:val="auto"/>
              </w:rPr>
            </w:pPr>
            <w:r>
              <w:rPr>
                <w:rFonts w:ascii="Arial" w:cs="Arial" w:eastAsia="Arial" w:hAnsi="Arial"/>
                <w:sz w:val="14"/>
                <w:szCs w:val="14"/>
                <w:color w:val="auto"/>
              </w:rPr>
              <w:t>Vermont Bonds</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460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487</w:t>
            </w:r>
          </w:p>
        </w:tc>
      </w:tr>
      <w:tr>
        <w:trPr>
          <w:trHeight w:val="194"/>
        </w:trPr>
        <w:tc>
          <w:tcPr>
            <w:tcW w:w="6340" w:type="dxa"/>
            <w:vAlign w:val="bottom"/>
            <w:gridSpan w:val="2"/>
          </w:tcPr>
          <w:p>
            <w:pPr>
              <w:spacing w:after="0"/>
              <w:rPr>
                <w:sz w:val="20"/>
                <w:szCs w:val="20"/>
                <w:color w:val="auto"/>
              </w:rPr>
            </w:pPr>
            <w:r>
              <w:rPr>
                <w:rFonts w:ascii="Arial" w:cs="Arial" w:eastAsia="Arial" w:hAnsi="Arial"/>
                <w:sz w:val="14"/>
                <w:szCs w:val="14"/>
                <w:color w:val="auto"/>
              </w:rPr>
              <w:t>New Hampshire Bonds</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480</w:t>
            </w:r>
          </w:p>
        </w:tc>
      </w:tr>
      <w:tr>
        <w:trPr>
          <w:trHeight w:val="186"/>
        </w:trPr>
        <w:tc>
          <w:tcPr>
            <w:tcW w:w="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0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7,625</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8,768</w:t>
            </w:r>
          </w:p>
        </w:tc>
      </w:tr>
      <w:tr>
        <w:trPr>
          <w:trHeight w:val="24"/>
        </w:trPr>
        <w:tc>
          <w:tcPr>
            <w:tcW w:w="6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-762635</wp:posOffset>
            </wp:positionV>
            <wp:extent cx="672084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0840" cy="1200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-521970</wp:posOffset>
            </wp:positionV>
            <wp:extent cx="672084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840" cy="1200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672084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20840" cy="1200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June 30, 2021, we are party to a credit agreement ("Credit Agreement"), which provides for a $350,000 aggregate principal amount Term Loan Facility and a $200,000 Revolving Credit Facility. We have the right to request, at our discretion, an increase in the amount of loans under the Credit Facility by an aggregate amount of $125,000, subject to the terms and conditions set forth in the Credit Agreement. The Credit Facility has a 5-year term that matures in May 2023 and bears interest at a rate of LIBOR plus 1.50%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June 30, 2021, further advances were available under the Credit Facility in the amount of $173,575. The available amount is net of outstanding irrevocable letters of credit totaling $26,425, at which date no amount had been drawn.</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Credit Agreement requires us to maintain a minimum interest coverage ratio and a maximum consolidated net leverage ratio, to be measured at the end of each fiscal quarter. As of June 30, 2021,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June 30, 2021 and December 31, 2020, our active interest rate derivative agreements had total notional amounts of $195,000 and $190,000, respectively. According to the terms of the agreements, we receive interest based on the 1-month LIBOR index and pay interest at a weighted average rate of approximately 2.51% as of June 30, 2021. The agreements mature between February 2022 and December 2026. As of June 30, 2021 and December 31, 2020, we had forward starting interest rate derivative agreements with total notional amounts of $85,000 and $125,000, respectively. According to the terms of the agreements, we receive interest based on the 1-month LIBOR index, restricted by a 0.0% floor, and will pay interest at a weighted average rate of approximately 1.55%. The agreements mature between February 2027 and May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468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1"/>
                <w:szCs w:val="11"/>
                <w:color w:val="auto"/>
              </w:rPr>
            </w:pPr>
          </w:p>
        </w:tc>
        <w:tc>
          <w:tcPr>
            <w:tcW w:w="12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1"/>
                <w:szCs w:val="11"/>
                <w:color w:val="auto"/>
              </w:rPr>
            </w:pPr>
          </w:p>
        </w:tc>
        <w:tc>
          <w:tcPr>
            <w:tcW w:w="114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3580" w:type="dxa"/>
            <w:vAlign w:val="bottom"/>
            <w:tcBorders>
              <w:top w:val="single" w:sz="8" w:color="CCEEFF"/>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Interest rate swaps</w:t>
            </w:r>
          </w:p>
        </w:tc>
        <w:tc>
          <w:tcPr>
            <w:tcW w:w="4580" w:type="dxa"/>
            <w:vAlign w:val="bottom"/>
            <w:tcBorders>
              <w:top w:val="single" w:sz="8" w:color="auto"/>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Other non-current assets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0"/>
              <w:spacing w:after="0" w:line="197"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0"/>
              <w:spacing w:after="0" w:line="197"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effect</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loss into earnings follows:</w:t>
      </w:r>
    </w:p>
    <w:tbl>
      <w:tblPr>
        <w:tblLayout w:type="fixed"/>
        <w:tblInd w:w="0" w:type="dxa"/>
        <w:tblCellMar>
          <w:top w:w="0" w:type="dxa"/>
          <w:left w:w="0" w:type="dxa"/>
          <w:bottom w:w="0" w:type="dxa"/>
          <w:right w:w="0" w:type="dxa"/>
        </w:tblCellMar>
      </w:tblP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4"/>
          </w:tcPr>
          <w:p>
            <w:pPr>
              <w:jc w:val="center"/>
              <w:ind w:left="362"/>
              <w:spacing w:after="0" w:line="145" w:lineRule="exact"/>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2"/>
                <w:szCs w:val="12"/>
                <w:color w:val="auto"/>
              </w:rPr>
            </w:pPr>
          </w:p>
        </w:tc>
      </w:t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4"/>
        </w:trPr>
        <w:tc>
          <w:tcPr>
            <w:tcW w:w="5240" w:type="dxa"/>
            <w:vAlign w:val="bottom"/>
            <w:gridSpan w:val="2"/>
          </w:tcPr>
          <w:p>
            <w:pPr>
              <w:ind w:left="1520"/>
              <w:spacing w:after="0"/>
              <w:rPr>
                <w:sz w:val="20"/>
                <w:szCs w:val="20"/>
                <w:color w:val="auto"/>
              </w:rPr>
            </w:pPr>
            <w:r>
              <w:rPr>
                <w:rFonts w:ascii="Arial" w:cs="Arial" w:eastAsia="Arial" w:hAnsi="Arial"/>
                <w:sz w:val="14"/>
                <w:szCs w:val="14"/>
                <w:b w:val="1"/>
                <w:bCs w:val="1"/>
                <w:color w:val="auto"/>
              </w:rPr>
              <w:t>Statement of Operations Location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7"/>
              </w:rPr>
              <w:t>2,347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w:t>
      </w:r>
    </w:p>
    <w:p>
      <w:pPr>
        <w:spacing w:after="0" w:line="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$4,089. We have agreed to reimburse the Town for periodic payments under such bond. Construction of the Waterline is complete and homeowners are relying on municipal water supply. Bond reimbursement to the Town commenced in the quarter ended June 30, 2020.</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recorded an environmental remediation liability related to our obligation associated with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incurred</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100" w:hanging="652"/>
        <w:spacing w:after="0" w:line="277"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revision in estimates is associated with the completion of the environmental remediation at the site. See Note 11,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to our consolidated financial statements for further discussion.</w:t>
      </w:r>
    </w:p>
    <w:p>
      <w:pPr>
        <w:spacing w:after="0" w:line="8"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June 30, 2021. WSI is jointly and severally liable with NiMo, Alcoa and Reynolds for the total cost to remediate.</w:t>
      </w:r>
    </w:p>
    <w:p>
      <w:pPr>
        <w:spacing w:after="0" w:line="6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1.9%. The environmental remediation liability associated with the Potsdam site was $939 as of both June 30, 2021 and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or about March 8, 2018, NELC and the Conservation Law Foundation ("CLF") (the "NH Citizen Groups") delivered correspondence to our subsidiary, North Country Environmental Services, Inc. ("NCES"), and us, providing notice of the NH Citizen Groups' intent to sue NCES and us for violations of the CWA in conjunction with NCES's operation of its landfill in Bethlehem, New Hampshire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National Pollutant Discharge Elimination System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to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NH Citizens Groups filed a motion with the New Hampshire Court on July 15, 2020 to amend their complaint based on MAUI. The New Hampshire Court granted the NH Citizen Groups' motion on September 2, 2020 and encouraged the parties to file motions for summary judgment. We filed our Motion for Summary Judgment on November 20, 2020 and the NH Citizens Groups filed a Motion for Summary Judgment on February 19, 2021. A hearing on motions for summary judgment was held on May 14, 2021. On May 24, 2021 the NH Citizens Group submitted a post-hearing filing requesting that the Court consider purported supplemental material facts discovered after the hearing, and to provide a response to questions posed by the Court at the hearing, in response to which we filed a Motion to Strike on June 2, 2021. The NH Citizens Group filed an Objection to the Motion to Strike on June 8, 2021. We filed a response on June 25, 2021.</w:t>
      </w:r>
    </w:p>
    <w:p>
      <w:pPr>
        <w:spacing w:after="0" w:line="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October 9, 2020, NCES received a Type I-A Permit Modification for Expansion in the Stage VI area of the NCES Landfill (the “Permit”). On November 9, 2020, CLF filed an appeal of the Permit to the New Hampshire Waste Management Council (the “Council”)on the grounds it failed to meet the public benefit criteria. On January 19, 2021, CLF filed a Complaint for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 w:name="page19"/>
    <w:bookmarkEnd w:id="18"/>
    <w:p>
      <w:pPr>
        <w:ind w:right="60"/>
        <w:spacing w:after="0" w:line="273" w:lineRule="auto"/>
        <w:rPr>
          <w:sz w:val="20"/>
          <w:szCs w:val="20"/>
          <w:color w:val="auto"/>
        </w:rPr>
      </w:pPr>
      <w:r>
        <w:rPr>
          <w:rFonts w:ascii="Arial" w:cs="Arial" w:eastAsia="Arial" w:hAnsi="Arial"/>
          <w:sz w:val="17"/>
          <w:szCs w:val="17"/>
          <w:color w:val="auto"/>
        </w:rPr>
        <w:t>Injunctive Relief with the Grafton Superior Court to enjoin NCES from accepting waste pursuant to the new Permit until such a time as CLF has exhausted its appeal rights. A hearing on the Complaint for Injunctive Relief was held on March 10, 2021; the Grafton Superior Court denied the motion on May 14, 2021. CLF did not appeal this decision. The Council denied NCES’s Motion to Dismiss CLF’s appeal for lack of standing by Order dated March 17, 2021. NCES filed a Motion to Reconsider on March 26, 2021, which was denied by the Council on May 11, 2021. A prehearing conference was held and a schedule for the case was established on June 8, 2021. NCES filed a Motion to Dismiss on the merits of the appeal on June 30, 2021, and will continue to vigorously defend against this litigation pending the Council’s ruling.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drilling wastes authorized for disposal at the Hakes Landfill. The Department opposed the Hakes Litigation on procedural grounds. We and the Town of Campbell opposed the Hakes Litigation on the merits, and on July 31, 2020, the Court dismissed the Hakes Litigation on the merits. The Petitioners filed a notice of appeal. The time to appeal expired on February 10, 2021, and the attorney for the Petitioners confirmed that they are not pursuing the appeal. Accordingly, all approvals issued for the expansion project are now final and binding.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or about September 17, 2019, Richard Vandemortel and Deb Vandemortel ("Named Plaintiffs") filed a class action complaint against us in Ontario County Supreme Court (the "New York Court") on behalf of similarly situated citizens ("Class Members") in Ontario County, New York (the "New York Litigation"). The New York Litigation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 which is operated by us pursuant to a long-term Operation, Maintenance and Lease Agreement with Ontario County. The New York Litigation was served on us on October 14, 2019, and the parties commenced settlement negotiations in early 2020. On December 1, 2020, the parties entered into a settlement agreement (the "Settlement Agreement") and thereafter the Named Plaintiffs and Class Members' counsel ("Counsel") moved the New York Court for entry of the Order on Notice/Preliminary Approvals. A settlement fairness hearing was held on July 7, 2021, and the judge issued an Order and Final Judgment that was filed on July 8, 2021. The settlement includes a $750 payment to a Qualified Settlement Fund for the benefit of Counsel and one-time lump sum payments to the Named Plaintiffs and Class Members who opt into the Settlement Agreement. We also committed $900 in expenses and capital improvements for remediation measures to be completed by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Conservation Law Foundation, Inc. v Robert R. Scott, Commissioner, New Hampshire Department of Environmental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or about February 11, 2021, the CLF filed a complaint against Robert R. Scott, Commissioner of the New Hampshire Department of Environmental Services (“DES”), in the Merrimac County Superior Court. The complaint alleges that DES has failed to comply with the duty to establish and update a solid waste plan for the State of New Hampshire, and the duty to rely on that solid waste plan in determining whether to grant permits for proposed waste disposal facilities, and seeks a declaratory judgment that DES is violating statutory solid waste planning and regulatory requirements; a writ of mandamus ordering DES to achieve compliance with the statutory solid waste plan requirement; and an order enjoining DES from reviewing, and issuing decisions on, permit applications for new or expanded waste facilities, including a landfill under development by us in Dalton, New Hampshire ("Granite State Landfill"), as well as any further review and decision-making required for permits it has already granted, including our NCES Landfill, until it has a legally valid state solid waste plan. On or about February 16, 2021, our subsidiary, Granite State Landfill, LLC ("GSL"), filed a Motion to Intervene in the action, which was granted by the Merrimac County Superior Court on February 17, 2021. A hearing on CLF's request for preliminary injunctive relief and the parties' motions to dismiss was held April 9, 2021. The Court issued a decision on May 14, 2021 granting the defendants’ Motions to Dismiss. CLF filed a Motion for Reconsideration which was denied by the Court on July 13, 2021.</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8600" w:firstLine="8"/>
        <w:spacing w:after="0" w:line="378" w:lineRule="auto"/>
        <w:tabs>
          <w:tab w:leader="none" w:pos="31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2021, there were 947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four-year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2021</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June 30, 2021</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81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record any stock-based compensation expense for stock options during each of the three and six months ended June 30, 2021 and June 30, 2020.</w:t>
      </w:r>
    </w:p>
    <w:p>
      <w:pPr>
        <w:spacing w:after="0" w:line="46" w:lineRule="exact"/>
        <w:rPr>
          <w:sz w:val="20"/>
          <w:szCs w:val="20"/>
          <w:color w:val="auto"/>
        </w:rPr>
      </w:pPr>
    </w:p>
    <w:p>
      <w:pPr>
        <w:ind w:right="2220"/>
        <w:spacing w:after="0" w:line="370" w:lineRule="auto"/>
        <w:rPr>
          <w:sz w:val="20"/>
          <w:szCs w:val="20"/>
          <w:color w:val="auto"/>
        </w:rPr>
      </w:pPr>
      <w:r>
        <w:rPr>
          <w:rFonts w:ascii="Arial" w:cs="Arial" w:eastAsia="Arial" w:hAnsi="Arial"/>
          <w:sz w:val="18"/>
          <w:szCs w:val="18"/>
          <w:color w:val="auto"/>
        </w:rPr>
        <w:t xml:space="preserve">As of June 30, 2021, we had no unrecognized stock-based compensation expense related to outstanding stock options. During both the three and six months ended June 30, 2021, the aggregate intrinsic value of stock options exercised was $448. </w:t>
      </w:r>
      <w:r>
        <w:rPr>
          <w:rFonts w:ascii="Arial" w:cs="Arial" w:eastAsia="Arial" w:hAnsi="Arial"/>
          <w:sz w:val="18"/>
          <w:szCs w:val="18"/>
          <w:b w:val="1"/>
          <w:bCs w:val="1"/>
          <w:i w:val="1"/>
          <w:iCs w:val="1"/>
          <w:color w:val="auto"/>
        </w:rPr>
        <w:t>Other Stock Awards</w:t>
      </w:r>
    </w:p>
    <w:p>
      <w:pPr>
        <w:ind w:right="260"/>
        <w:spacing w:after="0" w:line="301"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Restricted Stock Units,</w:t>
            </w:r>
          </w:p>
        </w:tc>
        <w:tc>
          <w:tcPr>
            <w:tcW w:w="15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Average Grant Date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Performance Stock Units</w:t>
            </w:r>
          </w:p>
        </w:tc>
        <w:tc>
          <w:tcPr>
            <w:tcW w:w="920" w:type="dxa"/>
            <w:vAlign w:val="bottom"/>
          </w:tcPr>
          <w:p>
            <w:pPr>
              <w:jc w:val="center"/>
              <w:ind w:left="377"/>
              <w:spacing w:after="0" w:line="135"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920" w:type="dxa"/>
            <w:vAlign w:val="bottom"/>
          </w:tcPr>
          <w:p>
            <w:pPr>
              <w:jc w:val="center"/>
              <w:ind w:left="417"/>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41.55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67.36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51.31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June 30, 2021</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584</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51.01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37,062</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460" w:hanging="652"/>
        <w:spacing w:after="0" w:line="342"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Market-based performance stock unit grants are included at the 100% attainment level. Attainment of the maximum performance targets and market achievements would result in the issuance of an additional 265 shares of Class A common stock currently included in unvested.</w:t>
      </w:r>
    </w:p>
    <w:p>
      <w:pPr>
        <w:spacing w:after="0" w:line="16"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Stock-based compensation expense related to restricted stock, restricted stock units and performance stock units was $3,044 and $5,928 during the three and six months ended June 30, 2021, respectively, as compared to $1,763 and $3,277 during the three and six months ended June 30, 2020,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the total fair value of other stock awards vested was $887 and $5,292, respectively.</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June 30, 2021, total unrecognized stock-based compensation expense related to outstanding restricted stock was $108, which will be recognized over a weighted average period of 2.3 years. As of June 30, 2021, total unrecognized stock-based compensation expense related to outstanding restricted stock units was $5,315, which will be recognized over a weighted average period of 1.9 years. As of June 30, 2021, total expected unrecognized stock-based compensation expense related to outstanding performance stock units was $9,006 to be recognized over a weighted average period of 1.9 years.</w:t>
      </w:r>
    </w:p>
    <w:p>
      <w:pPr>
        <w:spacing w:after="0" w:line="4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also recorded $72 and $128 of stock-based compensation expense related to our Amended and Restated 1997 Employee Stock Purchase Plan during the three and six months ended June 30, 2021, respectively, as compared to $56 and $103 during the three and six months ended June 30, 2020,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Accumulated Other Comprehensive Loss,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Interest Rate Swaps</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r>
      <w:tr>
        <w:trPr>
          <w:trHeight w:val="230"/>
        </w:trPr>
        <w:tc>
          <w:tcPr>
            <w:tcW w:w="980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provision related to items of other comprehensive income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23"/>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w:t>
            </w:r>
          </w:p>
        </w:tc>
      </w:tr>
      <w:tr>
        <w:trPr>
          <w:trHeight w:val="21"/>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20" w:type="dxa"/>
            <w:vAlign w:val="bottom"/>
          </w:tcPr>
          <w:p>
            <w:pPr>
              <w:jc w:val="center"/>
              <w:ind w:right="24"/>
              <w:spacing w:after="0" w:line="118" w:lineRule="exact"/>
              <w:rPr>
                <w:sz w:val="20"/>
                <w:szCs w:val="20"/>
                <w:color w:val="auto"/>
              </w:rPr>
            </w:pPr>
            <w:r>
              <w:rPr>
                <w:rFonts w:ascii="Arial" w:cs="Arial" w:eastAsia="Arial" w:hAnsi="Arial"/>
                <w:sz w:val="13"/>
                <w:szCs w:val="13"/>
                <w:b w:val="1"/>
                <w:bCs w:val="1"/>
                <w:color w:val="auto"/>
                <w:w w:val="99"/>
              </w:rPr>
              <w:t>Details About Accumulated Other Comprehensive Loss</w:t>
            </w:r>
          </w:p>
        </w:tc>
        <w:tc>
          <w:tcPr>
            <w:tcW w:w="4420" w:type="dxa"/>
            <w:vAlign w:val="bottom"/>
            <w:gridSpan w:val="11"/>
            <w:vMerge w:val="restart"/>
          </w:tcPr>
          <w:p>
            <w:pPr>
              <w:jc w:val="right"/>
              <w:spacing w:after="0"/>
              <w:rPr>
                <w:sz w:val="20"/>
                <w:szCs w:val="20"/>
                <w:color w:val="auto"/>
              </w:rPr>
            </w:pPr>
            <w:r>
              <w:rPr>
                <w:rFonts w:ascii="Arial" w:cs="Arial" w:eastAsia="Arial" w:hAnsi="Arial"/>
                <w:sz w:val="14"/>
                <w:szCs w:val="14"/>
                <w:b w:val="1"/>
                <w:bCs w:val="1"/>
                <w:color w:val="auto"/>
                <w:w w:val="92"/>
              </w:rPr>
              <w:t>Amounts Reclassified Out of Accumulated Other Comprehensive Loss</w:t>
            </w:r>
          </w:p>
        </w:tc>
        <w:tc>
          <w:tcPr>
            <w:tcW w:w="3200" w:type="dxa"/>
            <w:vAlign w:val="bottom"/>
          </w:tcPr>
          <w:p>
            <w:pPr>
              <w:ind w:left="460"/>
              <w:spacing w:after="0" w:line="118" w:lineRule="exact"/>
              <w:rPr>
                <w:sz w:val="20"/>
                <w:szCs w:val="20"/>
                <w:color w:val="auto"/>
              </w:rPr>
            </w:pPr>
            <w:r>
              <w:rPr>
                <w:rFonts w:ascii="Arial" w:cs="Arial" w:eastAsia="Arial" w:hAnsi="Arial"/>
                <w:sz w:val="13"/>
                <w:szCs w:val="13"/>
                <w:b w:val="1"/>
                <w:bCs w:val="1"/>
                <w:color w:val="auto"/>
              </w:rPr>
              <w:t>Affected Line Item in the Consolidated</w:t>
            </w:r>
          </w:p>
        </w:tc>
        <w:tc>
          <w:tcPr>
            <w:tcW w:w="0" w:type="dxa"/>
            <w:vAlign w:val="bottom"/>
          </w:tcPr>
          <w:p>
            <w:pPr>
              <w:spacing w:after="0"/>
              <w:rPr>
                <w:sz w:val="1"/>
                <w:szCs w:val="1"/>
                <w:color w:val="auto"/>
              </w:rPr>
            </w:pPr>
          </w:p>
        </w:tc>
      </w:tr>
      <w:tr>
        <w:trPr>
          <w:trHeight w:val="188"/>
        </w:trPr>
        <w:tc>
          <w:tcPr>
            <w:tcW w:w="3620" w:type="dxa"/>
            <w:vAlign w:val="bottom"/>
          </w:tcPr>
          <w:p>
            <w:pPr>
              <w:jc w:val="center"/>
              <w:ind w:right="4"/>
              <w:spacing w:after="0"/>
              <w:rPr>
                <w:sz w:val="20"/>
                <w:szCs w:val="20"/>
                <w:color w:val="auto"/>
              </w:rPr>
            </w:pPr>
            <w:r>
              <w:rPr>
                <w:rFonts w:ascii="Arial" w:cs="Arial" w:eastAsia="Arial" w:hAnsi="Arial"/>
                <w:sz w:val="14"/>
                <w:szCs w:val="14"/>
                <w:b w:val="1"/>
                <w:bCs w:val="1"/>
                <w:color w:val="auto"/>
                <w:w w:val="91"/>
              </w:rPr>
              <w:t>Components</w:t>
            </w:r>
          </w:p>
        </w:tc>
        <w:tc>
          <w:tcPr>
            <w:tcW w:w="4420" w:type="dxa"/>
            <w:vAlign w:val="bottom"/>
            <w:gridSpan w:val="11"/>
            <w:vMerge w:val="continue"/>
          </w:tcPr>
          <w:p>
            <w:pPr>
              <w:spacing w:after="0"/>
              <w:rPr>
                <w:sz w:val="16"/>
                <w:szCs w:val="16"/>
                <w:color w:val="auto"/>
              </w:rPr>
            </w:pPr>
          </w:p>
        </w:tc>
        <w:tc>
          <w:tcPr>
            <w:tcW w:w="3200" w:type="dxa"/>
            <w:vAlign w:val="bottom"/>
          </w:tcPr>
          <w:p>
            <w:pPr>
              <w:ind w:left="88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31"/>
        </w:trPr>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(1,357)</w:t>
            </w:r>
          </w:p>
        </w:tc>
        <w:tc>
          <w:tcPr>
            <w:tcW w:w="320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32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11,783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50,398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47,382</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Unvested restricted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51,366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51,546</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48,563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51,466</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200" w:firstLine="8"/>
        <w:spacing w:after="0" w:line="400" w:lineRule="auto"/>
        <w:tabs>
          <w:tab w:leader="none" w:pos="39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60"/>
        <w:spacing w:after="0" w:line="263" w:lineRule="auto"/>
        <w:rPr>
          <w:sz w:val="20"/>
          <w:szCs w:val="20"/>
          <w:color w:val="auto"/>
        </w:rPr>
      </w:pPr>
      <w:r>
        <w:rPr>
          <w:rFonts w:ascii="Arial" w:cs="Arial" w:eastAsia="Arial" w:hAnsi="Arial"/>
          <w:sz w:val="18"/>
          <w:szCs w:val="18"/>
          <w:color w:val="auto"/>
        </w:rPr>
        <w:t>In the three and six months ended June 30, 2021, we recorded charges of $1,632 and $2,046, respectively, and in the three and six months ended June 30, 2020 we recorded charges of $352 and $1,360, respectively, comprised primarily of legal, consulting and other similar costs associated with the acquisition and integration of acquired businesses or select development projects.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2017, we initiated the plan to cease operations of the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six months ended June 30, 2021, we recorded charges of $195 and $352, respectively, associated with legal and other costs pertaining to various matters as part of the unplanned early closure of the Southbridge Landfill through completion of the closure process. In the three and six months ended June 30, 2020, we recorded charges of $559 and $1,172, respectively, comprised of $595 and $1,208, respectively, of legal and other costs pertaining to various matters as part of the unplanned early closure of the Southbridge Landfill through completion of the closure process, a charge of $152 in both the three and six months ended June 30, 2020 due to changes in estimated costs and timing of final capping, closure and post-closure activities at the Southbridge Landfill, and a recovery of $(188) in both the three and six months ended June 30, 2020 associated with the completion of the environmental remediation at the site.</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one-month LIBOR yield curves that are observable at commonly quoted intervals for the full term of the swaps.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 at June 30, 2021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 at December 31, 2020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1,848</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2021, the fair value of our fixed rate debt, including our FAME Bonds 2005R-3, FAME Bonds 2015R-1, FAME Bonds 2015R-2, Vermont Bonds, New York Bonds 2014R-1, New York Bonds 2014R-2, New York Bonds 2020 and New Hampshire Bonds was approximately $179,187 and the carrying value was $162,000. The fair value of the FAME Bonds 2005R-3, the FAME Bonds 2015R-1, the FAME Bonds 2015R-2, the Vermont Bonds, the New York Bonds 2014R-1, the New York Bonds 2014R-2, New York Bonds 2020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June 30, 2021, the carrying value of our Term Loan Facility was $348,250 and the carrying value of our Revolving Credit Facility was $0. Their fair values are based on current borrowing rates for similar types of borrowing arrangements, or Level 2 inputs, and approximate their carrying values.</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2014R-1, New York Bonds 2014R-2, New York Bonds 2020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processing, transfer and recycling services in the northeastern United States. Effective January 1, 2021, we reorganized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Revenues from processing services are derived from municipalities and customers in the form of processing fees, tipping fees, commodity sales, and organic material sales. 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Revenues classification by service line reported in the three and six months ended June 30, 2020 has been reclassified to conform with the presentation for the three and six months ended June 30, 2021. Legal, tax, information technology, human resources, certain finance and accounting and other administrative functions are included in our Corporate Entities segment.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226,157</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654,314</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251,698</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215,875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1,227,833</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211,441</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626,329</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91,907</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37,294</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188,767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966,971</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Six Months Ended June 30, 2021</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226,157</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184,616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654,314</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251,698</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1,227,833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Six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Outside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Depreciation and</w:t>
            </w:r>
          </w:p>
        </w:tc>
        <w:tc>
          <w:tcPr>
            <w:tcW w:w="220" w:type="dxa"/>
            <w:vAlign w:val="bottom"/>
          </w:tcPr>
          <w:p>
            <w:pPr>
              <w:spacing w:after="0"/>
              <w:rPr>
                <w:sz w:val="14"/>
                <w:szCs w:val="1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3"/>
              </w:rPr>
              <w:t>Total assets</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6"/>
                <w:szCs w:val="16"/>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211,441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172,491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626,329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37,294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966,971</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120" w:type="dxa"/>
            <w:vAlign w:val="bottom"/>
            <w:gridSpan w:val="3"/>
          </w:tcPr>
          <w:p>
            <w:pPr>
              <w:spacing w:after="0"/>
              <w:rPr>
                <w:sz w:val="20"/>
                <w:szCs w:val="20"/>
                <w:color w:val="auto"/>
              </w:rPr>
            </w:pPr>
            <w:r>
              <w:rPr>
                <w:rFonts w:ascii="Arial" w:cs="Arial" w:eastAsia="Arial" w:hAnsi="Arial"/>
                <w:sz w:val="18"/>
                <w:szCs w:val="18"/>
                <w:color w:val="auto"/>
                <w:w w:val="93"/>
              </w:rPr>
              <w:t>A summary of our revenues attributable to services provided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9"/>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740" w:type="dxa"/>
            <w:vAlign w:val="bottom"/>
            <w:gridSpan w:val="6"/>
          </w:tcPr>
          <w:p>
            <w:pPr>
              <w:jc w:val="right"/>
              <w:ind w:right="8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Disposal</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82,371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275,970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30,023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65,683</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 operations</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371,676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2020 filed with the Securities and Exchange Commission (“SEC”) on February 19, 2021.</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pandemic on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2020.</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includes our larger-scale recycling and commodity brokerage operations along with our organics services and large scale commercial and industrial services.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July 15, 2021, we owned and/or operated 47 solid waste collection operations, 58 transfer stations, 20 recycling facilities, eight Subtitle D landfills, three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July 26, 2021, we acquired Willimantic Waste Paper Co., Inc. ("Willimantic"), a residential, commercial and roll-off collection business in eastern Connecticut. Willimantic also operates a rail-served construction and demolition processing and waste transfer facility, a waste transfer station, a single stream recycling facility, and several other recycling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global outbreak of the COVID-19 pandemic has caused economic disruption across our geographic footprint and has adversely affected our business. The COVID-19 pandemic negatively impacted our revenues starting at the end of the three months ended March 31, 2020, as many small business and construction collection customers required service level changes and volumes into our landfills declined due to lower economic activity. Demand for services has improved as local economies begin to reopen as allowed by State Governments and our collection and disposal volumes, as well as overall operations, have been less impacted by the effects of the COVID-19 pandemic in the three and six months ended June 30, 2021.</w:t>
      </w:r>
    </w:p>
    <w:p>
      <w:pPr>
        <w:spacing w:after="0" w:line="5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COVID-19 pandemic has negatively impacted and may continue to impact our business in other ways, as we have experienced increased costs as a result of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employee impacts from illness, supporting a remote administrative workforce, community response measures, the inability of customers to continue to pay for services, and temporary facility closures of our customers. As of the date of this filing, we are unable to determine or predict the full extent of any possible continuing impact that the COVID-19 pandemic will have on our business, results of operations, liquidity and capital resources. Future developments, such as the possibility of continuing spread of COVID-19 across our geographic footprint, the rate of vaccinations, the severity and containment of certain COVID-19 variants along with the pace and extent to which the States in which we operate continue to facilitate a return to normal economic and operation conditions are uncertain and cannot be predicted at this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as either processing or non-processing services in our Resource Solutions operating segment. Revenues from processing services consist of revenues derived from municipalities and customers in the form of processing fees, tipping fees, commodity sales, and organic material sales. Revenues from non-processing services consist of brokerage services; overall resource management services providing a wide range of environmental services and zero waste solutions to large and complex organizations; and traditional collection, disposal and recycling services provided to large account multi-site customers.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4"/>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9"/>
              </w:rPr>
              <w:t>Six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r>
      <w:tr>
        <w:trPr>
          <w:trHeight w:val="201"/>
        </w:trPr>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Change</w:t>
            </w:r>
          </w:p>
        </w:tc>
      </w:tr>
      <w:tr>
        <w:trPr>
          <w:trHeight w:val="224"/>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Disposal</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17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Solid waste</w:t>
            </w: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9"/>
              </w:rPr>
              <w:t>Resource solutions</w:t>
            </w: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8"/>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80" w:type="dxa"/>
            <w:vAlign w:val="bottom"/>
          </w:tcPr>
          <w:p>
            <w:pPr>
              <w:spacing w:after="0"/>
              <w:rPr>
                <w:sz w:val="14"/>
                <w:szCs w:val="14"/>
                <w:color w:val="auto"/>
              </w:rPr>
            </w:pPr>
          </w:p>
        </w:tc>
        <w:tc>
          <w:tcPr>
            <w:tcW w:w="30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4"/>
              </w:rPr>
              <w:t>Period-to-Period Change for the Six Months</w:t>
            </w:r>
          </w:p>
        </w:tc>
      </w:tr>
      <w:tr>
        <w:trPr>
          <w:trHeight w:val="188"/>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June 30, 2021 vs. 2020</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Ended June 30, 2021 vs. 2020</w:t>
            </w:r>
          </w:p>
        </w:tc>
      </w:tr>
      <w:tr>
        <w:trPr>
          <w:trHeight w:val="183"/>
        </w:trPr>
        <w:tc>
          <w:tcPr>
            <w:tcW w:w="47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19.3</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r>
      <w:tr>
        <w:trPr>
          <w:trHeight w:val="21"/>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price change component in quarterly and year-to-date solid waste revenues growth from the prior year periods is the result of the following:</w:t>
      </w:r>
    </w:p>
    <w:p>
      <w:pPr>
        <w:spacing w:after="0" w:line="129"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$3.9 million quarterly and $7.2 million year-to-date from favorable collection pricing; and</w:t>
      </w:r>
    </w:p>
    <w:p>
      <w:pPr>
        <w:spacing w:after="0" w:line="117" w:lineRule="exact"/>
        <w:rPr>
          <w:rFonts w:ascii="Arial" w:cs="Arial" w:eastAsia="Arial" w:hAnsi="Arial"/>
          <w:sz w:val="18"/>
          <w:szCs w:val="18"/>
          <w:color w:val="auto"/>
        </w:rPr>
      </w:pPr>
    </w:p>
    <w:p>
      <w:pPr>
        <w:ind w:right="1160" w:firstLine="129"/>
        <w:spacing w:after="0" w:line="375"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 million quarterly and $3.0 million year-to-date from favorable disposal pricing associated with our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from the prior year is the result of the following:</w:t>
      </w:r>
    </w:p>
    <w:p>
      <w:pPr>
        <w:spacing w:after="0" w:line="117" w:lineRule="exact"/>
        <w:rPr>
          <w:rFonts w:ascii="Arial" w:cs="Arial" w:eastAsia="Arial" w:hAnsi="Arial"/>
          <w:sz w:val="18"/>
          <w:szCs w:val="18"/>
          <w:color w:val="auto"/>
        </w:rPr>
      </w:pPr>
    </w:p>
    <w:p>
      <w:pPr>
        <w:ind w:left="460" w:right="220" w:hanging="331"/>
        <w:spacing w:after="0" w:line="277"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$6.3 million from higher collection volumes, with the prior year period negatively impacted by the COVID-19 pandemic, and growth in the period mainly as a result of increased demand for services due to economic recovery and increased activity;</w:t>
      </w:r>
    </w:p>
    <w:p>
      <w:pPr>
        <w:spacing w:after="0" w:line="62" w:lineRule="exact"/>
        <w:rPr>
          <w:rFonts w:ascii="Arial" w:cs="Arial" w:eastAsia="Arial" w:hAnsi="Arial"/>
          <w:sz w:val="18"/>
          <w:szCs w:val="18"/>
          <w:color w:val="auto"/>
        </w:rPr>
      </w:pPr>
    </w:p>
    <w:p>
      <w:pPr>
        <w:ind w:left="460" w:right="20" w:hanging="331"/>
        <w:spacing w:after="0" w:line="259"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$3.6 million from higher disposal volumes (of which $2.2 million relates to higher transfer station volumes and $2.0 million relates to higher landfill volumes, with the prior year period negatively impacted by the COVID-19 pandemic, and growth in the current period mainly as a result of increased demand for services due to economic recovery and increased activity, and $(0.6) million relates to lower transportation volumes associated with less drill cuttings activity); and</w:t>
      </w:r>
    </w:p>
    <w:p>
      <w:pPr>
        <w:spacing w:after="0" w:line="78"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$0.1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is the result of the following:</w:t>
      </w:r>
    </w:p>
    <w:p>
      <w:pPr>
        <w:spacing w:after="0" w:line="117" w:lineRule="exact"/>
        <w:rPr>
          <w:sz w:val="20"/>
          <w:szCs w:val="20"/>
          <w:color w:val="auto"/>
        </w:rPr>
      </w:pPr>
    </w:p>
    <w:p>
      <w:pPr>
        <w:ind w:left="460" w:right="220" w:hanging="331"/>
        <w:spacing w:after="0" w:line="308" w:lineRule="auto"/>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$4.0 million from higher collection volumes, with part of the prior year period negatively impacted by the COVID-19 pandemic, and growth in the current period primarily due to increased demand for services in the quarter due to economic recovery and increased activity; and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left="460" w:right="40" w:hanging="331"/>
        <w:spacing w:after="0" w:line="259"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 million from higher disposal volumes (of which $2.1 million relates to higher transfer station volumes and $0.4 million relates to higher landfill volumes, with part of the prior year period negatively impacted by the COVID-19 pandemic, and growth in the current period mainly as a result of increased demand for services in the quarter due to economic recovery and increased activity, and $(1.5) million relates to lower transportation volumes); and</w:t>
      </w:r>
    </w:p>
    <w:p>
      <w:pPr>
        <w:spacing w:after="0" w:line="78"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from the prior year periods is associated with the energy component of the energy and environmental fee and the sustainability recycling adjustment fee. The sustainability recycling adjustment fee floats on a monthly basis conversely with recycled commodity prices, which were higher as compared to the prior year periods, resulting in lower sustainability recycling adjustment fee revenues. This was partially offset by the impact of the energy component of the energy and environmental fee, which floats on a monthly basis in conjunction with diesel fuel prices, that were higher as compared to the prior year periods, resulting in higher energy fee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quarterly solid waste revenues growth from the prior year is the result of the following:</w:t>
      </w:r>
    </w:p>
    <w:p>
      <w:pPr>
        <w:spacing w:after="0" w:line="129" w:lineRule="exact"/>
        <w:rPr>
          <w:sz w:val="20"/>
          <w:szCs w:val="20"/>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$0.3 million from favorable commodity and energy pricing;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due to higher commodity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year-to-date solid waste revenues growth from the prior year is the result of the following:</w:t>
      </w:r>
    </w:p>
    <w:p>
      <w:pPr>
        <w:spacing w:after="0" w:line="129"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$0.6 million from favorable commodity and energy pricing; and</w:t>
      </w:r>
    </w:p>
    <w:p>
      <w:pPr>
        <w:spacing w:after="0" w:line="117" w:lineRule="exact"/>
        <w:rPr>
          <w:rFonts w:ascii="Arial" w:cs="Arial" w:eastAsia="Arial" w:hAnsi="Arial"/>
          <w:sz w:val="18"/>
          <w:szCs w:val="18"/>
          <w:color w:val="auto"/>
        </w:rPr>
      </w:pPr>
    </w:p>
    <w:p>
      <w:pPr>
        <w:ind w:right="6580" w:firstLine="129"/>
        <w:spacing w:after="0" w:line="375" w:lineRule="auto"/>
        <w:tabs>
          <w:tab w:leader="none" w:pos="4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$0.1 million due to higher landfill gas-to-energy volumes. Acquisitions.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The acquisitions change component in quarterly and year-to-date solid waste revenues growth from the prior year periods is the result of the following:</w:t>
      </w:r>
    </w:p>
    <w:p>
      <w:pPr>
        <w:spacing w:after="0" w:line="140"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acquisition of two tuck-in solid waste collection businesses in our Western region, along with a septic and portable toilet business, and a tuck-in solid waste collection business in our Eastern region; and</w:t>
      </w:r>
    </w:p>
    <w:p>
      <w:pPr>
        <w:spacing w:after="0" w:line="62" w:lineRule="exact"/>
        <w:rPr>
          <w:rFonts w:ascii="Arial" w:cs="Arial" w:eastAsia="Arial" w:hAnsi="Arial"/>
          <w:sz w:val="18"/>
          <w:szCs w:val="18"/>
          <w:color w:val="auto"/>
        </w:rPr>
      </w:pPr>
    </w:p>
    <w:p>
      <w:pPr>
        <w:ind w:left="460" w:right="120" w:hanging="331"/>
        <w:spacing w:after="0" w:line="27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acquisition of seven tuck-in solid waste collection businesses and a solid waste collection business in our Western region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component in quarterly and year-to-date resource solutions revenues growth of $7.8 million and $11.7 million, respectively, from the prior year periods is the result of the following:</w:t>
      </w:r>
    </w:p>
    <w:p>
      <w:pPr>
        <w:spacing w:after="0" w:line="62" w:lineRule="exact"/>
        <w:rPr>
          <w:sz w:val="20"/>
          <w:szCs w:val="20"/>
          <w:color w:val="auto"/>
        </w:rPr>
      </w:pPr>
    </w:p>
    <w:p>
      <w:pPr>
        <w:ind w:left="460" w:right="160" w:hanging="331"/>
        <w:spacing w:after="0" w:line="27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 million quarterly and $6.6 million year-to-date from the favorable impact of commodity pricing in the marketplace (not including the negative impact of lower intercompany tipping fees that were reduced due to higher commodity pricing);</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 million quarterly and $3.4 million year-to-date from higher non-processing revenues primarily due to higher volumes; and</w:t>
      </w:r>
    </w:p>
    <w:p>
      <w:pPr>
        <w:spacing w:after="0" w:line="117" w:lineRule="exact"/>
        <w:rPr>
          <w:rFonts w:ascii="Arial" w:cs="Arial" w:eastAsia="Arial" w:hAnsi="Arial"/>
          <w:sz w:val="18"/>
          <w:szCs w:val="18"/>
          <w:color w:val="auto"/>
        </w:rPr>
      </w:pPr>
    </w:p>
    <w:p>
      <w:pPr>
        <w:ind w:left="460" w:right="480" w:hanging="331"/>
        <w:spacing w:after="0" w:line="27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 million quarterly and $1.7 million year-to-date from higher processing volumes driven by higher recycling commodity volumes and other processing volumes.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r>
      <w:tr>
        <w:trPr>
          <w:trHeight w:val="201"/>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6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w w:val="97"/>
              </w:rPr>
              <w:t>138.6</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64.2 %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123.5</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7"/>
              </w:rPr>
              <w:t>252.0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7"/>
              <w:spacing w:after="0"/>
              <w:rPr>
                <w:sz w:val="20"/>
                <w:szCs w:val="20"/>
                <w:color w:val="auto"/>
              </w:rPr>
            </w:pPr>
            <w:r>
              <w:rPr>
                <w:rFonts w:ascii="Arial" w:cs="Arial" w:eastAsia="Arial" w:hAnsi="Arial"/>
                <w:sz w:val="18"/>
                <w:szCs w:val="18"/>
                <w:color w:val="auto"/>
              </w:rPr>
              <w:t>29.2</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5"/>
              <w:spacing w:after="0"/>
              <w:rPr>
                <w:sz w:val="20"/>
                <w:szCs w:val="20"/>
                <w:color w:val="auto"/>
              </w:rPr>
            </w:pPr>
            <w:r>
              <w:rPr>
                <w:rFonts w:ascii="Arial" w:cs="Arial" w:eastAsia="Arial" w:hAnsi="Arial"/>
                <w:sz w:val="18"/>
                <w:szCs w:val="18"/>
                <w:color w:val="auto"/>
              </w:rPr>
              <w:t>24.9</w:t>
            </w:r>
          </w:p>
        </w:tc>
        <w:tc>
          <w:tcPr>
            <w:tcW w:w="620" w:type="dxa"/>
            <w:vAlign w:val="bottom"/>
          </w:tcPr>
          <w:p>
            <w:pPr>
              <w:jc w:val="right"/>
              <w:spacing w:after="0"/>
              <w:rPr>
                <w:sz w:val="20"/>
                <w:szCs w:val="20"/>
                <w:color w:val="auto"/>
              </w:rPr>
            </w:pPr>
            <w:r>
              <w:rPr>
                <w:rFonts w:ascii="Arial" w:cs="Arial" w:eastAsia="Arial" w:hAnsi="Arial"/>
                <w:sz w:val="18"/>
                <w:szCs w:val="18"/>
                <w:color w:val="auto"/>
              </w:rPr>
              <w:t>13.2 %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56.3</w:t>
            </w:r>
          </w:p>
        </w:tc>
        <w:tc>
          <w:tcPr>
            <w:tcW w:w="100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5"/>
              <w:spacing w:after="0"/>
              <w:rPr>
                <w:sz w:val="20"/>
                <w:szCs w:val="20"/>
                <w:color w:val="auto"/>
              </w:rPr>
            </w:pPr>
            <w:r>
              <w:rPr>
                <w:rFonts w:ascii="Arial" w:cs="Arial" w:eastAsia="Arial" w:hAnsi="Arial"/>
                <w:sz w:val="18"/>
                <w:szCs w:val="18"/>
                <w:color w:val="auto"/>
              </w:rPr>
              <w:t>49.2</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a percentage of revenues, cost of operations decreased approximately (120) basis points and (230) basis points during the three and six months ended June 30, 2021, respectively, from the same periods of the prior year. The period-to-period changes in cost of operations can be primarily attributed to the following:</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Third-party direct costs increased $6.0 million quarterly while decreasing approximately (40) basis points as a percentage of revenues, and increased $3.9 million year-to-date while decreasing approximately (120) basis points as a percentage of revenues, due to the following:</w:t>
      </w:r>
    </w:p>
    <w:p>
      <w:pPr>
        <w:spacing w:after="0" w:line="62" w:lineRule="exact"/>
        <w:rPr>
          <w:sz w:val="20"/>
          <w:szCs w:val="20"/>
          <w:color w:val="auto"/>
        </w:rPr>
      </w:pPr>
    </w:p>
    <w:p>
      <w:pPr>
        <w:ind w:left="460" w:right="60" w:hanging="331"/>
        <w:spacing w:after="0" w:line="311" w:lineRule="auto"/>
        <w:tabs>
          <w:tab w:leader="none" w:pos="4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higher third-party disposal costs associated with increased volumes in the quarter, including higher organic collection and transfer station volumes; higher landfill volumes driven by our Eastern region; higher collection volumes related to acquisition activity in our Western region; and higher non-processing volumes, and the internalization of more non-processing volumes, in our Resource Solutions operating segment; and</w:t>
      </w:r>
    </w:p>
    <w:p>
      <w:pPr>
        <w:spacing w:after="0" w:line="40" w:lineRule="exact"/>
        <w:rPr>
          <w:rFonts w:ascii="Arial" w:cs="Arial" w:eastAsia="Arial" w:hAnsi="Arial"/>
          <w:sz w:val="16"/>
          <w:szCs w:val="16"/>
          <w:color w:val="auto"/>
        </w:rPr>
      </w:pPr>
    </w:p>
    <w:p>
      <w:pPr>
        <w:ind w:left="460" w:right="20" w:hanging="331"/>
        <w:spacing w:after="0" w:line="279" w:lineRule="auto"/>
        <w:tabs>
          <w:tab w:leader="none" w:pos="4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higher hauling and third-party transportation costs associated with increased volumes in the quarter, including higher organic collection and transfer station volumes; higher landfill volumes driven by our Eastern region; higher collection volumes related to acquisition activity in our Western region; and higher brokerage, other processing and non-processing volumes in our Resource Solutions operating segment; partially offset by lower third-party transportation costs associated with lower transportation volumes on less drill cutting activity.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Direct operational costs increased $0.5 million quarterly while decreasing approximately (110) basis points as a percentage of revenues, and decreased</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$(1.1) million year-to-date while decreasing approximately (110) basis points as a percentage of revenues, due primarily to: higher variable operating costs on increased activity in the quarter; higher landfill operating and amortization costs on increased landfill volumes in the quarter, primarily in our Eastern region; offset on a year-to-date basis by lower equipment operating lease expense and lower landfill operating costs in our Western region as landfill volumes recovered more slowly at certain sites.</w:t>
      </w:r>
    </w:p>
    <w:p>
      <w:pPr>
        <w:spacing w:after="0" w:line="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Fuel costs increased $1.2 million quarterly while increasing approximately 20 basis points as a percentage of revenues, and increased $1.2 million year-to-date while increasing approximately 10 basis points as a percentage of revenues, due primarily to higher volumes, along with higher fuel prices.</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Direct labor costs increased $2.9 million quarterly while decreasing approximately (30) basis points as a percentage of revenues, and increased $3.8 million year-to-date while decreasing approximately (20) basis points as a percentage of revenues, due primarily to: higher labor costs due to wage inflation in our markets and increased overtime on higher collection and disposal volumes associated with an increased demand for services in the quarter and acquisition activity in the Western region; and higher health insurance costs; partially offset by lower salaries and labor costs within our Resource Solutions operating segment.</w:t>
      </w:r>
    </w:p>
    <w:p>
      <w:pPr>
        <w:spacing w:after="0" w:line="8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Maintenance and repair costs increased $4.5 million quarterly while increasing approximately 30 basis points as a percentage of revenues, and increased $6.0 million year-to-date while increasing approximately 20 basis points as a percentage of revenues, due primarily to higher fleet maintenance costs, higher facility maintenance costs and higher operation support costs for our resource renewal operations associated with an increased demand for services.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right="220"/>
        <w:spacing w:after="0" w:line="263" w:lineRule="auto"/>
        <w:rPr>
          <w:sz w:val="20"/>
          <w:szCs w:val="20"/>
          <w:color w:val="auto"/>
        </w:rPr>
      </w:pPr>
      <w:r>
        <w:rPr>
          <w:rFonts w:ascii="Arial" w:cs="Arial" w:eastAsia="Arial" w:hAnsi="Arial"/>
          <w:sz w:val="18"/>
          <w:szCs w:val="18"/>
          <w:color w:val="auto"/>
        </w:rPr>
        <w:t>The period-to-period changes in general and administration expense can be primarily attributed to higher equity compensation costs and higher accrued incentive compensation on improved performance; partially offset by lower bad debt expense attributed to the timing of the COVID-19 pandemic, which resulted in a large increase in the allowance for credit losses in prior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7"/>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7"/>
              </w:rPr>
              <w:t>Six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01"/>
        </w:trPr>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Change</w:t>
            </w:r>
          </w:p>
        </w:tc>
      </w:tr>
      <w:tr>
        <w:trPr>
          <w:trHeight w:val="22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center"/>
              <w:ind w:left="156"/>
              <w:spacing w:after="0"/>
              <w:rPr>
                <w:sz w:val="20"/>
                <w:szCs w:val="20"/>
                <w:color w:val="auto"/>
              </w:rPr>
            </w:pPr>
            <w:r>
              <w:rPr>
                <w:rFonts w:ascii="Arial" w:cs="Arial" w:eastAsia="Arial" w:hAnsi="Arial"/>
                <w:sz w:val="18"/>
                <w:szCs w:val="18"/>
                <w:color w:val="auto"/>
                <w:w w:val="87"/>
              </w:rPr>
              <w:t>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56"/>
              <w:spacing w:after="0"/>
              <w:rPr>
                <w:sz w:val="20"/>
                <w:szCs w:val="20"/>
                <w:color w:val="auto"/>
              </w:rPr>
            </w:pPr>
            <w:r>
              <w:rPr>
                <w:rFonts w:ascii="Arial" w:cs="Arial" w:eastAsia="Arial" w:hAnsi="Arial"/>
                <w:sz w:val="18"/>
                <w:szCs w:val="18"/>
                <w:color w:val="auto"/>
                <w:w w:val="87"/>
              </w:rPr>
              <w:t>2.5</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left="156"/>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left="156"/>
              <w:spacing w:after="0"/>
              <w:rPr>
                <w:sz w:val="20"/>
                <w:szCs w:val="20"/>
                <w:color w:val="auto"/>
              </w:rPr>
            </w:pPr>
            <w:r>
              <w:rPr>
                <w:rFonts w:ascii="Arial" w:cs="Arial" w:eastAsia="Arial" w:hAnsi="Arial"/>
                <w:sz w:val="18"/>
                <w:szCs w:val="18"/>
                <w:color w:val="auto"/>
                <w:w w:val="87"/>
              </w:rPr>
              <w:t>1.4</w:t>
            </w: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7"/>
              </w:rPr>
              <w:t>(0.4)</w:t>
            </w:r>
          </w:p>
        </w:tc>
      </w:tr>
      <w:tr>
        <w:trPr>
          <w:trHeight w:val="223"/>
        </w:trPr>
        <w:tc>
          <w:tcPr>
            <w:tcW w:w="2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center"/>
              <w:ind w:left="156"/>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156"/>
              <w:spacing w:after="0"/>
              <w:rPr>
                <w:sz w:val="20"/>
                <w:szCs w:val="20"/>
                <w:color w:val="auto"/>
              </w:rPr>
            </w:pPr>
            <w:r>
              <w:rPr>
                <w:rFonts w:ascii="Arial" w:cs="Arial" w:eastAsia="Arial" w:hAnsi="Arial"/>
                <w:sz w:val="18"/>
                <w:szCs w:val="18"/>
                <w:color w:val="auto"/>
                <w:w w:val="87"/>
              </w:rPr>
              <w:t>3.5</w:t>
            </w: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period-to-period increases in depreciation and amortization expense can be primarily attributed to increased investment in our fleet and acquisition activity. Landfill amortization expense increased in the three and six months ended June 30, 2021 due to higher landfill volumes and changes to cost estimates and other assumptions from prior year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three and six months ended June 30, 2021, we recorded charges of $1.6 million and $2.0 million, respectively, and in the three and six months ended June 30, 2020 we recorded charges of $0.4 million and $1.4 million, respectively, comprised primarily of legal, consulting and other similar costs associated with the acquisition and integration of acquired businesses or select development projects.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2017, we initiated the plan to cease operations of the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six months ended June 30, 2021, we recorded charges of $0.2 million and $0.4 million, respectively, associated with legal and other costs pertaining to various matters as part of the unplanned early closure of the Southbridge Landfill through completion of the closure process. In the three and six months ended June 30, 2020, we recorded charges of $0.6 million and $1.2 million, respectively, comprised of $0.6 million and $1.2 million, respectively, of legal and other costs pertaining to various matters as part of the unplanned early closure of the Southbridge Landfill through completion of the closure process, a charge of $0.2 million in the three and six months ended June 30, 2020 due to changes in estimated costs and timing of final capping, closure and post-closure activities at the Southbridge Landfill, and a recovery of $(0.2) million in the three and six months ended June 30, 2020 associated with the completion of the environmental remediation at the site.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interest expense, net decreased $(0.2) million quarterly and $(0.7) million year-to-date due primarily to lower average interest rates on our debt associated with changes in LIBOR.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provision for income taxes increased $5.1 million quarterly and $7.4 million year-to-date, as compared to the same periods in the prior year. The provision for income taxes in the six months ended June 30, 2021 includes $0.8 million of current income taxes and $7.1 million of deferred income taxes. For the six months ended June 30, 2020, the provision includes a $(0.8) million current income tax benefit and $1.3 million of deferred income taxes. The effective rate for the three months ended June 30, 2021 is 31%, before adjustment for the one-time adjustments primarily related to accumulated other comprehensive losses, and is computed based on the statutory rate of 21% adjusted primarily for state taxes and nondeductible officer compensation.</w:t>
      </w:r>
    </w:p>
    <w:p>
      <w:pPr>
        <w:spacing w:after="0" w:line="5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An increase of $5.8 million in the year-to-date deferred tax provision between the periods relates to the release of a significant portion of our valuation allowance in the fourth quarter ended December 31, 2020. On a periodic basis, we reassess the valuation allowance on our deferred income tax assets, weighing positive and negative evidence to assess the recoverability of the deferred tax assets. In the quarter ended December 31,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 million. We continues to maintain a valuation allowance related to deferred tax assets that would generate capital losses when realized and deferred tax assets related to certain state jurisdictions.</w:t>
      </w:r>
    </w:p>
    <w:p>
      <w:pPr>
        <w:spacing w:after="0" w:line="60"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refunded through tax year 2021, if not otherwise used to offset tax liabilities. A current income tax benefit of $(1.0) million, offset by a $1.0 million deferred tax provision, was recognized in the three months ended March 31, 2020 for the remaining minimum tax credit carried back to tax year 2018.</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22, 2017, the Tax Cuts and Jobs Act (the “TCJ Act”) was enacted. The TCJ Act significantly changed U.S. corporate income tax laws by, among other things, changing carryforward rules for net operating losses. Our $92.5 million in federal net operating loss carryforwards generated as of the end of 2017 continue to be carried forward for 20 years and are expected to be available to fully offset taxable income earned in 2021 and future tax years. Federal net operating losses generated after 2017, totaling $46.5 million carried forward to 2021, will be carried forward indefinitely, but generally may only offset up to 80% of taxable income earned in a tax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2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8"/>
        </w:trPr>
        <w:tc>
          <w:tcPr>
            <w:tcW w:w="2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r>
      <w:tr>
        <w:trPr>
          <w:trHeight w:val="196"/>
        </w:trPr>
        <w:tc>
          <w:tcPr>
            <w:tcW w:w="2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24"/>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22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215.9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188.8</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27.1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2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20" w:type="dxa"/>
            <w:vAlign w:val="bottom"/>
          </w:tcPr>
          <w:p>
            <w:pPr>
              <w:spacing w:after="0"/>
              <w:rPr>
                <w:sz w:val="14"/>
                <w:szCs w:val="14"/>
                <w:color w:val="auto"/>
              </w:rPr>
            </w:pPr>
          </w:p>
        </w:tc>
        <w:tc>
          <w:tcPr>
            <w:tcW w:w="286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w w:val="93"/>
              </w:rPr>
              <w:t>Period-to-Period Change for the Six Months</w:t>
            </w:r>
          </w:p>
        </w:tc>
      </w:tr>
      <w:tr>
        <w:trPr>
          <w:trHeight w:val="188"/>
        </w:trPr>
        <w:tc>
          <w:tcPr>
            <w:tcW w:w="5120" w:type="dxa"/>
            <w:vAlign w:val="bottom"/>
          </w:tcPr>
          <w:p>
            <w:pPr>
              <w:spacing w:after="0"/>
              <w:rPr>
                <w:sz w:val="16"/>
                <w:szCs w:val="16"/>
                <w:color w:val="auto"/>
              </w:rPr>
            </w:pPr>
          </w:p>
        </w:tc>
        <w:tc>
          <w:tcPr>
            <w:tcW w:w="3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Ended June 30, 2021 vs. 2020</w:t>
            </w:r>
          </w:p>
        </w:tc>
        <w:tc>
          <w:tcPr>
            <w:tcW w:w="120" w:type="dxa"/>
            <w:vAlign w:val="bottom"/>
          </w:tcPr>
          <w:p>
            <w:pPr>
              <w:spacing w:after="0"/>
              <w:rPr>
                <w:sz w:val="16"/>
                <w:szCs w:val="16"/>
                <w:color w:val="auto"/>
              </w:rPr>
            </w:pPr>
          </w:p>
        </w:tc>
        <w:tc>
          <w:tcPr>
            <w:tcW w:w="286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Ended June 30, 2021 vs. 2020</w:t>
            </w:r>
          </w:p>
        </w:tc>
      </w:tr>
      <w:tr>
        <w:trPr>
          <w:trHeight w:val="183"/>
        </w:trPr>
        <w:tc>
          <w:tcPr>
            <w:tcW w:w="512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top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9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Solid waste revenues</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r>
      <w:tr>
        <w:trPr>
          <w:trHeight w:val="20"/>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price change component in quarterly and year-to-date solid waste revenues growth from the prior year periods is the result of the following:</w:t>
      </w:r>
    </w:p>
    <w:p>
      <w:pPr>
        <w:spacing w:after="0" w:line="129"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 million quarterly and $2.7 million year-to-date from favorable collection pricing; and</w:t>
      </w:r>
    </w:p>
    <w:p>
      <w:pPr>
        <w:spacing w:after="0" w:line="117" w:lineRule="exact"/>
        <w:rPr>
          <w:rFonts w:ascii="Arial" w:cs="Arial" w:eastAsia="Arial" w:hAnsi="Arial"/>
          <w:sz w:val="18"/>
          <w:szCs w:val="18"/>
          <w:color w:val="auto"/>
        </w:rPr>
      </w:pPr>
    </w:p>
    <w:p>
      <w:pPr>
        <w:ind w:right="1880" w:firstLine="129"/>
        <w:spacing w:after="0" w:line="375" w:lineRule="auto"/>
        <w:tabs>
          <w:tab w:leader="none" w:pos="4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quarterly and $1.3 million year-to-date from favorable disposal pricing related to transfer stations and landfills.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volume change component in quarterly and year-to-date solid waste revenues growth from the prior year periods is the result of the following:</w:t>
      </w:r>
    </w:p>
    <w:p>
      <w:pPr>
        <w:spacing w:after="0" w:line="128" w:lineRule="exact"/>
        <w:rPr>
          <w:rFonts w:ascii="Arial" w:cs="Arial" w:eastAsia="Arial" w:hAnsi="Arial"/>
          <w:sz w:val="18"/>
          <w:szCs w:val="18"/>
          <w:color w:val="auto"/>
        </w:rPr>
      </w:pPr>
    </w:p>
    <w:p>
      <w:pPr>
        <w:ind w:left="460" w:right="40" w:hanging="331"/>
        <w:spacing w:after="0" w:line="263"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$2.8 million quarterly and $4.1 million year-to-date from higher disposal volumes related to transfer stations and landfills, with the prior year periods negatively impacted by the COVID-19 pandemic, and growth in the current period mainly as a result of increased demand for services due to economic recovery and increased activity;</w:t>
      </w:r>
    </w:p>
    <w:p>
      <w:pPr>
        <w:spacing w:after="0" w:line="75" w:lineRule="exact"/>
        <w:rPr>
          <w:rFonts w:ascii="Arial" w:cs="Arial" w:eastAsia="Arial" w:hAnsi="Arial"/>
          <w:sz w:val="18"/>
          <w:szCs w:val="18"/>
          <w:color w:val="auto"/>
        </w:rPr>
      </w:pPr>
    </w:p>
    <w:p>
      <w:pPr>
        <w:jc w:val="both"/>
        <w:ind w:left="460" w:right="100" w:hanging="331"/>
        <w:spacing w:after="0" w:line="263"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 million quarterly and $2.0 million year-to-date from higher collection volumes, with the prior year periods negatively impacted by the COVID-19 pandemic, and growth in the current period mainly as a result of increased demand for services due to economic recovery and increased activity; and</w:t>
      </w:r>
    </w:p>
    <w:p>
      <w:pPr>
        <w:spacing w:after="0" w:line="75"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$0.1 million quarterly and $0.4 million year-to-date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from the prior year periods is associated with the energy component of the energy and environmental fee and the sustainability recycling adjustment fee. The sustainability recycling adjustment fee floats on a monthly basis conversely with recycled commodity prices, which were higher as compared to the prior year periods, resulting in lower sustainability recycling adjustment fee revenues. This was partially offset by the impact of the energy component of the energy and environmental fee, which floats on a monthly basis in conjunction with diesel fuel prices, that were higher as compared to the prior year periods, resulting in higher energy fee revenues.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20" w:type="dxa"/>
            <w:vAlign w:val="bottom"/>
          </w:tcPr>
          <w:p>
            <w:pPr>
              <w:spacing w:after="0"/>
              <w:rPr>
                <w:sz w:val="14"/>
                <w:szCs w:val="14"/>
                <w:color w:val="auto"/>
              </w:rPr>
            </w:pPr>
          </w:p>
        </w:tc>
        <w:tc>
          <w:tcPr>
            <w:tcW w:w="286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w w:val="93"/>
              </w:rPr>
              <w:t>Period-to-Period Change for the Six Months</w:t>
            </w:r>
          </w:p>
        </w:tc>
      </w:tr>
      <w:tr>
        <w:trPr>
          <w:trHeight w:val="188"/>
        </w:trPr>
        <w:tc>
          <w:tcPr>
            <w:tcW w:w="5120" w:type="dxa"/>
            <w:vAlign w:val="bottom"/>
          </w:tcPr>
          <w:p>
            <w:pPr>
              <w:spacing w:after="0"/>
              <w:rPr>
                <w:sz w:val="16"/>
                <w:szCs w:val="16"/>
                <w:color w:val="auto"/>
              </w:rPr>
            </w:pPr>
          </w:p>
        </w:tc>
        <w:tc>
          <w:tcPr>
            <w:tcW w:w="3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Ended June 30, 2021 vs. 2020</w:t>
            </w:r>
          </w:p>
        </w:tc>
        <w:tc>
          <w:tcPr>
            <w:tcW w:w="120" w:type="dxa"/>
            <w:vAlign w:val="bottom"/>
          </w:tcPr>
          <w:p>
            <w:pPr>
              <w:spacing w:after="0"/>
              <w:rPr>
                <w:sz w:val="16"/>
                <w:szCs w:val="16"/>
                <w:color w:val="auto"/>
              </w:rPr>
            </w:pPr>
          </w:p>
        </w:tc>
        <w:tc>
          <w:tcPr>
            <w:tcW w:w="286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Ended June 30, 2021 vs. 2020</w:t>
            </w:r>
          </w:p>
        </w:tc>
      </w:tr>
      <w:tr>
        <w:trPr>
          <w:trHeight w:val="183"/>
        </w:trPr>
        <w:tc>
          <w:tcPr>
            <w:tcW w:w="512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top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w:t>
            </w:r>
          </w:p>
        </w:tc>
      </w:tr>
      <w:tr>
        <w:trPr>
          <w:trHeight w:val="21"/>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price change component in quarterly and year-to-date solid waste revenues growth from the prior year periods is the result of the following:</w:t>
      </w:r>
    </w:p>
    <w:p>
      <w:pPr>
        <w:spacing w:after="0" w:line="129" w:lineRule="exact"/>
        <w:rPr>
          <w:sz w:val="20"/>
          <w:szCs w:val="20"/>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 million quarterly and $4.5 million year-to-date from favorable collection pricing; and</w:t>
      </w:r>
    </w:p>
    <w:p>
      <w:pPr>
        <w:spacing w:after="0" w:line="117" w:lineRule="exact"/>
        <w:rPr>
          <w:rFonts w:ascii="Arial" w:cs="Arial" w:eastAsia="Arial" w:hAnsi="Arial"/>
          <w:sz w:val="18"/>
          <w:szCs w:val="18"/>
          <w:color w:val="auto"/>
        </w:rPr>
      </w:pPr>
    </w:p>
    <w:p>
      <w:pPr>
        <w:ind w:right="1880" w:firstLine="129"/>
        <w:spacing w:after="0" w:line="375" w:lineRule="auto"/>
        <w:tabs>
          <w:tab w:leader="none" w:pos="4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$0.9 million quarterly and $1.6 million year-to-date from favorable disposal pricing related to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from the prior year is the result of the following:</w:t>
      </w:r>
    </w:p>
    <w:p>
      <w:pPr>
        <w:spacing w:after="0" w:line="117" w:lineRule="exact"/>
        <w:rPr>
          <w:rFonts w:ascii="Arial" w:cs="Arial" w:eastAsia="Arial" w:hAnsi="Arial"/>
          <w:sz w:val="18"/>
          <w:szCs w:val="18"/>
          <w:color w:val="auto"/>
        </w:rPr>
      </w:pPr>
    </w:p>
    <w:p>
      <w:pPr>
        <w:ind w:left="460" w:right="180" w:hanging="331"/>
        <w:spacing w:after="0" w:line="277"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$3.7 million from higher collection volumes, with the prior year period negatively impacted by the COVID-19 pandemic, and growth in the current period mainly as a result of increased demand for services due to economic recovery and increased activity; and</w:t>
      </w:r>
    </w:p>
    <w:p>
      <w:pPr>
        <w:spacing w:after="0" w:line="62" w:lineRule="exact"/>
        <w:rPr>
          <w:rFonts w:ascii="Arial" w:cs="Arial" w:eastAsia="Arial" w:hAnsi="Arial"/>
          <w:sz w:val="18"/>
          <w:szCs w:val="18"/>
          <w:color w:val="auto"/>
        </w:rPr>
      </w:pPr>
    </w:p>
    <w:p>
      <w:pPr>
        <w:ind w:left="460" w:right="100" w:hanging="331"/>
        <w:spacing w:after="0" w:line="342" w:lineRule="auto"/>
        <w:tabs>
          <w:tab w:leader="none" w:pos="4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$0.8 million from higher disposal volumes related to transfer stations and landfills, with the prior year period negatively impacted by the COVID-19 pandemic, and growth in the current period mainly as a result of increased demand for services due to economic recovery and increased activity.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volume impact on the change in year-to-date solid waste revenues growth from the prior year is the result of the following:</w:t>
      </w:r>
    </w:p>
    <w:p>
      <w:pPr>
        <w:spacing w:after="0" w:line="117" w:lineRule="exact"/>
        <w:rPr>
          <w:sz w:val="20"/>
          <w:szCs w:val="20"/>
          <w:color w:val="auto"/>
        </w:rPr>
      </w:pPr>
    </w:p>
    <w:p>
      <w:pPr>
        <w:ind w:left="500" w:right="40" w:hanging="330"/>
        <w:spacing w:after="0" w:line="259"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$(3.0) million from lower disposal volumes related to landfills due to: lower drill cuttings activity and the negative impacts of the COVID-19 pandemic, which began impacting our revenues starting at the end of the quarter ended March 31, 2020 and extending through the first quarter of this fiscal year until demand for services increased in the quarter due to economic recovery and increased activity; and lower transportation revenues associated with less drill cuttings activity; partially offset by</w:t>
      </w:r>
    </w:p>
    <w:p>
      <w:pPr>
        <w:spacing w:after="0" w:line="105" w:lineRule="exact"/>
        <w:rPr>
          <w:rFonts w:ascii="Arial" w:cs="Arial" w:eastAsia="Arial" w:hAnsi="Arial"/>
          <w:sz w:val="18"/>
          <w:szCs w:val="18"/>
          <w:color w:val="auto"/>
        </w:rPr>
      </w:pPr>
    </w:p>
    <w:p>
      <w:pPr>
        <w:ind w:left="500" w:right="120" w:hanging="330"/>
        <w:spacing w:after="0" w:line="246"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million from higher collection volumes, with the prior year period negatively impacted by the COVID-19 pandemic, and growth in the current period mainly as a result of increased demand for services due to economic recovery and increased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from the prior year periods is associated with the energy component of the energy and environmental fee and the sustainability recycling adjustment fee. The sustainability recycling adjustment fee floats on a monthly basis conversely with recycled commodity prices, which were higher as compared to the prior year periods, resulting in lower sustainability recycling adjustment fee revenues. This was partially offset by the impact of the energy component of the energy and environmental fee, which floats on a monthly basis in conjunction with diesel fuel prices, that were higher as compared to the prior year periods, resulting in higher energy fee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commodity price and volume change component in quarterly and year-to-date solid waste revenues growth from the prior year periods is the result of favorable energy and commodity pricing and higher landfill gas-to-energy volumes and higher commodity processing volumes in the quarter.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acquisitions change component in quarterly and year-to-date solid waste revenues growth from the prior year periods is the result of the timing and acquisition of two tuck-in solid waste collection and recycling business and one tuck-in hauling business in the six months ended June 30, 2021, along with the timing and acquisition of seven tuck-in solid waste collection businesses and a solid waste collection business during the prior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4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8"/>
        </w:trPr>
        <w:tc>
          <w:tcPr>
            <w:tcW w:w="2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r>
      <w:tr>
        <w:trPr>
          <w:trHeight w:val="196"/>
        </w:trPr>
        <w:tc>
          <w:tcPr>
            <w:tcW w:w="22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r>
      <w:tr>
        <w:trPr>
          <w:trHeight w:val="224"/>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Western</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5"/>
              </w:rPr>
              <w:t>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0.2</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Operating income decreased $(0.6) million quarterly and increased $0.7 million year-to-date. Excluding the impact of the Southbridge Landfill closure charge and the expense from acquisition activities, our operating performance in the three and six months ended June 30, 2021 was driven by revenue growth, inclusive of inter-company revenues, more than offsetting the following cost changes:</w:t>
      </w:r>
    </w:p>
    <w:p>
      <w:pPr>
        <w:spacing w:after="0" w:line="7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i w:val="1"/>
          <w:iCs w:val="1"/>
          <w:color w:val="auto"/>
        </w:rPr>
        <w:t>Cost of operations</w:t>
      </w:r>
      <w:r>
        <w:rPr>
          <w:rFonts w:ascii="Arial" w:cs="Arial" w:eastAsia="Arial" w:hAnsi="Arial"/>
          <w:sz w:val="16"/>
          <w:szCs w:val="16"/>
          <w:color w:val="auto"/>
        </w:rPr>
        <w:t>: Cost of operations increased $7.3 million quarterly and $7.4 million year-to-date due to: higher disposal, hauling and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increased volumes in the quarter, including higher organic collection, transfer station and landfill volumes; higher labor and benefit costs due to wage inflation in our markets, increased overtime and increased health insurance costs; higher landfill operating costs on increased volumes; higher fleet and facility maintenance costs; and higher fuel costs on higher volumes and higher fuel prices. Volume increases and related costs were associated with increased demand for services in the quarter due to economic recovery and increased activity and acquisition activity.</w:t>
      </w:r>
    </w:p>
    <w:p>
      <w:pPr>
        <w:spacing w:after="0" w:line="5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$1.4 million quarterly and $2.6 million year-to-date due to higher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and higher shared overhead costs associated with improved performance, partially offset by lower bad debt expense attributed to the timing of the COVID-19 pandemic, which resulted in a large increase in the allowance for credit losses in prior year periods.</w:t>
      </w:r>
    </w:p>
    <w:p>
      <w:pPr>
        <w:spacing w:after="0" w:line="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$1.0 million quarterly and $1.6 million year-to-date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 associated with increased investment in our fleet and acquisition activity, and higher landfill amortization primarily on higher landfill volumes and changes to cost estimates and other assumptions from prior year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Operating income increased $3.0 million quarterly and $5.2 million year-to-date. Excluding the impact of the expense from acquisition activities, our improved operating performance in the three and six months ended June 30, 2021 was driven by revenue growth, inclusive of inter-company revenues, more than offsetting the following cost changes: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$9.1 million quarterly and $9.5 million year-to-date due to: higher disposal costs associated with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in the quarter, including higher organic and acquisition collection volumes as well as organic transfer station and landfill volumes; higher labor and benefit costs due to wage inflation in our markets, increased overtime and higher health insurance costs; higher fleet and facility maintenance costs; and higher fuel costs on higher volumes and higher fuel prices; partially offset by lower third-party transportation costs associated with lower transportation volumes on less drill cuttings activity; lower landfill operating costs where landfill volumes are taking longer to rebound; and lower equipment operating lease expense. Volume increases and related costs were associated with increased demand for services in the quarter due to economic recovery and increased activity and acquisition activity.</w:t>
      </w:r>
    </w:p>
    <w:p>
      <w:pPr>
        <w:spacing w:after="0" w:line="8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$2.8 million quarterly and $3.7 million year-to-date due to higher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and higher shared overhead costs associated with improved performance, partially offset by lower bad debt expense attributed to the timing of the COVID-19 pandemic, which resulted in a large increase in the allowance for credit losses in prior year periods.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jc w:val="both"/>
        <w:ind w:right="320"/>
        <w:spacing w:after="0" w:line="28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increased $1.5 million quarterly and $2.3 million year-to-date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depreciation and amortization expense associated with increased investment in our fleet and acquisition activity, and higher landfill amortization primarily on higher landfill volumes in the quarter and changes to cost estimates and other assumptions from prior year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increased $1.9 million quarterly and $3.3 million year-to-date driven by revenue growth, inclusive of inter-company revenues, more than offsetting the following cost changes:</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$4.4 million quarterly and $5.1 million year-to-date due to: higher hauling and third-party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higher brokerage volumes with high pass through direct costs; higher disposal costs associated with internalizing more non-processing volumes; and higher facility operation support costs; partially offset by lower salaries and labor costs.</w:t>
      </w:r>
    </w:p>
    <w:p>
      <w:pPr>
        <w:spacing w:after="0" w:line="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General and administration</w:t>
      </w:r>
      <w:r>
        <w:rPr>
          <w:rFonts w:ascii="Arial" w:cs="Arial" w:eastAsia="Arial" w:hAnsi="Arial"/>
          <w:sz w:val="17"/>
          <w:szCs w:val="17"/>
          <w:color w:val="auto"/>
        </w:rPr>
        <w:t>: General and administration expense remained flat quarterly and increased $0.8 million year-to-date due to higher equity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costs, higher accrued incentive compensation and higher shared overhead costs on improved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continue to monitor the impact that the COVID-19 pandemic has had and may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had $173.6 million of undrawn capacity from our $200.0 million revolving line of credit facility ("Revolving Credit Facility") and $167.2 million of cash and cash equivalents as of June 30, 2021 to help meet our liquidity needs, and our next significant debt maturity, which is comprised of our Revolving Credit Facility and term loan A facility ("Term Loan Facility", and together with the Revolving Credit Facility, the "Credit Facility"), is in May 2023. We believe that we will remain in compliance with all necessary covenants of our Credit Facility over the remaining term of this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2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20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2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Non-current portion</w:t>
            </w:r>
          </w:p>
        </w:tc>
        <w:tc>
          <w:tcPr>
            <w:tcW w:w="20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2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9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9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850"/>
        </w:trPr>
        <w:tc>
          <w:tcPr>
            <w:tcW w:w="4700" w:type="dxa"/>
            <w:vAlign w:val="bottom"/>
          </w:tcPr>
          <w:p>
            <w:pPr>
              <w:spacing w:after="0"/>
              <w:rPr>
                <w:sz w:val="24"/>
                <w:szCs w:val="24"/>
                <w:color w:val="auto"/>
              </w:rPr>
            </w:pPr>
          </w:p>
        </w:tc>
        <w:tc>
          <w:tcPr>
            <w:tcW w:w="2040" w:type="dxa"/>
            <w:vAlign w:val="bottom"/>
          </w:tcPr>
          <w:p>
            <w:pPr>
              <w:jc w:val="right"/>
              <w:ind w:right="935"/>
              <w:spacing w:after="0"/>
              <w:rPr>
                <w:sz w:val="20"/>
                <w:szCs w:val="20"/>
                <w:color w:val="auto"/>
              </w:rPr>
            </w:pPr>
            <w:r>
              <w:rPr>
                <w:rFonts w:ascii="Arial" w:cs="Arial" w:eastAsia="Arial" w:hAnsi="Arial"/>
                <w:sz w:val="18"/>
                <w:szCs w:val="18"/>
                <w:color w:val="auto"/>
              </w:rPr>
              <w:t>36</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Depletion of landfill operating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sale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Non-cash expense from acquisition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cash provided by operating activities increased $16.5 million in the six months ended June 30, 2021 as compared to the six months ended June 30, 2020. This was the result of improved operational performance combined with the favorable cash flow impact associated with the changes in our assets and liabilities, net of effects of acquisitions and divestitures. For discussion of our improved operational performance in the six months ended June 30, 2021 as compared to the six months ended June 30, 2020,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above. The decrease in the unfavorable cash flow impact associated with the changes in our assets and liabilities, net of effects of acquisitions and divestitures, which are affected by both cost changes and the timing of payments, in the six months ended June 30, 2021 as compared to the six months ended June 30, 2020 was primarily due to the following:</w:t>
      </w:r>
    </w:p>
    <w:p>
      <w:pPr>
        <w:spacing w:after="0" w:line="56"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$17.8 million favorable impact to operating cash flows associated with the change in accounts payable;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$0.8 million favorable impact to operating cash flows associated with the change in accrued expenses and other liabilities; partially offset by</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$(11.1) million unfavorable impact to operating cash flows associated with the change in accounts receivable;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$(4.9) million unfavorable impact to operating cash flows associated with the change in prepaid expenses, inventories and other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In the six months ended June 30, 2021, we acquired two tuck-in solid waste collection businesses in our Western region,</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a septic and portable toilet business, and a tuck-in solid waste collection business in our Eastern region, for total consideration of $4.9 million, including $4.4 million in cash, and paid $1.1 million in holdback payments on businesses previously acquired, as compared to the six months ended June 30, 2020 during which we paid $22.0 million in total consideration, including $19.2 million in cash, to acquire four businesses, including three tuck-in solid waste collection business in our Western region and one recycling operation in our Resource Solutions segment, and paid $0.9 million in holdback payments on businesses previously acquired.</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$4.5 million higher in the six months ended June 30, 2021 as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w:t>
      </w:r>
    </w:p>
    <w:p>
      <w:pPr>
        <w:spacing w:after="0" w:line="62" w:lineRule="exact"/>
        <w:rPr>
          <w:sz w:val="20"/>
          <w:szCs w:val="20"/>
          <w:color w:val="auto"/>
        </w:rPr>
      </w:pPr>
    </w:p>
    <w:p>
      <w:pPr>
        <w:ind w:left="480" w:hanging="310"/>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$3.2 million in higher growth capital expenditures related to non-routine development;</w:t>
      </w:r>
    </w:p>
    <w:p>
      <w:pPr>
        <w:spacing w:after="0" w:line="117" w:lineRule="exact"/>
        <w:rPr>
          <w:rFonts w:ascii="Arial" w:cs="Arial" w:eastAsia="Arial" w:hAnsi="Arial"/>
          <w:sz w:val="18"/>
          <w:szCs w:val="18"/>
          <w:color w:val="auto"/>
        </w:rPr>
      </w:pPr>
    </w:p>
    <w:p>
      <w:pPr>
        <w:ind w:left="500" w:right="280" w:hanging="330"/>
        <w:spacing w:after="0" w:line="263"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$2.9 million in higher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 and</w:t>
      </w:r>
    </w:p>
    <w:p>
      <w:pPr>
        <w:spacing w:after="0" w:line="75" w:lineRule="exact"/>
        <w:rPr>
          <w:rFonts w:ascii="Arial" w:cs="Arial" w:eastAsia="Arial" w:hAnsi="Arial"/>
          <w:sz w:val="18"/>
          <w:szCs w:val="18"/>
          <w:color w:val="auto"/>
        </w:rPr>
      </w:pPr>
    </w:p>
    <w:p>
      <w:pPr>
        <w:ind w:left="500" w:right="600" w:hanging="330"/>
        <w:spacing w:after="0" w:line="308"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$1.2 million in higher replacement capital expenditures as additional capital spend, including vehicles, machinery, equipment and containers, associated with business growth more than offset lower capital spend on landfill development; partially offset by</w:t>
      </w:r>
    </w:p>
    <w:p>
      <w:pPr>
        <w:spacing w:after="0" w:line="38" w:lineRule="exact"/>
        <w:rPr>
          <w:rFonts w:ascii="Arial" w:cs="Arial" w:eastAsia="Arial" w:hAnsi="Arial"/>
          <w:sz w:val="17"/>
          <w:szCs w:val="17"/>
          <w:color w:val="auto"/>
        </w:rPr>
      </w:pPr>
    </w:p>
    <w:p>
      <w:pPr>
        <w:ind w:left="500" w:right="940" w:hanging="330"/>
        <w:spacing w:after="0" w:line="342" w:lineRule="auto"/>
        <w:tabs>
          <w:tab w:leader="none" w:pos="4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$(2.8) million in lower capital expenditures associated with the integration of newly acquired operations, which includes planned capital expenditures following an acquisition, as well as non-routine development investments that are expected to provide long-term returns.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3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Net cash provided by debt activity decreased $(13.6) million. The decrease in financing cash flows is related to our strong cash position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combined with prior year borrowings against our Revolving Credit Facility, which was subsequently paid down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2021, we had outstanding $348.3 million aggregate principal amount of borrowings under our Term Loan Facility and $0.0 million aggregate principal amount of borrowings under our $200.0 million Revolving Credit Facility. The Credit Facility has a 5-year term that matures in May 2023 and bears interest at a rate of LIBOR plus 1.50%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June 30, 2021, further advances were available under the Revolving Credit Facility in the amount of $173.6 million. The available amount is net of outstanding irrevocable letters of credit totaling $26.4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20"/>
        <w:spacing w:after="0" w:line="273"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2021, financial covenant requirements included a minimum interest coverage ratio of 3.00 times and a maximum consolidated net leverage ratio of 4.00 times. 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June 30, 2021, we were in compliance with all covenants contained in the Credit Agreement.</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of June 30, 2021, we had outstanding $162.0 aggregate principal amount of tax exempt bonds, $34.5 million aggregate principal amount of finance leases and $4.5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over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Inflationary increases in costs have affected our historical operating margins, including current inflationary pressures associated primarily with fuel, labor and certain capital items.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There can be no assurance that the economic conditions in the northeastern United States will recover from the impact of the COVID-19 pandemic at the same time as, or at the same rate as, other areas of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significant accounting policies are more fully discussed in Item 8 of our Annual Report on Form 10-K for the fiscal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of June 30, 2021 and December 31, 2020, our active interest rate derivative agreements had a total notional amount of $195.0 million and $190.0 million, respectively. According to the terms of the agreements, we receive interest based on the 1-month LIBOR index and pay interest at a weighted average rate of approximately 2.51% as of June 30, 2021. The agreements mature between February 2022 and December 2026. As of June 30, 2021 and December 31, 2020, we had forward starting interest rate derivative agreements with a total notional amount of $85.0 million and $125.0 million, respectively. According to the terms of the agreements, we receive interest based on the 1-month LIBOR index, restricted by a 0.0% floor, and will pay interest at a weighted average rate of approximately 1.55%. The agreements mature between February 2027 and May 2028.</w:t>
      </w:r>
    </w:p>
    <w:p>
      <w:pPr>
        <w:spacing w:after="0" w:line="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June 30, 2021, we had $200.9 million of fixed rate debt in addition to the $195.0 million fixed through our interest rate derivative agreements. We had interest rate risk relating to approximately $153.3 million of long-term debt as of June 30, 2021. The weighted average interest rate on the variable rate portion of long-term debt was approximately 1.6% at June 30, 2021. Should the average interest rate on the variable rate portion of long-term debt change by 100 basis points, we estimate that our annual interest expense would change by up to approximately $1.5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Should commodity prices change by $10 per ton, we estimate that our annual operating income margin would change by approximately $0.7 million annually, or under $0.2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June 30, 2021.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Part I, Item 1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is subject to a number of risks, including those identified in Item 1A, “Risk Factors” of our Annual Report on Form 10-K for the fiscal year ended December 31, 2020,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00" w:type="dxa"/>
            <w:vAlign w:val="bottom"/>
            <w:gridSpan w:val="5"/>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31.1 +</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20" w:type="dxa"/>
            <w:vAlign w:val="bottom"/>
            <w:tcBorders>
              <w:top w:val="single" w:sz="8" w:color="auto"/>
            </w:tcBorders>
            <w:gridSpan w:val="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1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of Chief Executive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Act of 2002.</w:t>
              </w:r>
            </w:hyperlink>
          </w:p>
        </w:tc>
        <w:tc>
          <w:tcPr>
            <w:tcW w:w="8860" w:type="dxa"/>
            <w:vAlign w:val="bottom"/>
            <w:tcBorders>
              <w:top w:val="single" w:sz="8" w:color="0000FF"/>
            </w:tcBorders>
            <w:gridSpan w:val="4"/>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Certification of Chief Financial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Act of 2002.</w:t>
              </w:r>
            </w:hyperlink>
          </w:p>
        </w:tc>
        <w:tc>
          <w:tcPr>
            <w:tcW w:w="8800" w:type="dxa"/>
            <w:vAlign w:val="bottom"/>
            <w:tcBorders>
              <w:top w:val="single" w:sz="8" w:color="0000FF"/>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1"/>
                <w:szCs w:val="21"/>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00" w:right="40" w:hanging="742"/>
        <w:spacing w:after="0" w:line="21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June 30, 2021 and December 31, 2020, (ii) Consolidated Statements of Operations for the three and six months ended June 30, 2021 and 2020, (iii) Consolidated Statements of Comprehensive Income for the three and six months ended June 30, 2021 and 2020, (iv) Consolidated Statements of Stockholders’ Equity for the six months ended June 30, 2021 and 2020, (v) Consolidated Statements of Cash Flows for the six months ended June 30, 2021 and 2020, and (vi) Notes to Consolidated Financial Statements.</w:t>
      </w:r>
    </w:p>
    <w:p>
      <w:pPr>
        <w:ind w:left="1200" w:hanging="703"/>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July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Christopher B. Heald</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Christopher B. Heald</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700" w:type="dxa"/>
            <w:vAlign w:val="bottom"/>
          </w:tcPr>
          <w:p>
            <w:pPr>
              <w:spacing w:after="0"/>
              <w:rPr>
                <w:sz w:val="20"/>
                <w:szCs w:val="20"/>
                <w:color w:val="auto"/>
              </w:rPr>
            </w:pPr>
            <w:r>
              <w:rPr>
                <w:rFonts w:ascii="Arial" w:cs="Arial" w:eastAsia="Arial" w:hAnsi="Arial"/>
                <w:sz w:val="18"/>
                <w:szCs w:val="18"/>
                <w:color w:val="auto"/>
              </w:rPr>
              <w:t>Date: July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107"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July 30,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July 30, 2021</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30"/>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2021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July 30,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2021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July 30, 2021</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2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9"/>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2021-07-30T15:31:50Z</dcterms:created>
  <dcterms:modified xsi:type="dcterms:W3CDTF">2021-07-30T15:31:50Z</dcterms:modified>
</cp:coreProperties>
</file>